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7A04" w:rsidRPr="00227A04" w:rsidRDefault="00227A04" w:rsidP="00D5038E">
      <w:pPr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  <w:bookmarkStart w:id="0" w:name="_GoBack"/>
      <w:bookmarkEnd w:id="0"/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Додаток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1 </w:t>
      </w:r>
    </w:p>
    <w:p w:rsidR="00227A04" w:rsidRPr="00227A04" w:rsidRDefault="00227A04" w:rsidP="00227A04">
      <w:pPr>
        <w:ind w:left="5670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</w:t>
      </w:r>
      <w:proofErr w:type="gram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до наказу</w:t>
      </w:r>
      <w:proofErr w:type="gram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</w:t>
      </w: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керівника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</w:t>
      </w: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апарату</w:t>
      </w:r>
      <w:proofErr w:type="spellEnd"/>
    </w:p>
    <w:p w:rsidR="00227A04" w:rsidRDefault="00227A04" w:rsidP="00227A04">
      <w:pPr>
        <w:ind w:left="5670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</w:t>
      </w: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Апеляційного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суду </w:t>
      </w:r>
    </w:p>
    <w:p w:rsidR="00227A04" w:rsidRPr="00227A04" w:rsidRDefault="00227A04" w:rsidP="00227A04">
      <w:pPr>
        <w:ind w:left="5670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</w:pP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Чернігівської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</w:t>
      </w: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області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 </w:t>
      </w:r>
    </w:p>
    <w:p w:rsidR="00227A04" w:rsidRPr="00227A04" w:rsidRDefault="00227A04" w:rsidP="00227A04">
      <w:pPr>
        <w:ind w:left="5670"/>
        <w:contextualSpacing/>
        <w:jc w:val="right"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 xml:space="preserve">      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№ 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22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-од/а </w:t>
      </w:r>
      <w:proofErr w:type="spellStart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від</w:t>
      </w:r>
      <w:proofErr w:type="spellEnd"/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 xml:space="preserve"> 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05.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0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3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val="ru-RU" w:eastAsia="ru-RU"/>
        </w:rPr>
        <w:t>.201</w:t>
      </w:r>
      <w:r w:rsidRPr="00227A04"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  <w:t>8</w:t>
      </w:r>
    </w:p>
    <w:p w:rsidR="00227A04" w:rsidRPr="00227A04" w:rsidRDefault="00227A04" w:rsidP="00227A04">
      <w:pPr>
        <w:ind w:left="5580"/>
        <w:contextualSpacing/>
        <w:rPr>
          <w:rFonts w:ascii="Times New Roman" w:eastAsia="Times New Roman" w:hAnsi="Times New Roman" w:cs="Times New Roman"/>
          <w:color w:val="auto"/>
          <w:sz w:val="16"/>
          <w:szCs w:val="16"/>
          <w:lang w:eastAsia="ru-RU"/>
        </w:rPr>
      </w:pPr>
    </w:p>
    <w:p w:rsidR="00227A04" w:rsidRPr="00227A04" w:rsidRDefault="00227A04" w:rsidP="00227A04">
      <w:pPr>
        <w:ind w:left="5580"/>
        <w:contextualSpacing/>
        <w:rPr>
          <w:rFonts w:ascii="Times New Roman" w:eastAsia="Times New Roman" w:hAnsi="Times New Roman" w:cs="Times New Roman"/>
          <w:b/>
          <w:color w:val="auto"/>
          <w:sz w:val="24"/>
          <w:szCs w:val="24"/>
          <w:lang w:eastAsia="ru-RU"/>
        </w:rPr>
      </w:pPr>
    </w:p>
    <w:p w:rsidR="00227A04" w:rsidRPr="00227A04" w:rsidRDefault="00227A04" w:rsidP="00227A0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</w:pP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Умови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проведення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конкурсу на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зайняття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посади державно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ї 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служб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и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</w:t>
      </w:r>
    </w:p>
    <w:p w:rsidR="00227A04" w:rsidRPr="00227A04" w:rsidRDefault="00227A04" w:rsidP="00227A04">
      <w:pPr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</w:pP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категорії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«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>Б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» - </w:t>
      </w:r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ru-RU"/>
        </w:rPr>
        <w:t xml:space="preserve">начальника відділу </w:t>
      </w:r>
      <w:r w:rsidRPr="00227A0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інформаційно-технічного та аналітичного забезпечення роботи 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Апеляційного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суду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Чернігівської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області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 xml:space="preserve"> (1 </w:t>
      </w:r>
      <w:proofErr w:type="spellStart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вакансія</w:t>
      </w:r>
      <w:proofErr w:type="spellEnd"/>
      <w:r w:rsidRPr="00227A04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ru-RU" w:eastAsia="ru-RU"/>
        </w:rPr>
        <w:t>)</w:t>
      </w:r>
    </w:p>
    <w:p w:rsidR="00227A04" w:rsidRPr="00227A04" w:rsidRDefault="00227A04" w:rsidP="00227A04">
      <w:pPr>
        <w:contextualSpacing/>
        <w:rPr>
          <w:rFonts w:ascii="Times New Roman" w:hAnsi="Times New Roman" w:cs="Times New Roman"/>
          <w:b/>
          <w:color w:val="auto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08"/>
        <w:gridCol w:w="6763"/>
      </w:tblGrid>
      <w:tr w:rsidR="00227A04" w:rsidRPr="00227A04" w:rsidTr="000B1D83">
        <w:tc>
          <w:tcPr>
            <w:tcW w:w="9571" w:type="dxa"/>
            <w:gridSpan w:val="2"/>
          </w:tcPr>
          <w:p w:rsidR="00227A04" w:rsidRPr="00227A04" w:rsidRDefault="00227A04" w:rsidP="00227A0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</w:pPr>
            <w:proofErr w:type="spellStart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Загальні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  <w:t>умови</w:t>
            </w:r>
            <w:proofErr w:type="spellEnd"/>
          </w:p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227A04" w:rsidRPr="00227A04" w:rsidTr="000B1D83">
        <w:trPr>
          <w:trHeight w:val="3400"/>
        </w:trPr>
        <w:tc>
          <w:tcPr>
            <w:tcW w:w="2808" w:type="dxa"/>
          </w:tcPr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1.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Посадові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обов’язки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6763" w:type="dxa"/>
          </w:tcPr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-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Здійснює керівництво діяльністю відділу та забезпечує виконання завдань, покладених на відділ.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- Розподіляє обов</w:t>
            </w:r>
            <w:r w:rsidRPr="00227A0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  <w:t>'язки між працівниками відділу,</w:t>
            </w:r>
          </w:p>
          <w:p w:rsidR="00227A04" w:rsidRPr="00227A04" w:rsidRDefault="00227A04" w:rsidP="00227A04">
            <w:pPr>
              <w:widowControl w:val="0"/>
              <w:shd w:val="clear" w:color="auto" w:fill="FFFFFF"/>
              <w:tabs>
                <w:tab w:val="left" w:pos="1217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spacing w:val="5"/>
                <w:sz w:val="26"/>
                <w:szCs w:val="26"/>
                <w:lang w:eastAsia="ru-RU"/>
              </w:rPr>
              <w:t>- Очолює та контролює їх роботу.</w:t>
            </w:r>
            <w:r w:rsidRPr="00227A04">
              <w:rPr>
                <w:rFonts w:ascii="Times New Roman" w:eastAsia="Times New Roman" w:hAnsi="Times New Roman" w:cs="Times New Roman"/>
                <w:spacing w:val="4"/>
                <w:sz w:val="26"/>
                <w:szCs w:val="26"/>
                <w:lang w:eastAsia="ru-RU"/>
              </w:rPr>
              <w:t xml:space="preserve"> Бере участь у розроблення посадових інструкцій, профілів професійної компетентності посад працівників відділу.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Організовує роботу і забезпечує контроль за своєчасним виконанням працівниками відділу доручень, наказів і розпоряджень голови суду, його заступників, керівника апарату  суду та його заступника, інформує їх про результати виконаної роботи.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Вносить пропозиції щодо призначення на посаду, переведення на іншу посаду або звільнення з посади працівників структурного підрозділу, присвоєння їм чергового рангу державного службовця.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- Здійснює оцінювання результатів службової діяльності працівників відділу, вносить пропозиції щодо їх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lang w:eastAsia="ru-RU"/>
              </w:rPr>
              <w:t>заохочення та притягнення їх до дисциплінарної відповідальності.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Представляє структурний підрозділ апарату суду на нарадах, що проводяться в суді та апараті суду.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- Контролює ведення документації відділу відповідно до установленого в суді порядку та згідно із затвердженою номенклатурою справ, інструкцією з діловодства в суді. 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- Організовує надання інформаційної, аналітичної, довідкової і консультативно-методичної допомоги суддям в питаннях забезпечення правосуддя. 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Контролює вчасність та правильність передачі в установленому порядку в архів суду завершених у діловодстві справ відділу.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Розробляє заходи щодо покращення організаційного забезпечення роботи відділу, вдосконалення порядку, послідовності і терміну виконання робіт.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Регулює роботу відділу щодо його ефективної взаємодії з іншими відділами (структурними підрозділами) та працівниками апарату суду з питань, що стосуються діяльності відділу.</w:t>
            </w:r>
          </w:p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 xml:space="preserve">- </w:t>
            </w:r>
            <w:r w:rsidRPr="00227A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Постійно підвищує </w:t>
            </w:r>
            <w:r w:rsidRPr="00227A04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lang w:eastAsia="ru-RU"/>
              </w:rPr>
              <w:t>рівень своєї професійної компетентності</w:t>
            </w:r>
            <w:r w:rsidRPr="00227A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>, забезпечує підвищення рівня професійної компетентності працівників відділу.</w:t>
            </w:r>
          </w:p>
          <w:p w:rsidR="00227A04" w:rsidRPr="00227A04" w:rsidRDefault="00227A04" w:rsidP="00227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  <w:lang w:eastAsia="ru-RU"/>
              </w:rPr>
              <w:t xml:space="preserve">- </w:t>
            </w:r>
            <w:r w:rsidRPr="00227A04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Виконує розпорядження та доручення голови суду та його заступників, керівника апарату суду та його заступника з питань, які належать до його компетентності.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  <w:p w:rsidR="00227A04" w:rsidRPr="00227A04" w:rsidRDefault="00227A04" w:rsidP="00227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Додержується вимог законодавства у сфері запобігання і протидії корупції та з</w:t>
            </w:r>
            <w:r w:rsidRPr="00227A04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>апобігає виникненню конфлікту інтересів під час проходження державної служби.</w:t>
            </w:r>
          </w:p>
          <w:p w:rsidR="00227A04" w:rsidRPr="00227A04" w:rsidRDefault="00227A04" w:rsidP="00227A04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bCs/>
                <w:spacing w:val="3"/>
                <w:sz w:val="26"/>
                <w:szCs w:val="26"/>
                <w:lang w:eastAsia="ru-RU"/>
              </w:rPr>
              <w:t xml:space="preserve">- Здійснює контроль за дотриманням працівниками відділу Правил поведінки працівників судів та правил внутрішнього трудового розпорядку, вимог у сфері запобігання і протидії корупції. </w:t>
            </w:r>
          </w:p>
          <w:p w:rsidR="00227A04" w:rsidRPr="00227A04" w:rsidRDefault="00227A04" w:rsidP="00227A04">
            <w:pPr>
              <w:tabs>
                <w:tab w:val="left" w:pos="7740"/>
              </w:tabs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bdr w:val="none" w:sz="0" w:space="0" w:color="auto" w:frame="1"/>
                <w:lang w:eastAsia="ru-RU"/>
              </w:rPr>
              <w:t>-  Здійснює інші функції, передбачені законодавством.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2.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Умови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оплати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4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група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оплати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посадовий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оклад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7500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грн.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- надбавка до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посадового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окладу за ранг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відповідно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до постанови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Кабінету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Міністрів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№ 15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від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18.01.2017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р.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„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Питання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оплати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працівників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державних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органів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”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, зі змінами, 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- надбавки та доплати (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відповідно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до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статті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52 Закону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України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„Про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державну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службу”)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;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-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за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наявності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достатнього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фонду оплати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праці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–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премі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я та надбавки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3.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Інформація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строковість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чи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безстроковість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призначення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на посаду 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- безстроковий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трудовий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договір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4.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Перелік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документів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необхідних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для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участі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в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конкурсі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, та строк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їх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подання</w:t>
            </w:r>
            <w:proofErr w:type="spellEnd"/>
          </w:p>
        </w:tc>
        <w:tc>
          <w:tcPr>
            <w:tcW w:w="6763" w:type="dxa"/>
          </w:tcPr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  копія паспорта громадянина України;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письмова заява про участь у конкурсі із зазначенням основних мотивів до зайняття посади державної служби (за формою згідно з додатком 2 до Порядку;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   резюме у довільній формі;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 письмова заява про незастосування заборон, визначених частиною третьою або четвертою статті 1 Закону України “Про очищення влади”, та надання згоди на проходження перевірки та оприлюднення відомостей відповідно до зазначеного Закону;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  копія (копії) документа (документів) про освіту з додатками 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  заповнена особова картка встановленого зразка П-2 ДС;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оригінал посвідчення атестації щодо вільного володіння державною мовою;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електронна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декларація особи, уповноваженої на виконання функцій держави або місцевого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 xml:space="preserve">самоврядування, за минулий рік. 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     Декларація особи, уповноваженої на виконання функцій держави або місцевого самоврядування, за минулий рік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надається у вигляді роздрукованого примірника заповненої декларації на офіційному веб-сайті НАЗК.</w:t>
            </w:r>
          </w:p>
          <w:p w:rsidR="00227A04" w:rsidRPr="00227A04" w:rsidRDefault="00227A04" w:rsidP="00227A04">
            <w:pPr>
              <w:ind w:left="34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     Особа, яка виявила бажання взяти участь у конкурсі, може подавати додаткові документи стосовно досвіду роботи, професійної компетентності і репутації (характеристики, рекомендації, наукові публікації та інші).</w:t>
            </w:r>
          </w:p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     Строк подання документів для участі у конкурсі становить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1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5 календарних днів з дня оприлюднення інформації про проведення конкурсу. </w:t>
            </w:r>
          </w:p>
          <w:p w:rsidR="00227A04" w:rsidRPr="00227A04" w:rsidRDefault="00227A04" w:rsidP="00207ACF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     Останній день прийому документів – </w:t>
            </w:r>
            <w:r w:rsidR="00207ACF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20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березня 2018 року до 1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7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год.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00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хв.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5.Місце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, час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та дата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конкурсу 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    22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березня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201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8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року о 09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годині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0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0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хвилин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Апеляційний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суд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Чернігівської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області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(м.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Чернігів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вул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. Г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етьмана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Полуботка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, 2)</w:t>
            </w:r>
          </w:p>
        </w:tc>
      </w:tr>
      <w:tr w:rsidR="00227A04" w:rsidRPr="00227A04" w:rsidTr="000B1D83">
        <w:trPr>
          <w:trHeight w:val="2649"/>
        </w:trPr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6.Прізвище,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ім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’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я та по батькові,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номер телефону та адреса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електронної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пошти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особи, яка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надає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додаткову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інформацію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з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питань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проведення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конкурсу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Голова конкурсної комісії - Дубина Юрій Анатолійович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, 0462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241095   </w:t>
            </w:r>
            <w:hyperlink r:id="rId5" w:history="1">
              <w:r w:rsidRPr="00227A04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 w:eastAsia="ru-RU"/>
                </w:rPr>
                <w:t>inbox@cna.court.gov.ua</w:t>
              </w:r>
            </w:hyperlink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Адміністратор конкурсу – Полєно Юлія Вікторівна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0462676297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rPr>
          <w:trHeight w:val="321"/>
        </w:trPr>
        <w:tc>
          <w:tcPr>
            <w:tcW w:w="9571" w:type="dxa"/>
            <w:gridSpan w:val="2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</w:pPr>
          </w:p>
          <w:p w:rsidR="00227A04" w:rsidRPr="00227A04" w:rsidRDefault="00227A04" w:rsidP="00227A04">
            <w:pPr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</w:pPr>
            <w:proofErr w:type="spellStart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Кваліфікаційні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/>
              </w:rPr>
              <w:t>вимоги</w:t>
            </w:r>
            <w:proofErr w:type="spellEnd"/>
          </w:p>
          <w:p w:rsidR="00227A04" w:rsidRPr="00227A04" w:rsidRDefault="00227A04" w:rsidP="00227A04">
            <w:pPr>
              <w:ind w:left="1080"/>
              <w:contextualSpacing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val="ru-RU"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1.Освіта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227A04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 w:eastAsia="ru-RU"/>
              </w:rPr>
              <w:t>повна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 w:eastAsia="ru-RU"/>
              </w:rPr>
              <w:t>вища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pacing w:val="9"/>
                <w:sz w:val="26"/>
                <w:szCs w:val="26"/>
                <w:lang w:val="ru-RU" w:eastAsia="ru-RU"/>
              </w:rPr>
              <w:t>освіта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ступеня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магістра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за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спеціальністю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«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Правознавство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»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2.Досвід роботи</w:t>
            </w:r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proofErr w:type="spellStart"/>
            <w:proofErr w:type="gram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досвід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роботи</w:t>
            </w:r>
            <w:proofErr w:type="spellEnd"/>
            <w:proofErr w:type="gram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на посадах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державної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служби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категорій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"Б"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чи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"В"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або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досвід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служби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в органах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місцевого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самоврядування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або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досвід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роботи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на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керівних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посадах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підприємств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установ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організацій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незалежно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від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форми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власності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не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менше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двох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ru-RU" w:eastAsia="ru-RU"/>
              </w:rPr>
              <w:t>років</w:t>
            </w:r>
            <w:proofErr w:type="spellEnd"/>
          </w:p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rPr>
          <w:trHeight w:val="277"/>
        </w:trPr>
        <w:tc>
          <w:tcPr>
            <w:tcW w:w="2808" w:type="dxa"/>
          </w:tcPr>
          <w:p w:rsidR="00227A04" w:rsidRPr="00227A04" w:rsidRDefault="00227A04" w:rsidP="00227A04">
            <w:pPr>
              <w:ind w:right="-108"/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3.Володіння державною мовою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В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ільне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володіння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 xml:space="preserve"> державною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мовою</w:t>
            </w:r>
            <w:proofErr w:type="spellEnd"/>
          </w:p>
        </w:tc>
      </w:tr>
      <w:tr w:rsidR="00227A04" w:rsidRPr="00227A04" w:rsidTr="000B1D83">
        <w:trPr>
          <w:trHeight w:val="295"/>
        </w:trPr>
        <w:tc>
          <w:tcPr>
            <w:tcW w:w="9571" w:type="dxa"/>
            <w:gridSpan w:val="2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ind w:left="108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  <w:t>Вимоги до компетентності</w:t>
            </w:r>
          </w:p>
          <w:p w:rsidR="00227A04" w:rsidRPr="00227A04" w:rsidRDefault="00227A04" w:rsidP="00227A04">
            <w:pPr>
              <w:ind w:left="360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Вимога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Компоненти вимоги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1.Знання сучасних інформаційних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технологій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впевнений користувач ПК (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MS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Office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Internet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), знання ОС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t>Windows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 ХР/7/10 на рівні користувача, вміння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>використовувати комп’ютерне обладнання та програмне забезпечення, використовувати офісну техніку.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2.Особистісні якості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відповідальність, дисциплінованість, комунікабельність, уважність до деталей, сумлінність, організованість.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3.Прийняття ефективних рішень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- здатність приймати вчасні та виважені рішення;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>- аналіз альтернатив;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>- спроможність йти на виважений ризик;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br/>
              <w:t>- автономність та ініціативність щодо пропозицій/рішень</w:t>
            </w: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4.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Стресостійкість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розуміння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своїх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емоцій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>- самоконтроль;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конструктивне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ставлення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зворотнього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зв’язку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зокрема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критики;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оптимізм</w:t>
            </w:r>
            <w:proofErr w:type="spellEnd"/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5.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Комунікація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взаємодія</w:t>
            </w:r>
            <w:proofErr w:type="spellEnd"/>
          </w:p>
        </w:tc>
        <w:tc>
          <w:tcPr>
            <w:tcW w:w="6763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визначення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заінтересованих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і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впливових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сторін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розбудова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партнерських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стосунків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здатність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ефективно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взаємодіяти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дослухатися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сприймати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викладати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думку;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вміння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публічно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виступати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,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презентувати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на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аудиторію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здатність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переконувати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інших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за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допомогою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аргументів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послідовної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комунікації</w:t>
            </w:r>
            <w:proofErr w:type="spellEnd"/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6.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результатів</w:t>
            </w:r>
            <w:proofErr w:type="spellEnd"/>
          </w:p>
        </w:tc>
        <w:tc>
          <w:tcPr>
            <w:tcW w:w="6763" w:type="dxa"/>
          </w:tcPr>
          <w:p w:rsidR="00227A04" w:rsidRPr="00227A04" w:rsidRDefault="00227A04" w:rsidP="00227A04">
            <w:pPr>
              <w:textAlignment w:val="baseline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чітке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бачення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результату;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сфокусовані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зусилля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для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досягнення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результату;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 xml:space="preserve">-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запобігання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та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ефективне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подолання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перешкод</w:t>
            </w:r>
            <w:proofErr w:type="spellEnd"/>
          </w:p>
        </w:tc>
      </w:tr>
      <w:tr w:rsidR="00227A04" w:rsidRPr="00227A04" w:rsidTr="000B1D83">
        <w:tc>
          <w:tcPr>
            <w:tcW w:w="9571" w:type="dxa"/>
            <w:gridSpan w:val="2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  <w:p w:rsidR="00227A04" w:rsidRPr="00227A04" w:rsidRDefault="00227A04" w:rsidP="00227A04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  <w:t>Професійні знання</w:t>
            </w:r>
          </w:p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Вимога</w:t>
            </w:r>
          </w:p>
        </w:tc>
        <w:tc>
          <w:tcPr>
            <w:tcW w:w="6763" w:type="dxa"/>
          </w:tcPr>
          <w:p w:rsidR="00227A04" w:rsidRPr="00227A04" w:rsidRDefault="00227A04" w:rsidP="00227A04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>Компоненти вимоги</w:t>
            </w:r>
          </w:p>
        </w:tc>
      </w:tr>
      <w:tr w:rsidR="00227A04" w:rsidRPr="00227A04" w:rsidTr="00207ACF">
        <w:trPr>
          <w:trHeight w:val="1384"/>
        </w:trPr>
        <w:tc>
          <w:tcPr>
            <w:tcW w:w="2808" w:type="dxa"/>
          </w:tcPr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1.Знання законодавства</w:t>
            </w:r>
          </w:p>
          <w:p w:rsidR="00227A04" w:rsidRPr="00227A04" w:rsidRDefault="00227A04" w:rsidP="00227A04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</w:pPr>
          </w:p>
        </w:tc>
        <w:tc>
          <w:tcPr>
            <w:tcW w:w="6763" w:type="dxa"/>
          </w:tcPr>
          <w:p w:rsidR="00227A04" w:rsidRPr="00227A04" w:rsidRDefault="00227A04" w:rsidP="00227A04">
            <w:pP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Знання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: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>- </w:t>
            </w:r>
            <w:proofErr w:type="spellStart"/>
            <w:r w:rsidR="00247E33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fldChar w:fldCharType="begin"/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instrText>HYPERLINK "http://zakon5.rada.gov.ua/laws/show/254%D0%BA/96-%D0%B2%D1%80" \t "_blank"</w:instrText>
            </w:r>
            <w:r w:rsidR="00247E33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fldChar w:fldCharType="separate"/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Конституції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України</w:t>
            </w:r>
            <w:proofErr w:type="spellEnd"/>
            <w:r w:rsidR="00247E33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 w:eastAsia="ru-RU"/>
              </w:rPr>
              <w:fldChar w:fldCharType="end"/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;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>- </w:t>
            </w:r>
            <w:hyperlink r:id="rId6" w:tgtFrame="_blank" w:history="1">
              <w:r w:rsidRPr="00227A04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/>
                </w:rPr>
                <w:t xml:space="preserve">Закону </w:t>
              </w:r>
              <w:proofErr w:type="spellStart"/>
              <w:r w:rsidRPr="00227A04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/>
                </w:rPr>
                <w:t>України</w:t>
              </w:r>
              <w:proofErr w:type="spellEnd"/>
            </w:hyperlink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державну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службу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»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br/>
              <w:t>- </w:t>
            </w:r>
            <w:hyperlink r:id="rId7" w:tgtFrame="_blank" w:history="1">
              <w:r w:rsidRPr="00227A04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/>
                </w:rPr>
                <w:t xml:space="preserve">Закону </w:t>
              </w:r>
              <w:proofErr w:type="spellStart"/>
              <w:r w:rsidRPr="00227A04">
                <w:rPr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val="ru-RU"/>
                </w:rPr>
                <w:t>України</w:t>
              </w:r>
              <w:proofErr w:type="spellEnd"/>
            </w:hyperlink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 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«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Про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запобігання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val="ru-RU"/>
              </w:rPr>
              <w:t>корупції</w:t>
            </w:r>
            <w:proofErr w:type="spellEnd"/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»</w:t>
            </w:r>
          </w:p>
          <w:p w:rsidR="00227A04" w:rsidRPr="00227A04" w:rsidRDefault="00227A04" w:rsidP="00207ACF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</w:pPr>
          </w:p>
        </w:tc>
      </w:tr>
      <w:tr w:rsidR="00227A04" w:rsidRPr="00227A04" w:rsidTr="000B1D83">
        <w:tc>
          <w:tcPr>
            <w:tcW w:w="2808" w:type="dxa"/>
          </w:tcPr>
          <w:p w:rsidR="00227A04" w:rsidRPr="00227A04" w:rsidRDefault="00227A04" w:rsidP="00227A04">
            <w:pPr>
              <w:contextualSpacing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2.Знання спеціального законодавства, що пов’язане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763" w:type="dxa"/>
          </w:tcPr>
          <w:p w:rsidR="00227A04" w:rsidRPr="00227A04" w:rsidRDefault="00207ACF" w:rsidP="00207AC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  <w:lang w:eastAsia="ru-RU"/>
              </w:rPr>
            </w:pP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-Закон України «Про звернення громадян»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Закон України «Про інформацію»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Закон України «Про доступ до публічної інформації»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Закон України «Про доступ до судових рішень»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>Закон України «Про захист персональних даних»</w:t>
            </w:r>
            <w:r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en-US"/>
              </w:rPr>
              <w:t xml:space="preserve">, </w:t>
            </w:r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Закони України «Про судоустрій і статус суддів», Цивільний процесуальний кодекс України, Кримінальний процесуальний кодекс України, інші закони України, постанови Верховної Ради України, акти Президента України та Кабінету Міністрів України, інші нормативні акти в сфері запобігання корупції, акти законодавства та нормативні документи, що регламентують діяльність суду, накази, інструкції та рекомендації Державної судової адміністрації України, Положення про автоматизовану систему документообігу </w:t>
            </w:r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lastRenderedPageBreak/>
              <w:t xml:space="preserve">суду, затверджене рішенням Ради суддів України від </w:t>
            </w:r>
            <w:r w:rsidR="00227A04" w:rsidRPr="00227A04">
              <w:rPr>
                <w:rFonts w:ascii="Times New Roman" w:eastAsia="Times New Roman" w:hAnsi="Times New Roman" w:cs="Times New Roman"/>
                <w:bCs/>
                <w:color w:val="auto"/>
                <w:sz w:val="26"/>
                <w:szCs w:val="26"/>
                <w:lang w:eastAsia="ru-RU"/>
              </w:rPr>
              <w:t xml:space="preserve">26 листопада 2010 року № 30 (з наступними змінами), </w:t>
            </w:r>
            <w:hyperlink r:id="rId8" w:anchor="n17" w:history="1">
              <w:r w:rsidR="00227A04" w:rsidRPr="00227A04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Інструкція з діловодства у місцевих загальних судах, апеляційних судах областей, апеляційних судах міст Києва та Севастополя, Апеляційному суді Автономної Республіки Крим та Вищому спеціалізованому суді України з розгляду цивільних і кримінальних справ</w:t>
              </w:r>
            </w:hyperlink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, затверджена наказом ДСА України № 173 від 17.12.2013 року (зі змінами), </w:t>
            </w:r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val="ru-RU" w:eastAsia="ru-RU"/>
              </w:rPr>
              <w:t> </w:t>
            </w:r>
            <w:hyperlink r:id="rId9" w:anchor="n16" w:history="1">
              <w:r w:rsidR="00227A04" w:rsidRPr="00227A04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Інструкція про порядок роботи з технічними засобами фіксування судового процесу (судового засідання)</w:t>
              </w:r>
            </w:hyperlink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ru-RU"/>
              </w:rPr>
              <w:t xml:space="preserve">, затверджена наказом ДСА України № 108 від 20.09.2012 року (зі змінами), </w:t>
            </w:r>
            <w:r w:rsidR="00227A04" w:rsidRPr="00227A04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shd w:val="clear" w:color="auto" w:fill="FFFFFF"/>
                <w:lang w:eastAsia="ru-RU"/>
              </w:rPr>
              <w:t>Інструкція про порядок роботи з технічними засобами відеозапису ходу й результатів процесуальних дій, проведених у режимі відеоконференції під час судового засідання (кримінального провадження), затверджена наказом ДСА України № 155 від 15 листопада 2012 року (зі змінами)</w:t>
            </w:r>
          </w:p>
        </w:tc>
      </w:tr>
    </w:tbl>
    <w:p w:rsidR="00BB70B0" w:rsidRDefault="00BB70B0" w:rsidP="00A76B3D">
      <w:pPr>
        <w:pStyle w:val="a0"/>
        <w:jc w:val="both"/>
        <w:rPr>
          <w:rFonts w:ascii="Times New Roman" w:hAnsi="Times New Roman" w:cs="Times New Roman"/>
        </w:rPr>
      </w:pPr>
    </w:p>
    <w:p w:rsidR="00440365" w:rsidRDefault="00440365" w:rsidP="00E26DA8">
      <w:pPr>
        <w:ind w:left="5580"/>
        <w:contextualSpacing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  <w:bookmarkStart w:id="1" w:name="n194"/>
      <w:bookmarkStart w:id="2" w:name="n195"/>
      <w:bookmarkEnd w:id="1"/>
      <w:bookmarkEnd w:id="2"/>
    </w:p>
    <w:p w:rsidR="00440365" w:rsidRDefault="00440365" w:rsidP="00E26DA8">
      <w:pPr>
        <w:ind w:left="5580"/>
        <w:contextualSpacing/>
        <w:rPr>
          <w:rFonts w:ascii="Times New Roman" w:eastAsia="Times New Roman" w:hAnsi="Times New Roman" w:cs="Times New Roman"/>
          <w:color w:val="auto"/>
          <w:sz w:val="20"/>
          <w:szCs w:val="20"/>
          <w:lang w:eastAsia="ru-RU"/>
        </w:rPr>
      </w:pPr>
    </w:p>
    <w:sectPr w:rsidR="00440365" w:rsidSect="00E06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6092B"/>
    <w:multiLevelType w:val="hybridMultilevel"/>
    <w:tmpl w:val="57DAD16E"/>
    <w:lvl w:ilvl="0" w:tplc="4608176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D1C105B"/>
    <w:multiLevelType w:val="hybridMultilevel"/>
    <w:tmpl w:val="7CBA77DC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68B5D1E"/>
    <w:multiLevelType w:val="hybridMultilevel"/>
    <w:tmpl w:val="C12C5C54"/>
    <w:lvl w:ilvl="0" w:tplc="D2E675D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6866B4C"/>
    <w:multiLevelType w:val="hybridMultilevel"/>
    <w:tmpl w:val="E7C067E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A0813"/>
    <w:rsid w:val="00060B33"/>
    <w:rsid w:val="00095E1A"/>
    <w:rsid w:val="00117F74"/>
    <w:rsid w:val="00207ACF"/>
    <w:rsid w:val="00224A77"/>
    <w:rsid w:val="00227A04"/>
    <w:rsid w:val="00241EC6"/>
    <w:rsid w:val="00247E33"/>
    <w:rsid w:val="002D1AB7"/>
    <w:rsid w:val="002F4CFA"/>
    <w:rsid w:val="00337FA7"/>
    <w:rsid w:val="003731F4"/>
    <w:rsid w:val="0040572C"/>
    <w:rsid w:val="00440365"/>
    <w:rsid w:val="004500F4"/>
    <w:rsid w:val="004C5C36"/>
    <w:rsid w:val="005021A5"/>
    <w:rsid w:val="005473B5"/>
    <w:rsid w:val="00583B37"/>
    <w:rsid w:val="00586733"/>
    <w:rsid w:val="005C1B49"/>
    <w:rsid w:val="005F5860"/>
    <w:rsid w:val="00601C9A"/>
    <w:rsid w:val="006206A6"/>
    <w:rsid w:val="00654BD4"/>
    <w:rsid w:val="006E007E"/>
    <w:rsid w:val="007155B4"/>
    <w:rsid w:val="007551BE"/>
    <w:rsid w:val="007942B7"/>
    <w:rsid w:val="008523E4"/>
    <w:rsid w:val="0089577F"/>
    <w:rsid w:val="008B6204"/>
    <w:rsid w:val="00900B6A"/>
    <w:rsid w:val="009976E7"/>
    <w:rsid w:val="009A3A2A"/>
    <w:rsid w:val="009F1C39"/>
    <w:rsid w:val="009F247B"/>
    <w:rsid w:val="00A76B3D"/>
    <w:rsid w:val="00AA0813"/>
    <w:rsid w:val="00AB3E3E"/>
    <w:rsid w:val="00AF2152"/>
    <w:rsid w:val="00AF3B24"/>
    <w:rsid w:val="00AF5451"/>
    <w:rsid w:val="00B1082C"/>
    <w:rsid w:val="00B76AB8"/>
    <w:rsid w:val="00BA5265"/>
    <w:rsid w:val="00BB02BA"/>
    <w:rsid w:val="00BB70B0"/>
    <w:rsid w:val="00C11FA8"/>
    <w:rsid w:val="00C43051"/>
    <w:rsid w:val="00C45747"/>
    <w:rsid w:val="00CC5362"/>
    <w:rsid w:val="00D33E30"/>
    <w:rsid w:val="00D5038E"/>
    <w:rsid w:val="00D62AD0"/>
    <w:rsid w:val="00DA613D"/>
    <w:rsid w:val="00DC7ECD"/>
    <w:rsid w:val="00E055BC"/>
    <w:rsid w:val="00E064AA"/>
    <w:rsid w:val="00E06EED"/>
    <w:rsid w:val="00E26DA8"/>
    <w:rsid w:val="00E35197"/>
    <w:rsid w:val="00E44540"/>
    <w:rsid w:val="00F324BC"/>
    <w:rsid w:val="00F4248D"/>
    <w:rsid w:val="00FC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D2F75E"/>
  <w15:docId w15:val="{C959194F-E9C8-4A95-9CCA-9A6C67418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rsid w:val="00AA0813"/>
    <w:rPr>
      <w:rFonts w:ascii="Arial" w:hAnsi="Arial" w:cs="Arial Unicode MS"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99"/>
    <w:qFormat/>
    <w:rsid w:val="00AA0813"/>
    <w:rPr>
      <w:rFonts w:ascii="Arial" w:hAnsi="Arial" w:cs="Arial Unicode MS"/>
      <w:color w:val="000000"/>
      <w:sz w:val="28"/>
      <w:szCs w:val="28"/>
    </w:rPr>
  </w:style>
  <w:style w:type="character" w:styleId="a4">
    <w:name w:val="Hyperlink"/>
    <w:basedOn w:val="a1"/>
    <w:uiPriority w:val="99"/>
    <w:semiHidden/>
    <w:rsid w:val="00AA0813"/>
    <w:rPr>
      <w:rFonts w:cs="Times New Roman"/>
      <w:color w:val="0000FF"/>
      <w:u w:val="single"/>
    </w:rPr>
  </w:style>
  <w:style w:type="paragraph" w:styleId="a5">
    <w:name w:val="Normal (Web)"/>
    <w:basedOn w:val="a"/>
    <w:uiPriority w:val="99"/>
    <w:rsid w:val="00AA08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6">
    <w:name w:val="Body Text"/>
    <w:basedOn w:val="a"/>
    <w:link w:val="a7"/>
    <w:uiPriority w:val="99"/>
    <w:rsid w:val="00AA0813"/>
    <w:pPr>
      <w:jc w:val="both"/>
    </w:pPr>
    <w:rPr>
      <w:rFonts w:cs="Arial"/>
      <w:color w:val="auto"/>
      <w:lang w:val="ru-RU" w:eastAsia="en-US"/>
    </w:rPr>
  </w:style>
  <w:style w:type="character" w:customStyle="1" w:styleId="a7">
    <w:name w:val="Основний текст Знак"/>
    <w:basedOn w:val="a1"/>
    <w:link w:val="a6"/>
    <w:uiPriority w:val="99"/>
    <w:locked/>
    <w:rsid w:val="00AA0813"/>
    <w:rPr>
      <w:rFonts w:ascii="Arial" w:hAnsi="Arial" w:cs="Arial"/>
      <w:sz w:val="28"/>
      <w:szCs w:val="28"/>
    </w:rPr>
  </w:style>
  <w:style w:type="character" w:customStyle="1" w:styleId="a8">
    <w:name w:val="Основной текст Знак"/>
    <w:basedOn w:val="a1"/>
    <w:uiPriority w:val="99"/>
    <w:semiHidden/>
    <w:locked/>
    <w:rsid w:val="00AA0813"/>
    <w:rPr>
      <w:rFonts w:ascii="Arial" w:hAnsi="Arial" w:cs="Arial Unicode MS"/>
      <w:color w:val="000000"/>
      <w:sz w:val="28"/>
      <w:szCs w:val="28"/>
      <w:lang w:val="uk-UA" w:eastAsia="uk-UA"/>
    </w:rPr>
  </w:style>
  <w:style w:type="paragraph" w:styleId="a9">
    <w:name w:val="List Paragraph"/>
    <w:basedOn w:val="a"/>
    <w:uiPriority w:val="99"/>
    <w:qFormat/>
    <w:rsid w:val="00AA0813"/>
    <w:pPr>
      <w:ind w:left="720" w:firstLine="709"/>
      <w:contextualSpacing/>
      <w:jc w:val="both"/>
    </w:pPr>
    <w:rPr>
      <w:rFonts w:ascii="Times New Roman" w:eastAsia="Times New Roman" w:hAnsi="Times New Roman" w:cs="Times New Roman"/>
      <w:color w:val="auto"/>
      <w:szCs w:val="24"/>
      <w:lang w:eastAsia="ru-RU"/>
    </w:rPr>
  </w:style>
  <w:style w:type="paragraph" w:customStyle="1" w:styleId="rvps2">
    <w:name w:val="rvps2"/>
    <w:basedOn w:val="a"/>
    <w:uiPriority w:val="99"/>
    <w:rsid w:val="00AA08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customStyle="1" w:styleId="rvps12">
    <w:name w:val="rvps12"/>
    <w:basedOn w:val="a"/>
    <w:uiPriority w:val="99"/>
    <w:rsid w:val="00AA08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rvps14">
    <w:name w:val="rvps14"/>
    <w:basedOn w:val="a"/>
    <w:uiPriority w:val="99"/>
    <w:rsid w:val="00AA08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">
    <w:name w:val="Абзац списка1"/>
    <w:basedOn w:val="a"/>
    <w:uiPriority w:val="99"/>
    <w:rsid w:val="00AA0813"/>
    <w:pPr>
      <w:widowControl w:val="0"/>
      <w:ind w:left="720"/>
      <w:contextualSpacing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rvts15">
    <w:name w:val="rvts15"/>
    <w:basedOn w:val="a1"/>
    <w:uiPriority w:val="99"/>
    <w:rsid w:val="00AA0813"/>
    <w:rPr>
      <w:rFonts w:cs="Times New Roman"/>
    </w:rPr>
  </w:style>
  <w:style w:type="character" w:customStyle="1" w:styleId="rvts0">
    <w:name w:val="rvts0"/>
    <w:basedOn w:val="a1"/>
    <w:uiPriority w:val="99"/>
    <w:rsid w:val="00AA0813"/>
    <w:rPr>
      <w:rFonts w:cs="Times New Roman"/>
    </w:rPr>
  </w:style>
  <w:style w:type="paragraph" w:customStyle="1" w:styleId="aa">
    <w:name w:val="Нормальний текст"/>
    <w:basedOn w:val="a"/>
    <w:rsid w:val="00583B37"/>
    <w:pPr>
      <w:spacing w:before="120"/>
      <w:ind w:firstLine="567"/>
    </w:pPr>
    <w:rPr>
      <w:rFonts w:ascii="Antiqua" w:hAnsi="Antiqua" w:cs="Times New Roman"/>
      <w:color w:val="auto"/>
      <w:sz w:val="26"/>
      <w:szCs w:val="20"/>
      <w:lang w:eastAsia="ru-RU"/>
    </w:rPr>
  </w:style>
  <w:style w:type="paragraph" w:customStyle="1" w:styleId="2">
    <w:name w:val="Абзац списка2"/>
    <w:basedOn w:val="a"/>
    <w:uiPriority w:val="99"/>
    <w:rsid w:val="00583B37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654BD4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1"/>
    <w:link w:val="3"/>
    <w:uiPriority w:val="99"/>
    <w:semiHidden/>
    <w:rsid w:val="00654BD4"/>
    <w:rPr>
      <w:rFonts w:ascii="Arial" w:hAnsi="Arial" w:cs="Arial Unicode MS"/>
      <w:color w:val="000000"/>
      <w:sz w:val="16"/>
      <w:szCs w:val="16"/>
    </w:rPr>
  </w:style>
  <w:style w:type="character" w:styleId="ab">
    <w:name w:val="Strong"/>
    <w:basedOn w:val="a1"/>
    <w:uiPriority w:val="22"/>
    <w:qFormat/>
    <w:locked/>
    <w:rsid w:val="00BB70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973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rada/show/v0173750-13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1700-1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5.rada.gov.ua/laws/show/889-19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inbox@cna.court.gov.u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zakon3.rada.gov.ua/rada/show/v0108750-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5</Pages>
  <Words>5963</Words>
  <Characters>3399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Babkina</cp:lastModifiedBy>
  <cp:revision>33</cp:revision>
  <dcterms:created xsi:type="dcterms:W3CDTF">2016-10-25T13:10:00Z</dcterms:created>
  <dcterms:modified xsi:type="dcterms:W3CDTF">2018-03-07T06:55:00Z</dcterms:modified>
</cp:coreProperties>
</file>