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лютому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лютому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електронною поштою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6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ів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 інформацію.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ґрунтовну відповідь по суті запитуваної  інформації по </w:t>
      </w:r>
      <w:r>
        <w:rPr>
          <w:b/>
          <w:bCs/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ам</w:t>
      </w:r>
      <w:r>
        <w:rPr>
          <w:color w:val="000000"/>
          <w:sz w:val="28"/>
          <w:szCs w:val="28"/>
          <w:lang w:val="uk-UA"/>
        </w:rPr>
        <w:t xml:space="preserve">.  Розглянуті </w:t>
      </w:r>
      <w:r>
        <w:rPr>
          <w:b/>
          <w:bCs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запита за </w:t>
      </w:r>
      <w:r>
        <w:rPr>
          <w:color w:val="000000"/>
          <w:sz w:val="28"/>
          <w:szCs w:val="28"/>
          <w:lang w:val="uk-UA"/>
        </w:rPr>
        <w:t>січень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року. 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Не розглянуті </w:t>
      </w:r>
      <w:r>
        <w:rPr>
          <w:b/>
          <w:bCs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запита, </w:t>
      </w:r>
      <w:r>
        <w:rPr>
          <w:color w:val="000000"/>
          <w:sz w:val="28"/>
          <w:szCs w:val="28"/>
          <w:lang w:val="uk-UA"/>
        </w:rPr>
        <w:t>які</w:t>
      </w:r>
      <w:r>
        <w:rPr>
          <w:color w:val="000000"/>
          <w:sz w:val="28"/>
          <w:szCs w:val="28"/>
          <w:lang w:val="uk-UA"/>
        </w:rPr>
        <w:t xml:space="preserve"> надійш</w:t>
      </w:r>
      <w:r>
        <w:rPr>
          <w:color w:val="000000"/>
          <w:sz w:val="28"/>
          <w:szCs w:val="28"/>
          <w:lang w:val="uk-UA"/>
        </w:rPr>
        <w:t>ли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>4 та 26 січня 2021 року.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щодо </w:t>
      </w:r>
      <w:r>
        <w:rPr>
          <w:color w:val="000000"/>
          <w:sz w:val="28"/>
          <w:szCs w:val="28"/>
          <w:lang w:val="uk-UA"/>
        </w:rPr>
        <w:t>службового житла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щодо </w:t>
      </w:r>
      <w:r>
        <w:rPr>
          <w:color w:val="000000"/>
          <w:sz w:val="28"/>
          <w:szCs w:val="28"/>
          <w:lang w:val="uk-UA"/>
        </w:rPr>
        <w:t>розміру стимулюючих виплат працівникам апарату суду;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щодо суддів, які не здійснюють правосуддя  </w:t>
      </w:r>
      <w:r>
        <w:rPr>
          <w:color w:val="000000"/>
          <w:sz w:val="28"/>
          <w:szCs w:val="28"/>
          <w:lang w:val="uk-UA"/>
        </w:rPr>
        <w:t>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 </w:t>
      </w:r>
      <w:r>
        <w:rPr>
          <w:b/>
          <w:bCs/>
          <w:color w:val="000000"/>
          <w:sz w:val="28"/>
          <w:szCs w:val="28"/>
          <w:lang w:val="uk-UA"/>
        </w:rPr>
        <w:t>504</w:t>
      </w:r>
      <w:r>
        <w:rPr>
          <w:color w:val="000000"/>
          <w:sz w:val="28"/>
          <w:szCs w:val="28"/>
          <w:lang w:val="uk-UA"/>
        </w:rPr>
        <w:t xml:space="preserve"> 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Application>LibreOffice/5.4.2.2$Windows_X86_64 LibreOffice_project/22b09f6418e8c2d508a9eaf86b2399209b0990f4</Application>
  <Pages>1</Pages>
  <Words>132</Words>
  <Characters>823</Characters>
  <CharactersWithSpaces>966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2021-03-02T13:00:35Z</dcterms:modified>
  <cp:revision>73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