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tab/>
        <w:tab/>
        <w:tab/>
        <w:tab/>
        <w:tab/>
        <w:tab/>
        <w:tab/>
      </w:r>
      <w:r>
        <w:rPr>
          <w:rFonts w:cs="Times New Roman" w:ascii="Times New Roman" w:hAnsi="Times New Roman"/>
        </w:rPr>
        <w:tab/>
        <w:t>ЗАТВЕРДЖЕНО</w:t>
      </w:r>
    </w:p>
    <w:p>
      <w:pPr>
        <w:pStyle w:val="Normal"/>
        <w:rPr>
          <w:rFonts w:ascii="Times New Roman" w:hAnsi="Times New Roman" w:cs="Times New Roman"/>
        </w:rPr>
      </w:pPr>
      <w:r>
        <w:rPr>
          <w:rFonts w:cs="Times New Roman" w:ascii="Times New Roman" w:hAnsi="Times New Roman"/>
        </w:rPr>
        <w:tab/>
        <w:tab/>
        <w:tab/>
        <w:tab/>
        <w:tab/>
        <w:tab/>
        <w:tab/>
        <w:tab/>
        <w:t xml:space="preserve">Наказ Голови </w:t>
      </w:r>
    </w:p>
    <w:p>
      <w:pPr>
        <w:pStyle w:val="Normal"/>
        <w:ind w:left="4956" w:firstLine="708"/>
        <w:rPr>
          <w:rFonts w:ascii="Times New Roman" w:hAnsi="Times New Roman" w:cs="Times New Roman"/>
        </w:rPr>
      </w:pPr>
      <w:r>
        <w:rPr>
          <w:rFonts w:cs="Times New Roman" w:ascii="Times New Roman" w:hAnsi="Times New Roman"/>
        </w:rPr>
        <w:t xml:space="preserve">Дніпровського апеляційного суду </w:t>
      </w:r>
    </w:p>
    <w:p>
      <w:pPr>
        <w:pStyle w:val="Normal"/>
        <w:ind w:left="4956" w:firstLine="708"/>
        <w:rPr>
          <w:rFonts w:ascii="Times New Roman" w:hAnsi="Times New Roman" w:cs="Times New Roman"/>
        </w:rPr>
      </w:pPr>
      <w:r>
        <w:rPr>
          <w:rFonts w:cs="Times New Roman" w:ascii="Times New Roman" w:hAnsi="Times New Roman"/>
        </w:rPr>
        <w:t>від 04 березня 2019 року № 27</w:t>
      </w:r>
      <w:bookmarkStart w:id="0" w:name="_GoBack"/>
      <w:bookmarkEnd w:id="0"/>
    </w:p>
    <w:p>
      <w:pPr>
        <w:pStyle w:val="Normal"/>
        <w:numPr>
          <w:ilvl w:val="0"/>
          <w:numId w:val="0"/>
        </w:numPr>
        <w:shd w:val="clear" w:color="auto" w:fill="FFFFFF"/>
        <w:spacing w:lineRule="auto" w:line="240" w:before="0" w:after="75"/>
        <w:jc w:val="center"/>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numPr>
          <w:ilvl w:val="0"/>
          <w:numId w:val="0"/>
        </w:numPr>
        <w:shd w:val="clear" w:color="auto" w:fill="FFFFFF"/>
        <w:spacing w:lineRule="auto" w:line="240" w:before="0" w:after="75"/>
        <w:jc w:val="center"/>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Перелік відомостей, що становлять службову інформацію</w:t>
      </w:r>
    </w:p>
    <w:p>
      <w:pPr>
        <w:pStyle w:val="Normal"/>
        <w:numPr>
          <w:ilvl w:val="0"/>
          <w:numId w:val="0"/>
        </w:numPr>
        <w:shd w:val="clear" w:color="auto" w:fill="FFFFFF"/>
        <w:spacing w:lineRule="auto" w:line="240" w:before="0" w:after="75"/>
        <w:jc w:val="center"/>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в Дніпровському апеляційному суді</w:t>
      </w:r>
    </w:p>
    <w:p>
      <w:pPr>
        <w:pStyle w:val="Normal"/>
        <w:numPr>
          <w:ilvl w:val="0"/>
          <w:numId w:val="0"/>
        </w:numPr>
        <w:shd w:val="clear" w:color="auto" w:fill="FFFFFF"/>
        <w:spacing w:lineRule="auto" w:line="240" w:before="0" w:after="75"/>
        <w:jc w:val="center"/>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ListParagraph"/>
        <w:numPr>
          <w:ilvl w:val="0"/>
          <w:numId w:val="1"/>
        </w:numPr>
        <w:shd w:val="clear" w:color="auto" w:fill="FFFFFF"/>
        <w:spacing w:lineRule="auto" w:line="240" w:before="0" w:after="75"/>
        <w:contextualSpacing/>
        <w:jc w:val="center"/>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Зміст відомостей з питань мобілізаційної підготовки:</w:t>
      </w:r>
    </w:p>
    <w:p>
      <w:pPr>
        <w:pStyle w:val="ListParagraph"/>
        <w:numPr>
          <w:ilvl w:val="0"/>
          <w:numId w:val="0"/>
        </w:numPr>
        <w:shd w:val="clear" w:color="auto" w:fill="FFFFFF"/>
        <w:spacing w:lineRule="auto" w:line="240" w:before="0" w:after="75"/>
        <w:ind w:left="720" w:hanging="0"/>
        <w:contextualSpacing/>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ListParagraph"/>
        <w:numPr>
          <w:ilvl w:val="0"/>
          <w:numId w:val="2"/>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відомості про методичні матеріали з питань мобілізаційної підготовки;</w:t>
      </w:r>
    </w:p>
    <w:p>
      <w:pPr>
        <w:pStyle w:val="ListParagraph"/>
        <w:numPr>
          <w:ilvl w:val="0"/>
          <w:numId w:val="2"/>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відомості про виконання законів, інших нормативно-правових актів з питань мобілізаційної підготовки;</w:t>
      </w:r>
    </w:p>
    <w:p>
      <w:pPr>
        <w:pStyle w:val="ListParagraph"/>
        <w:numPr>
          <w:ilvl w:val="0"/>
          <w:numId w:val="2"/>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відомості про військовозобов»язаних, заброньованих за Дніпровським апеляційним судом;</w:t>
      </w:r>
    </w:p>
    <w:p>
      <w:pPr>
        <w:pStyle w:val="ListParagraph"/>
        <w:numPr>
          <w:ilvl w:val="0"/>
          <w:numId w:val="2"/>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відомості про виділення будівель, споруд, транспортних та інших матеріально-технічних засобів Збройним Силам України, іншим військовим формуванням в особливий період;</w:t>
      </w:r>
    </w:p>
    <w:p>
      <w:pPr>
        <w:pStyle w:val="ListParagraph"/>
        <w:numPr>
          <w:ilvl w:val="0"/>
          <w:numId w:val="2"/>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відомості про організаційно-штатну структуру та штатний розпис на особливий період;</w:t>
      </w:r>
    </w:p>
    <w:p>
      <w:pPr>
        <w:pStyle w:val="ListParagraph"/>
        <w:numPr>
          <w:ilvl w:val="0"/>
          <w:numId w:val="2"/>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відомості про заходи з мобілізаційної підготовки та мобілізаційного плану щодо забезпечення діяльності суду в особливий період;</w:t>
      </w:r>
    </w:p>
    <w:p>
      <w:pPr>
        <w:pStyle w:val="ListParagraph"/>
        <w:numPr>
          <w:ilvl w:val="0"/>
          <w:numId w:val="2"/>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відомості про організацію оповіщення, порядок переведення суду на режим роботи в умовах особливого періоду;</w:t>
      </w:r>
    </w:p>
    <w:p>
      <w:pPr>
        <w:pStyle w:val="ListParagraph"/>
        <w:numPr>
          <w:ilvl w:val="0"/>
          <w:numId w:val="2"/>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відомості щодо планування, організації та виконання заходів з цивільного захисту й охорони суду на особливий період.</w:t>
      </w:r>
    </w:p>
    <w:p>
      <w:pPr>
        <w:pStyle w:val="Normal"/>
        <w:numPr>
          <w:ilvl w:val="0"/>
          <w:numId w:val="0"/>
        </w:numPr>
        <w:shd w:val="clear" w:color="auto" w:fill="FFFFFF"/>
        <w:spacing w:lineRule="auto" w:line="240" w:before="0" w:after="75"/>
        <w:ind w:left="2124" w:hanging="0"/>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ListParagraph"/>
        <w:numPr>
          <w:ilvl w:val="0"/>
          <w:numId w:val="1"/>
        </w:numPr>
        <w:shd w:val="clear" w:color="auto" w:fill="FFFFFF"/>
        <w:spacing w:lineRule="auto" w:line="240" w:before="0" w:after="75"/>
        <w:ind w:left="2552" w:hanging="42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Зміст відомостей з питань охорони державної таємниці:</w:t>
      </w:r>
    </w:p>
    <w:p>
      <w:pPr>
        <w:pStyle w:val="Normal"/>
        <w:numPr>
          <w:ilvl w:val="0"/>
          <w:numId w:val="0"/>
        </w:numPr>
        <w:shd w:val="clear" w:color="auto" w:fill="FFFFFF"/>
        <w:spacing w:lineRule="auto" w:line="240" w:before="0" w:after="75"/>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акти перевірки стану режиму секретності в Дніпровському апеляційному суді;</w:t>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номенклатура посад працівників Дніпровського апеляційного суду, перебування на яких потребує оформлення допуску та надання доступу до державної таємниці;</w:t>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накази щодо забезпечення режиму секретності в Дніпровському апеляційному суді;</w:t>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накази з питань надання та припинення доступу до державної таємниці;</w:t>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облікові картки громадян про надання допуску та доступу до державної таємниці;</w:t>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листування з питань оформлення допуску  до державної таємниці;</w:t>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протоколи засідань експертних комісій з питань таємниць та з проведення експертизи цінності документів, у разі потреби;</w:t>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номенклатура секретних справ;</w:t>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акти знищення секретних документів;</w:t>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пропозиції до висновку про обізнаність громадян у відомостях, що становлять державну таємницю;</w:t>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акти перевірки наявності секретних документів;</w:t>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плани роботи відділу режимно-секретної роботи;</w:t>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інструкції, плани, положення, правила, розроблені у відділі режимно-секретної роботи відповідно до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18.12.2013 №939, у разі потреби;</w:t>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листування з  територіальним Управлінням Служби безпеки України, Державною судовою адміністрацією України з питань ведення секретного діловодства, забезпечення режиму секретності та збереження державної таємниці, у разі потреби;</w:t>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листування стосовно приведення грифів секретності у відповідність до Зводу відомостей, що становлять державну таємницю;</w:t>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документи з питань технічного захисту інформації в автоматизованих системах класу 1 другої категорії та організації урядового зв»язку, якщо ця інформація не містить відомості, що становлять державну таємницю;</w:t>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листи, довідки, висновки та інші документи, підготовлені виконавцями секретних документів, які містять відомості, що не становлять державної таємниці, але розголошення яких може завдати істотної шкоди інтересам національної безпеки, територіальній цілісності або громадському порядку, здоров»ю населення, репутації та правам інших осіб;</w:t>
      </w:r>
    </w:p>
    <w:p>
      <w:pPr>
        <w:pStyle w:val="ListParagraph"/>
        <w:numPr>
          <w:ilvl w:val="0"/>
          <w:numId w:val="3"/>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журнали обліку секретного діловодства.</w:t>
      </w:r>
    </w:p>
    <w:p>
      <w:pPr>
        <w:pStyle w:val="Normal"/>
        <w:numPr>
          <w:ilvl w:val="0"/>
          <w:numId w:val="0"/>
        </w:numPr>
        <w:shd w:val="clear" w:color="auto" w:fill="FFFFFF"/>
        <w:spacing w:lineRule="auto" w:line="240" w:before="0" w:after="75"/>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ListParagraph"/>
        <w:numPr>
          <w:ilvl w:val="0"/>
          <w:numId w:val="1"/>
        </w:numPr>
        <w:shd w:val="clear" w:color="auto" w:fill="FFFFFF"/>
        <w:spacing w:lineRule="auto" w:line="240" w:before="0" w:after="75"/>
        <w:contextualSpacing/>
        <w:jc w:val="center"/>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Зміст відомостей з питань організації роботи Дніпровського апеляційного суду::</w:t>
      </w:r>
    </w:p>
    <w:p>
      <w:pPr>
        <w:pStyle w:val="Normal"/>
        <w:numPr>
          <w:ilvl w:val="0"/>
          <w:numId w:val="0"/>
        </w:numPr>
        <w:shd w:val="clear" w:color="auto" w:fill="FFFFFF"/>
        <w:spacing w:lineRule="auto" w:line="240" w:before="0" w:after="75"/>
        <w:jc w:val="center"/>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ListParagraph"/>
        <w:numPr>
          <w:ilvl w:val="0"/>
          <w:numId w:val="4"/>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внутрівідомча службова кореспонденція, доповідні записки, рекомендації, якщо вони пов»язані з розробкою напряму діяльності Дніпровського апеляційного суду, процесом прийняття рішень і передують публічному обговоренню та/або прийняттю рішення (за умови дотримання сукупності вимог, передбачених частиною другою статті 6 Закону України «Про доступ до публічної інформації»);</w:t>
      </w:r>
    </w:p>
    <w:p>
      <w:pPr>
        <w:pStyle w:val="ListParagraph"/>
        <w:numPr>
          <w:ilvl w:val="0"/>
          <w:numId w:val="4"/>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з питань організації та діяльності органів суддівського самоврядування, з питань внутрішньої діяльності суду (протоколи зборів суддів, протоколи оперативних нарад тощо);</w:t>
      </w:r>
    </w:p>
    <w:p>
      <w:pPr>
        <w:pStyle w:val="ListParagraph"/>
        <w:numPr>
          <w:ilvl w:val="0"/>
          <w:numId w:val="4"/>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накази Дніпровського апеляційного суду, яким присвоюється гриф обмеження доступу «Для службового користування»;</w:t>
      </w:r>
    </w:p>
    <w:p>
      <w:pPr>
        <w:pStyle w:val="ListParagraph"/>
        <w:numPr>
          <w:ilvl w:val="0"/>
          <w:numId w:val="4"/>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дисциплінарні справи державних службовців, які займають посади категорій «Б» і «В» в Дніпровському апеляційному суді;</w:t>
      </w:r>
    </w:p>
    <w:p>
      <w:pPr>
        <w:pStyle w:val="ListParagraph"/>
        <w:numPr>
          <w:ilvl w:val="0"/>
          <w:numId w:val="4"/>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документи Дніпровського апеляційного суду, що містять службову інформацію інших державних органів, органів місцевого самоврядування, підприємств, установ й організацій;</w:t>
      </w:r>
    </w:p>
    <w:p>
      <w:pPr>
        <w:pStyle w:val="ListParagraph"/>
        <w:numPr>
          <w:ilvl w:val="0"/>
          <w:numId w:val="4"/>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договори та документи претензійно-позовного характеру, які мають гриф обмеження доступу «Для службового користування», крім випадків, коли вони містять відомості, що становлять державну таємницю;</w:t>
      </w:r>
    </w:p>
    <w:p>
      <w:pPr>
        <w:pStyle w:val="ListParagraph"/>
        <w:numPr>
          <w:ilvl w:val="0"/>
          <w:numId w:val="4"/>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документи з питань технічного захисту інформації в автоматизованих системах класу 1 четвертої категорії (у разі впровадження);</w:t>
      </w:r>
    </w:p>
    <w:p>
      <w:pPr>
        <w:pStyle w:val="ListParagraph"/>
        <w:numPr>
          <w:ilvl w:val="0"/>
          <w:numId w:val="4"/>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з організаційно-кадрової роботи суду (особові справи суддів та працівників апарату суду, з особового складу, проходження медичного огляду, з питань службових розслідувань;</w:t>
      </w:r>
    </w:p>
    <w:p>
      <w:pPr>
        <w:pStyle w:val="ListParagraph"/>
        <w:numPr>
          <w:ilvl w:val="0"/>
          <w:numId w:val="4"/>
        </w:numPr>
        <w:shd w:val="clear" w:color="auto" w:fill="FFFFFF"/>
        <w:spacing w:lineRule="auto" w:line="240" w:before="0" w:after="75"/>
        <w:contextualSpacing/>
        <w:jc w:val="both"/>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з питань організації ведення обліку, реєстрації та зберігання службових документів діяльності суду;</w:t>
      </w:r>
    </w:p>
    <w:p>
      <w:pPr>
        <w:pStyle w:val="ListParagraph"/>
        <w:numPr>
          <w:ilvl w:val="0"/>
          <w:numId w:val="0"/>
        </w:numPr>
        <w:shd w:val="clear" w:color="auto" w:fill="FFFFFF"/>
        <w:spacing w:lineRule="auto" w:line="240" w:before="0" w:after="75"/>
        <w:ind w:left="720" w:hanging="0"/>
        <w:contextualSpacing/>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ListParagraph"/>
        <w:numPr>
          <w:ilvl w:val="0"/>
          <w:numId w:val="0"/>
        </w:numPr>
        <w:shd w:val="clear" w:color="auto" w:fill="FFFFFF"/>
        <w:spacing w:lineRule="auto" w:line="240" w:before="0" w:after="75"/>
        <w:ind w:left="720" w:hanging="0"/>
        <w:contextualSpacing/>
        <w:outlineLvl w:val="2"/>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before="0" w:after="160"/>
        <w:ind w:left="4956" w:firstLine="708"/>
        <w:jc w:val="center"/>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у виносці Знак"/>
    <w:basedOn w:val="DefaultParagraphFont"/>
    <w:link w:val="a3"/>
    <w:uiPriority w:val="99"/>
    <w:semiHidden/>
    <w:qFormat/>
    <w:rsid w:val="00436ab7"/>
    <w:rPr>
      <w:rFonts w:ascii="Segoe UI" w:hAnsi="Segoe UI" w:cs="Segoe UI"/>
      <w:sz w:val="18"/>
      <w:szCs w:val="18"/>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436ab7"/>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6d626a"/>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Application>LibreOffice/7.0.4.2$Windows_X86_64 LibreOffice_project/dcf040e67528d9187c66b2379df5ea4407429775</Application>
  <AppVersion>15.0000</AppVersion>
  <Pages>3</Pages>
  <Words>626</Words>
  <Characters>4426</Characters>
  <CharactersWithSpaces>4991</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2019-02-28T13:42:00Z</dcterms:created>
  <dc:creator>Єремейчук О.А.</dc:creator>
  <dc:description/>
  <dc:language>uk-UA</dc:language>
  <cp:lastModifiedBy>Санжаровська А.І.</cp:lastModifiedBy>
  <cp:lastPrinted>2019-03-04T13:42:00Z</cp:lastPrinted>
  <dcterms:modified xsi:type="dcterms:W3CDTF">2023-12-19T07:35:00Z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