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7C" w:rsidRDefault="0078777C" w:rsidP="0078777C">
      <w:pPr>
        <w:spacing w:after="0" w:line="240" w:lineRule="exact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022C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:rsidR="0078777C" w:rsidRPr="0014022C" w:rsidRDefault="0078777C" w:rsidP="0078777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02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Наказ Територіального управління Служби судової охорони у Черкаській області </w:t>
      </w:r>
    </w:p>
    <w:p w:rsidR="0078777C" w:rsidRPr="00781832" w:rsidRDefault="00025990" w:rsidP="0078777C">
      <w:pPr>
        <w:tabs>
          <w:tab w:val="left" w:pos="5245"/>
        </w:tabs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</w:t>
      </w:r>
      <w:r w:rsidR="00E55908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  <w:r w:rsidR="007877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  <w:r w:rsidR="001913F4">
        <w:rPr>
          <w:rFonts w:ascii="Times New Roman" w:eastAsia="Times New Roman" w:hAnsi="Times New Roman"/>
          <w:sz w:val="28"/>
          <w:szCs w:val="28"/>
          <w:lang w:val="uk-UA" w:eastAsia="ru-RU"/>
        </w:rPr>
        <w:t>______</w:t>
      </w:r>
    </w:p>
    <w:p w:rsidR="0078777C" w:rsidRPr="008B01AD" w:rsidRDefault="0078777C" w:rsidP="007877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8777C" w:rsidRPr="00C55055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3340F6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40F6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40F6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40F6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40F6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8777C" w:rsidRPr="001B7E3F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B7E3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78777C" w:rsidRPr="00A22D29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8777C" w:rsidRDefault="003340F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провідного спеціаліста фінансово-економічного відділу</w:t>
      </w:r>
    </w:p>
    <w:p w:rsidR="0078777C" w:rsidRPr="0035124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Територіального управління </w:t>
      </w:r>
      <w:bookmarkStart w:id="0" w:name="_Hlk223362628"/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Служби судової охорони у Черкаській області</w:t>
      </w:r>
      <w:bookmarkEnd w:id="0"/>
    </w:p>
    <w:p w:rsidR="0078777C" w:rsidRPr="00A22D29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4DF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Загальні умови</w:t>
      </w:r>
    </w:p>
    <w:p w:rsidR="0078777C" w:rsidRPr="00CE4DF3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4DF3">
        <w:rPr>
          <w:rFonts w:ascii="Times New Roman" w:hAnsi="Times New Roman"/>
          <w:b/>
          <w:sz w:val="28"/>
          <w:szCs w:val="28"/>
          <w:lang w:val="uk-UA"/>
        </w:rPr>
        <w:t xml:space="preserve">1. Основні посадові обов’язки </w:t>
      </w:r>
      <w:bookmarkStart w:id="1" w:name="_Hlk233206504"/>
      <w:r w:rsidR="003340F6" w:rsidRPr="003340F6">
        <w:rPr>
          <w:rFonts w:ascii="Times New Roman" w:hAnsi="Times New Roman"/>
          <w:b/>
          <w:sz w:val="28"/>
          <w:szCs w:val="28"/>
          <w:lang w:val="uk-UA"/>
        </w:rPr>
        <w:t>провідного спеціаліста фінансово-економічного відділу</w:t>
      </w:r>
      <w:r w:rsidR="00340C07" w:rsidRPr="00340C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1"/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Територіального управління Служби судової охорони у Черкаській області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55B19" w:rsidRPr="00655B19" w:rsidRDefault="00F7081A" w:rsidP="00655B1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81A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655B19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655B19"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облік необоротних активів, запасів за прийнятою </w:t>
      </w:r>
      <w:r w:rsidR="00655B19">
        <w:rPr>
          <w:rFonts w:ascii="Times New Roman" w:hAnsi="Times New Roman" w:cs="Times New Roman"/>
          <w:sz w:val="28"/>
          <w:szCs w:val="28"/>
          <w:lang w:val="uk-UA"/>
        </w:rPr>
        <w:t>в установі</w:t>
      </w:r>
      <w:r w:rsidR="00655B19"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формою бухгалтерського обліку з додержанням єдиних методологічних засад бухгалтерського обліку та з урахуванням особливостей діяльності </w:t>
      </w:r>
      <w:r w:rsidR="00655B19"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="00655B19"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й технології оброблення даних</w:t>
      </w:r>
      <w:r w:rsidR="00655B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5B19" w:rsidRPr="00655B19" w:rsidRDefault="00655B19" w:rsidP="00655B1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з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>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повне та достовірне відображення інформації, що міститься у прийнятих до обліку первинних документах, на рахунках бухгалтерського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5B19" w:rsidRPr="00655B19" w:rsidRDefault="00655B19" w:rsidP="00655B1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бере участь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у проведенні інвентаризації активів і зобов’язань, оформленні матеріалів, пов’язаних з нестачею та відшкодуванням втрат від нестачі, крадіжки й псування активів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установи;</w:t>
      </w:r>
    </w:p>
    <w:p w:rsidR="00655B19" w:rsidRDefault="00655B19" w:rsidP="00655B1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своєчасно і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>нформу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798">
        <w:rPr>
          <w:rFonts w:ascii="Times New Roman" w:hAnsi="Times New Roman" w:cs="Times New Roman"/>
          <w:sz w:val="28"/>
          <w:szCs w:val="28"/>
          <w:lang w:val="uk-UA"/>
        </w:rPr>
        <w:t>начальника фінансово-економічного відділу</w:t>
      </w:r>
      <w:r w:rsidR="008A6798" w:rsidRPr="008A6798">
        <w:t xml:space="preserve"> </w:t>
      </w:r>
      <w:r w:rsidR="008A6798" w:rsidRPr="006E5A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6798" w:rsidRPr="006E5AAC">
        <w:rPr>
          <w:rFonts w:ascii="Times New Roman" w:hAnsi="Times New Roman" w:cs="Times New Roman"/>
          <w:sz w:val="28"/>
          <w:szCs w:val="28"/>
        </w:rPr>
        <w:t>головн</w:t>
      </w:r>
      <w:proofErr w:type="spellEnd"/>
      <w:r w:rsidR="008A6798" w:rsidRPr="006E5AA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A6798" w:rsidRPr="006E5AAC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8A6798" w:rsidRPr="006E5A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6798" w:rsidRPr="006E5AAC">
        <w:rPr>
          <w:rFonts w:ascii="Times New Roman" w:hAnsi="Times New Roman" w:cs="Times New Roman"/>
          <w:sz w:val="28"/>
          <w:szCs w:val="28"/>
        </w:rPr>
        <w:t>)</w:t>
      </w:r>
      <w:r w:rsidR="008A6798">
        <w:rPr>
          <w:lang w:val="uk-UA"/>
        </w:rPr>
        <w:t xml:space="preserve"> </w:t>
      </w:r>
      <w:r w:rsidR="008A6798" w:rsidRPr="008A6798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Служби судової охорони у Черкаській області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про переміщення і наявність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5B19" w:rsidRPr="00655B19" w:rsidRDefault="00655B19" w:rsidP="00655B1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п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>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55B19">
        <w:rPr>
          <w:rFonts w:ascii="Times New Roman" w:hAnsi="Times New Roman" w:cs="Times New Roman"/>
          <w:sz w:val="28"/>
          <w:szCs w:val="28"/>
          <w:lang w:val="uk-UA"/>
        </w:rPr>
        <w:t xml:space="preserve"> перевірку бухгалтерських даних з залишками у матеріально-відповідальних осіб</w:t>
      </w:r>
      <w:r w:rsidR="008466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81A" w:rsidRPr="007D4E08" w:rsidRDefault="00F7081A" w:rsidP="00F7081A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2. Умови оплати праці:</w:t>
      </w: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1) грошове забезпечення відповідно до частини першої статті 165 Закону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України «Про судоустрій і статус суддів» складається з посадового окладу,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окладу за спеціальним званням, щомісячних додаткових видів грошового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 (підвищення посадового окладу, надбавки, доплати, які мають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постійний характер), премії та одноразових додаткових видів грошового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забезпечення;</w:t>
      </w:r>
    </w:p>
    <w:p w:rsidR="0078777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посадовий оклад – </w:t>
      </w:r>
      <w:r w:rsidR="008466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5 780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гривень відповідно до постанови Кабінету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Міністрів України від 03 квітня 2019 року № 289 «Про грошове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співробітників Служби судової охорони».</w:t>
      </w: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78777C" w:rsidRPr="00CE4DF3" w:rsidRDefault="0078777C" w:rsidP="0078777C">
      <w:pPr>
        <w:tabs>
          <w:tab w:val="left" w:pos="720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E4D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Інформація про строковість чи безстроковість призначення на посаду:</w:t>
      </w:r>
      <w:r w:rsidRPr="00CE4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 </w:t>
      </w:r>
    </w:p>
    <w:p w:rsidR="0078777C" w:rsidRPr="00CE4DF3" w:rsidRDefault="00901CB6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78777C" w:rsidRPr="00CE4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езстроково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8777C" w:rsidRPr="00A22D29" w:rsidRDefault="0078777C" w:rsidP="0078777C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Pr="00CE4DF3" w:rsidRDefault="0078777C" w:rsidP="0078777C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4DF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4. Перелік документів, необхідних для участі в конкурсі та строк їх подання:</w:t>
      </w:r>
    </w:p>
    <w:p w:rsidR="00C515CD" w:rsidRDefault="00C515CD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1) письмова заява про участь у конкурсі, у якій також зазначається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надання особою згоди на проведення спеціальної перевірки щодо неї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до Закону України «Про запобігання корупції» та на обробку персональних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даних відповідно до Закону України «Про захист персональних даних»;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2) копія паспорта громадянина України;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3) копії документів про освіту з додатками до дипломів;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4) особова картка визначеного зразка, автобіографія та 1 фото розміром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3×4;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5) декларація особи, уповноваженої на виконання функцій держави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або місцевого самоврядування, подається у вигляді роздрукованого примірника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із сайту Національного агентства з питань запобігання корупції,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визначена Законом України "Про запобігання корупції";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6) копія трудової книжки або витяг з реєстру застрахованих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Державного реєстру загальнообов’язкового державного соціального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страхування, або копія послужного списку для осіб, які проходили (проходять)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службу;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7) медична довідку про стан здоров’я, форму і порядок надання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визначають спільно центральний орган виконавчої влади з реалізації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політики у сфері державної служби та центральний орган виконавчої влади,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що забезпечує формування та реалізує державну політику у сфері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здоров’я;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 xml:space="preserve">8) копія військово-облікового документа та електронний </w:t>
      </w:r>
      <w:proofErr w:type="spellStart"/>
      <w:r w:rsidRPr="00C515CD">
        <w:rPr>
          <w:rFonts w:ascii="Times New Roman" w:hAnsi="Times New Roman" w:cs="Times New Roman"/>
          <w:sz w:val="28"/>
          <w:szCs w:val="28"/>
          <w:lang w:val="uk-UA"/>
        </w:rPr>
        <w:t>військовообліковий</w:t>
      </w:r>
      <w:proofErr w:type="spellEnd"/>
      <w:r w:rsidRPr="00C515CD">
        <w:rPr>
          <w:rFonts w:ascii="Times New Roman" w:hAnsi="Times New Roman" w:cs="Times New Roman"/>
          <w:sz w:val="28"/>
          <w:szCs w:val="28"/>
          <w:lang w:val="uk-UA"/>
        </w:rPr>
        <w:t xml:space="preserve"> документ Резерв ID, з наявним QR-кодом військово-облікового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документа придатним для зчитування, роздрукований з застосунку «Резерв +»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або Порталу Дія станом на день подання документів;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9) довідка про проходження попереднього, періодичного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та позачергового психіатричних оглядів (форма № 100-2/о);</w:t>
      </w:r>
    </w:p>
    <w:p w:rsidR="00C515CD" w:rsidRP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10) довідка уповноваженого органу про відсутність судимості, строк 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якої не перевищує 30 календарних днів;</w:t>
      </w:r>
    </w:p>
    <w:p w:rsidR="00C515CD" w:rsidRDefault="00C515CD" w:rsidP="00C515C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CD">
        <w:rPr>
          <w:rFonts w:ascii="Times New Roman" w:hAnsi="Times New Roman" w:cs="Times New Roman"/>
          <w:sz w:val="28"/>
          <w:szCs w:val="28"/>
          <w:lang w:val="uk-UA"/>
        </w:rPr>
        <w:t>11) державний сертифікат про рівень вільного володіння державною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мовою або витяг з реєстру державних сертифікатів про рівень 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володіння державною мовою (рівень не нижче вільного володіння першого</w:t>
      </w:r>
      <w:r w:rsidR="00910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5CD">
        <w:rPr>
          <w:rFonts w:ascii="Times New Roman" w:hAnsi="Times New Roman" w:cs="Times New Roman"/>
          <w:sz w:val="28"/>
          <w:szCs w:val="28"/>
          <w:lang w:val="uk-UA"/>
        </w:rPr>
        <w:t>ступеня).</w:t>
      </w:r>
    </w:p>
    <w:p w:rsidR="00C515CD" w:rsidRDefault="00C515CD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4EA" w:rsidRPr="00463E12" w:rsidRDefault="0050606A" w:rsidP="00463E1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Особа, яка бажає взяти участь у конкурсі, подає документи особисто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905C3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поштою до 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>відділу по роботі з персоналом Територіального управління.</w:t>
      </w:r>
    </w:p>
    <w:p w:rsidR="000554EA" w:rsidRPr="00CE4DF3" w:rsidRDefault="00236978" w:rsidP="00463E12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</w:t>
      </w:r>
      <w:r w:rsidR="004A35AC">
        <w:rPr>
          <w:rFonts w:ascii="Times New Roman" w:hAnsi="Times New Roman"/>
          <w:sz w:val="28"/>
          <w:szCs w:val="28"/>
          <w:lang w:val="uk-UA"/>
        </w:rPr>
        <w:t>но</w:t>
      </w:r>
      <w:r w:rsidR="0078777C" w:rsidRPr="00CE4DF3">
        <w:rPr>
          <w:rFonts w:ascii="Times New Roman" w:hAnsi="Times New Roman"/>
          <w:sz w:val="28"/>
          <w:szCs w:val="28"/>
          <w:lang w:val="uk-UA"/>
        </w:rPr>
        <w:t xml:space="preserve"> до частини 3 статті 54 Закону України «Про Національну поліцію», </w:t>
      </w:r>
      <w:r w:rsidR="0078777C" w:rsidRPr="00CE4DF3">
        <w:rPr>
          <w:rStyle w:val="rvts0"/>
          <w:rFonts w:ascii="Times New Roman" w:hAnsi="Times New Roman"/>
          <w:sz w:val="28"/>
          <w:szCs w:val="28"/>
          <w:lang w:val="uk-UA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78777C" w:rsidRPr="00463E12" w:rsidRDefault="000554EA" w:rsidP="00463E12">
      <w:pPr>
        <w:spacing w:after="0" w:line="216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  <w:r w:rsidRPr="005D6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Особа, яка бажає взяти участь у конкурсі, перед складанням кваліфікаційного іспиту пред’являє</w:t>
      </w:r>
      <w:r w:rsidRPr="003C1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</w:t>
      </w:r>
      <w:r w:rsidRPr="003C1F94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на зайняття вакантн</w:t>
      </w:r>
      <w:r w:rsidR="00805894">
        <w:rPr>
          <w:rFonts w:ascii="Times New Roman" w:hAnsi="Times New Roman" w:cs="Times New Roman"/>
          <w:sz w:val="28"/>
          <w:szCs w:val="28"/>
          <w:lang w:val="uk-UA"/>
        </w:rPr>
        <w:t>ої посади</w:t>
      </w:r>
      <w:r w:rsidRPr="003C1F94">
        <w:rPr>
          <w:rFonts w:ascii="Times New Roman" w:hAnsi="Times New Roman" w:cs="Times New Roman"/>
          <w:sz w:val="28"/>
          <w:szCs w:val="28"/>
          <w:lang w:val="uk-UA"/>
        </w:rPr>
        <w:t xml:space="preserve"> паспорт громадянина України. 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78777C" w:rsidRPr="00D12B24" w:rsidRDefault="0078777C" w:rsidP="00463E1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Прийом документів здійснюється з 09:00 години 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D60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bookmarkStart w:id="2" w:name="_GoBack"/>
      <w:bookmarkEnd w:id="2"/>
      <w:r w:rsidR="00225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</w:t>
      </w:r>
      <w:r w:rsidR="00025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ED7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25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1</w:t>
      </w:r>
      <w:r w:rsidR="005E1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години 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</w:t>
      </w:r>
      <w:r w:rsidR="00E73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ED7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 електронну адресу: vrp.ck@sso.gov.ua та в приміщенні за адресою: м. Черкаси, вул. 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Благовісна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80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(Територіальне управління Служби судової охорони у Черкаській області).</w:t>
      </w:r>
    </w:p>
    <w:p w:rsidR="00017630" w:rsidRPr="00DB5C3F" w:rsidRDefault="0078777C" w:rsidP="00DB5C3F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7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посаду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77A2" w:rsidRPr="00AE7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провідного спеціаліста фінансово-економічного відділу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Територіального управління Служби судової охорони у Черкаській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 </w:t>
      </w:r>
    </w:p>
    <w:p w:rsidR="006E5AAC" w:rsidRDefault="006E5AA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77C" w:rsidRPr="00017630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B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5.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Місце, дата та час початку проведення конкурсу: </w:t>
      </w: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Черкаси, вул. </w:t>
      </w:r>
      <w:r w:rsidR="00E35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Благовісна</w:t>
      </w:r>
      <w:r w:rsidR="000F17D1" w:rsidRPr="000F1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E35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35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5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3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5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</w:t>
      </w:r>
      <w:r w:rsidR="00E73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CE3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о 09:00 годині.</w:t>
      </w:r>
    </w:p>
    <w:p w:rsidR="0078777C" w:rsidRPr="004B237C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16"/>
          <w:szCs w:val="16"/>
          <w:lang w:val="uk-UA" w:eastAsia="ru-RU"/>
        </w:rPr>
      </w:pPr>
    </w:p>
    <w:p w:rsidR="0078777C" w:rsidRPr="00CE4DF3" w:rsidRDefault="0078777C" w:rsidP="0078777C">
      <w:pPr>
        <w:tabs>
          <w:tab w:val="left" w:pos="70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E4D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78777C" w:rsidRDefault="0078777C" w:rsidP="0078777C">
      <w:pPr>
        <w:widowControl w:val="0"/>
        <w:tabs>
          <w:tab w:val="left" w:pos="142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3D2">
        <w:rPr>
          <w:rFonts w:ascii="Times New Roman" w:eastAsia="Times New Roman" w:hAnsi="Times New Roman"/>
          <w:sz w:val="28"/>
          <w:szCs w:val="28"/>
          <w:lang w:val="uk-UA" w:eastAsia="ru-RU"/>
        </w:rPr>
        <w:t>(099) 133-86-30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  <w:hyperlink r:id="rId7" w:history="1">
        <w:r w:rsidR="000F17D1" w:rsidRPr="00232A2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vrp</w:t>
        </w:r>
        <w:r w:rsidR="000F17D1" w:rsidRPr="00232A2F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.ck@sso.gov.ua</w:t>
        </w:r>
      </w:hyperlink>
    </w:p>
    <w:p w:rsidR="000F17D1" w:rsidRPr="003E481B" w:rsidRDefault="000F17D1" w:rsidP="0078777C">
      <w:pPr>
        <w:widowControl w:val="0"/>
        <w:tabs>
          <w:tab w:val="left" w:pos="14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Алексашкіна Людмила Леонідівна;</w:t>
      </w: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Рудікевич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Валерій Володимирович</w:t>
      </w:r>
      <w:r w:rsidR="000554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77C" w:rsidRPr="00CE4DF3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Запісочний </w:t>
      </w:r>
      <w:r w:rsidRPr="008611BA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Іванови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10060" w:type="dxa"/>
        <w:tblInd w:w="108" w:type="dxa"/>
        <w:tblLook w:val="0000" w:firstRow="0" w:lastRow="0" w:firstColumn="0" w:lastColumn="0" w:noHBand="0" w:noVBand="0"/>
      </w:tblPr>
      <w:tblGrid>
        <w:gridCol w:w="10060"/>
      </w:tblGrid>
      <w:tr w:rsidR="0078777C" w:rsidRPr="009D6078" w:rsidTr="003F0ABE">
        <w:trPr>
          <w:trHeight w:val="14772"/>
        </w:trPr>
        <w:tc>
          <w:tcPr>
            <w:tcW w:w="10060" w:type="dxa"/>
          </w:tcPr>
          <w:tbl>
            <w:tblPr>
              <w:tblW w:w="9671" w:type="dxa"/>
              <w:tblLook w:val="04A0" w:firstRow="1" w:lastRow="0" w:firstColumn="1" w:lastColumn="0" w:noHBand="0" w:noVBand="1"/>
            </w:tblPr>
            <w:tblGrid>
              <w:gridCol w:w="74"/>
              <w:gridCol w:w="3656"/>
              <w:gridCol w:w="105"/>
              <w:gridCol w:w="7"/>
              <w:gridCol w:w="24"/>
              <w:gridCol w:w="5246"/>
              <w:gridCol w:w="290"/>
              <w:gridCol w:w="269"/>
            </w:tblGrid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9402" w:type="dxa"/>
                  <w:gridSpan w:val="7"/>
                </w:tcPr>
                <w:p w:rsidR="0078777C" w:rsidRPr="00CE4DF3" w:rsidRDefault="0078777C" w:rsidP="003F0ABE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6D5887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lastRenderedPageBreak/>
                    <w:t>Кваліфікаційні вимоги</w:t>
                  </w:r>
                </w:p>
              </w:tc>
            </w:tr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9402" w:type="dxa"/>
                  <w:gridSpan w:val="7"/>
                </w:tcPr>
                <w:p w:rsidR="0075396D" w:rsidRPr="00CE4DF3" w:rsidRDefault="0075396D" w:rsidP="003F0ABE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9D6078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66" w:type="dxa"/>
                  <w:gridSpan w:val="5"/>
                  <w:hideMark/>
                </w:tcPr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7D13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1. Загальні вимоги</w:t>
                  </w: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Освіта</w:t>
                  </w:r>
                </w:p>
                <w:p w:rsidR="007D1385" w:rsidRPr="00CE4DF3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36" w:type="dxa"/>
                  <w:gridSpan w:val="2"/>
                  <w:hideMark/>
                </w:tcPr>
                <w:p w:rsidR="007D1385" w:rsidRDefault="007D1385" w:rsidP="003F0ABE">
                  <w:pPr>
                    <w:spacing w:after="0" w:line="21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D13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громадянин України; відповідність загальним вимогам до кандидатів на службу (частина 1 ст. 163 Закону України «Про судоустрій і статус суддів»); вік не повинен перевищувати граничний вік перебування на службі.</w:t>
                  </w:r>
                </w:p>
                <w:p w:rsidR="00BC65F8" w:rsidRP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6D5887" w:rsidRDefault="006D5887" w:rsidP="00AD5D6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освіта </w:t>
                  </w:r>
                  <w:r w:rsid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вища, ступінь вищої освіти – не нижче бакалавра</w:t>
                  </w:r>
                  <w:r w:rsid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="00AD5D6E" w:rsidRPr="00AD5D6E">
                    <w:rPr>
                      <w:lang w:val="uk-UA"/>
                    </w:rPr>
                    <w:t xml:space="preserve"> </w:t>
                  </w:r>
                  <w:r w:rsidR="00AD5D6E" w:rsidRP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освіта в галузі знань «Бізнес,</w:t>
                  </w:r>
                  <w:r w:rsid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D5D6E" w:rsidRP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адміністрування та право» за однією</w:t>
                  </w:r>
                  <w:r w:rsid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D5D6E" w:rsidRP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 спеціальностей «Облік і оподаткування»,</w:t>
                  </w:r>
                  <w:r w:rsid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D5D6E" w:rsidRP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«Фінанси, банківська справа, страхування</w:t>
                  </w:r>
                  <w:r w:rsid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D5D6E" w:rsidRPr="00AD5D6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та фондовий ринок»</w:t>
                  </w:r>
                  <w:r w:rsid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BC65F8" w:rsidRPr="00CE4DF3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66" w:type="dxa"/>
                  <w:gridSpan w:val="5"/>
                  <w:hideMark/>
                </w:tcPr>
                <w:p w:rsidR="0078777C" w:rsidRPr="00CE4DF3" w:rsidRDefault="007D1385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Досвід роботи</w:t>
                  </w:r>
                </w:p>
              </w:tc>
              <w:tc>
                <w:tcPr>
                  <w:tcW w:w="5536" w:type="dxa"/>
                  <w:gridSpan w:val="2"/>
                </w:tcPr>
                <w:p w:rsidR="0078777C" w:rsidRPr="00CE4DF3" w:rsidRDefault="0078777C" w:rsidP="003F0ABE">
                  <w:pPr>
                    <w:spacing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без досвіду роботи</w:t>
                  </w:r>
                  <w:r w:rsidR="0050606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78777C" w:rsidRPr="009D6078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66" w:type="dxa"/>
                  <w:gridSpan w:val="5"/>
                  <w:hideMark/>
                </w:tcPr>
                <w:p w:rsidR="00BC65F8" w:rsidRDefault="00BC65F8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7D1385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4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. </w:t>
                  </w:r>
                  <w:r w:rsidRPr="007D13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Володіння державною мовою</w:t>
                  </w: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5.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Робота з комп’ютером</w:t>
                  </w: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Pr="00CE4DF3" w:rsidRDefault="0050606A" w:rsidP="00BC65F8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36" w:type="dxa"/>
                  <w:gridSpan w:val="2"/>
                  <w:hideMark/>
                </w:tcPr>
                <w:p w:rsid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2808BD" w:rsidP="002808BD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відповідно до вимог Закону України «Про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забезпечення функціонування української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мови як державної» (рівень не нижче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2808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вільного володіння першого ступеня)</w:t>
                  </w:r>
                  <w:r w:rsid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50606A" w:rsidP="00BC65F8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базові навички (MS Office, Excel, Outlook</w:t>
                  </w:r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тощо, інтернет, електронна пошта), вміння</w:t>
                  </w:r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працювати з інтернет-браузерами (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Internet</w:t>
                  </w:r>
                  <w:proofErr w:type="spellEnd"/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Explorer,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Mozilla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FireFox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Google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Chrome</w:t>
                  </w:r>
                  <w:proofErr w:type="spellEnd"/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тощо), базами даних.</w:t>
                  </w:r>
                </w:p>
              </w:tc>
            </w:tr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9402" w:type="dxa"/>
                  <w:gridSpan w:val="7"/>
                </w:tcPr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Вимоги до компетентності</w:t>
                  </w:r>
                </w:p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9D6078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42" w:type="dxa"/>
                  <w:gridSpan w:val="4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1. Вміння працювати в колективі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78777C" w:rsidRPr="00CE4DF3" w:rsidRDefault="00AA21A9" w:rsidP="00AA21A9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встановлення цілей, пріоритетів та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орієнтирів; стратегічне планування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,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багатофункціональність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ведення ділових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переговорів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досягнення кінцевих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результатів</w:t>
                  </w:r>
                  <w:r w:rsidR="0078777C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42" w:type="dxa"/>
                  <w:gridSpan w:val="4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2. Аналітичні здібності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</w:tcPr>
                <w:p w:rsidR="0078777C" w:rsidRPr="00CE4DF3" w:rsidRDefault="0078777C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здатність систематизувати, узагальнювати інформацію;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гнучкість</w:t>
                  </w:r>
                  <w:r w:rsidR="006D588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мислення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3340F6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42" w:type="dxa"/>
                  <w:gridSpan w:val="4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3. Особистісні компетенції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78777C" w:rsidRPr="00CE4DF3" w:rsidRDefault="00AA21A9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комунікабельність, принциповість та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наполегливість під час виконання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поставлених завдань; дотримання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встановлених часових показників;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системність; самоорганізація та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саморозвиток; політична нейтральність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78777C" w:rsidRPr="00CE4DF3" w:rsidTr="001E28B3">
              <w:trPr>
                <w:gridBefore w:val="1"/>
                <w:wBefore w:w="74" w:type="dxa"/>
                <w:trHeight w:val="408"/>
              </w:trPr>
              <w:tc>
                <w:tcPr>
                  <w:tcW w:w="3761" w:type="dxa"/>
                  <w:gridSpan w:val="2"/>
                  <w:shd w:val="clear" w:color="auto" w:fill="FFFFFF"/>
                  <w:hideMark/>
                </w:tcPr>
                <w:p w:rsidR="0078777C" w:rsidRPr="00CE4DF3" w:rsidRDefault="0078777C" w:rsidP="001E28B3">
                  <w:pPr>
                    <w:spacing w:after="0" w:line="216" w:lineRule="auto"/>
                    <w:ind w:left="-3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4. </w:t>
                  </w:r>
                  <w:r w:rsidR="00AA21A9" w:rsidRPr="00AA21A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Робота з інформацією</w:t>
                  </w:r>
                </w:p>
              </w:tc>
              <w:tc>
                <w:tcPr>
                  <w:tcW w:w="5836" w:type="dxa"/>
                  <w:gridSpan w:val="5"/>
                  <w:shd w:val="clear" w:color="auto" w:fill="FFFFFF"/>
                </w:tcPr>
                <w:p w:rsidR="0078777C" w:rsidRPr="00CE4DF3" w:rsidRDefault="00AA21A9" w:rsidP="00AA21A9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знання основ законодавства про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інформацію</w:t>
                  </w:r>
                  <w:r w:rsidR="0078777C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</w:tr>
            <w:tr w:rsidR="0078777C" w:rsidRPr="00CE4DF3" w:rsidTr="001E28B3">
              <w:trPr>
                <w:gridAfter w:val="1"/>
                <w:wAfter w:w="269" w:type="dxa"/>
                <w:trHeight w:val="408"/>
              </w:trPr>
              <w:tc>
                <w:tcPr>
                  <w:tcW w:w="3842" w:type="dxa"/>
                  <w:gridSpan w:val="4"/>
                </w:tcPr>
                <w:p w:rsidR="0078777C" w:rsidRPr="00CE4DF3" w:rsidRDefault="0078777C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60" w:type="dxa"/>
                  <w:gridSpan w:val="3"/>
                </w:tcPr>
                <w:p w:rsidR="0078777C" w:rsidRPr="00CE4DF3" w:rsidRDefault="0078777C" w:rsidP="003F0ABE">
                  <w:pPr>
                    <w:spacing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1E28B3">
              <w:trPr>
                <w:gridBefore w:val="1"/>
                <w:gridAfter w:val="2"/>
                <w:wBefore w:w="74" w:type="dxa"/>
                <w:wAfter w:w="559" w:type="dxa"/>
                <w:trHeight w:val="408"/>
              </w:trPr>
              <w:tc>
                <w:tcPr>
                  <w:tcW w:w="9038" w:type="dxa"/>
                  <w:gridSpan w:val="5"/>
                  <w:hideMark/>
                </w:tcPr>
                <w:p w:rsidR="006E5AAC" w:rsidRDefault="006E5AAC" w:rsidP="003F0ABE">
                  <w:pPr>
                    <w:spacing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6E5AAC" w:rsidRDefault="006E5AAC" w:rsidP="003F0ABE">
                  <w:pPr>
                    <w:spacing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78777C" w:rsidP="003F0ABE">
                  <w:pPr>
                    <w:spacing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lastRenderedPageBreak/>
                    <w:t>Професійні знання</w:t>
                  </w:r>
                </w:p>
              </w:tc>
            </w:tr>
            <w:tr w:rsidR="0078777C" w:rsidRPr="009D6078" w:rsidTr="001E28B3">
              <w:trPr>
                <w:gridBefore w:val="1"/>
                <w:gridAfter w:val="2"/>
                <w:wBefore w:w="74" w:type="dxa"/>
                <w:wAfter w:w="559" w:type="dxa"/>
                <w:trHeight w:val="408"/>
              </w:trPr>
              <w:tc>
                <w:tcPr>
                  <w:tcW w:w="3656" w:type="dxa"/>
                  <w:hideMark/>
                </w:tcPr>
                <w:p w:rsidR="0078777C" w:rsidRDefault="0078777C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1. Знання законодавства</w:t>
                  </w:r>
                </w:p>
                <w:p w:rsidR="00EF3AE7" w:rsidRDefault="00EF3AE7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Default="00EF3AE7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Default="00EF3AE7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E28B3" w:rsidRDefault="001E28B3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E28B3" w:rsidRDefault="001E28B3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E28B3" w:rsidRDefault="001E28B3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E28B3" w:rsidRDefault="001E28B3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21A9" w:rsidRDefault="00AA21A9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21A9" w:rsidRDefault="00AA21A9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21A9" w:rsidRDefault="00AA21A9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21A9" w:rsidRDefault="00AA21A9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21A9" w:rsidRDefault="00AA21A9" w:rsidP="001E28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Pr="00CE4DF3" w:rsidRDefault="00EF3AE7" w:rsidP="001E28B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2. </w:t>
                  </w:r>
                  <w:r w:rsidRPr="00EF3AE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 спеціального законодавства</w:t>
                  </w:r>
                </w:p>
              </w:tc>
              <w:tc>
                <w:tcPr>
                  <w:tcW w:w="5382" w:type="dxa"/>
                  <w:gridSpan w:val="4"/>
                </w:tcPr>
                <w:p w:rsidR="0078777C" w:rsidRDefault="00AA21A9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 Конституції України, Бюджетного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кодексу України, Податкового кодексу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України, Кодексу законів про працю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,законів України «Про судоустрій і статус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суддів», «Про Національну поліцію», «Про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державну службу», «Про запобігання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корупції», «Про доступ до публічної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інформації», «Про звернення громадян»,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 інформацію», «Про захист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персональних даних», «Про державну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таємницю», «Про бухгалтерський облік та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A21A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фінансову звітність в Україні»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AA21A9" w:rsidRDefault="00AA21A9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B6BEA" w:rsidRPr="006B6BEA" w:rsidRDefault="006B6BEA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знання: Положення про Службу судової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охорони, затверджене рішенням Вищої</w:t>
                  </w:r>
                </w:p>
                <w:p w:rsidR="007229F0" w:rsidRDefault="006B6BEA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ради правосуддя від 04.04.2019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1051/0/15-19, Положення про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проходження служби співробітниками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Служби судової охорони, затверджене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рішенням Вищої ради правосуддя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від 04.04.2019 № 1052/0/15-19, постанова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Кабінету Міністрів України від 03.04.2019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289 «Про затвердження Порядку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виплати грошового забезпечення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співробітникам Служба судової охорони»,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наказ Державної судової адміністрації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України від 26.08.2020 (зі змінами) «Про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затвердження порядку виплати грошового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забезпечення співробітникам Служби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B6B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судової охорони»</w:t>
                  </w:r>
                  <w:r w:rsidR="006853A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134B0C" w:rsidRDefault="00134B0C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34B0C" w:rsidRPr="00CE4DF3" w:rsidRDefault="00134B0C" w:rsidP="006B6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34B0C" w:rsidRPr="00CE4DF3" w:rsidRDefault="00AA21A9" w:rsidP="00134B0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134B0C" w:rsidRPr="00841BE4" w:rsidRDefault="00134B0C" w:rsidP="00AF4652">
      <w:pPr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134B0C" w:rsidRPr="00841BE4" w:rsidSect="00781832">
      <w:pgSz w:w="11906" w:h="16838" w:code="9"/>
      <w:pgMar w:top="567" w:right="512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7EC" w:rsidRDefault="00F807EC">
      <w:pPr>
        <w:spacing w:after="0" w:line="240" w:lineRule="auto"/>
      </w:pPr>
      <w:r>
        <w:separator/>
      </w:r>
    </w:p>
  </w:endnote>
  <w:endnote w:type="continuationSeparator" w:id="0">
    <w:p w:rsidR="00F807EC" w:rsidRDefault="00F8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7EC" w:rsidRDefault="00F807EC">
      <w:pPr>
        <w:spacing w:after="0" w:line="240" w:lineRule="auto"/>
      </w:pPr>
      <w:r>
        <w:separator/>
      </w:r>
    </w:p>
  </w:footnote>
  <w:footnote w:type="continuationSeparator" w:id="0">
    <w:p w:rsidR="00F807EC" w:rsidRDefault="00F80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B0"/>
    <w:rsid w:val="00003BF3"/>
    <w:rsid w:val="0000401D"/>
    <w:rsid w:val="00006311"/>
    <w:rsid w:val="00013651"/>
    <w:rsid w:val="00017630"/>
    <w:rsid w:val="00025990"/>
    <w:rsid w:val="00027B09"/>
    <w:rsid w:val="00030532"/>
    <w:rsid w:val="00040185"/>
    <w:rsid w:val="0005146A"/>
    <w:rsid w:val="000554EA"/>
    <w:rsid w:val="000560FA"/>
    <w:rsid w:val="0008318C"/>
    <w:rsid w:val="000956E3"/>
    <w:rsid w:val="000A5762"/>
    <w:rsid w:val="000A60F8"/>
    <w:rsid w:val="000B0E87"/>
    <w:rsid w:val="000B37A6"/>
    <w:rsid w:val="000B5C5F"/>
    <w:rsid w:val="000E02C0"/>
    <w:rsid w:val="000F09F4"/>
    <w:rsid w:val="000F17D1"/>
    <w:rsid w:val="001140D1"/>
    <w:rsid w:val="00117053"/>
    <w:rsid w:val="00134B0C"/>
    <w:rsid w:val="00144DD2"/>
    <w:rsid w:val="00146C84"/>
    <w:rsid w:val="001544B6"/>
    <w:rsid w:val="00157F28"/>
    <w:rsid w:val="00171496"/>
    <w:rsid w:val="00175CAA"/>
    <w:rsid w:val="0018355B"/>
    <w:rsid w:val="001837E9"/>
    <w:rsid w:val="0018566A"/>
    <w:rsid w:val="001913F4"/>
    <w:rsid w:val="001B390D"/>
    <w:rsid w:val="001B5434"/>
    <w:rsid w:val="001B7E3F"/>
    <w:rsid w:val="001E28B3"/>
    <w:rsid w:val="001E58FE"/>
    <w:rsid w:val="002103A3"/>
    <w:rsid w:val="00215354"/>
    <w:rsid w:val="00225433"/>
    <w:rsid w:val="00236978"/>
    <w:rsid w:val="002411A4"/>
    <w:rsid w:val="00245B05"/>
    <w:rsid w:val="00246A6E"/>
    <w:rsid w:val="00250148"/>
    <w:rsid w:val="002515CA"/>
    <w:rsid w:val="002640C7"/>
    <w:rsid w:val="00270B79"/>
    <w:rsid w:val="002808BD"/>
    <w:rsid w:val="002844D2"/>
    <w:rsid w:val="002A5227"/>
    <w:rsid w:val="002C736A"/>
    <w:rsid w:val="002D6F3A"/>
    <w:rsid w:val="002D79AE"/>
    <w:rsid w:val="002E2B88"/>
    <w:rsid w:val="002E49C5"/>
    <w:rsid w:val="002E613D"/>
    <w:rsid w:val="002F7290"/>
    <w:rsid w:val="00322262"/>
    <w:rsid w:val="00324C3B"/>
    <w:rsid w:val="00334021"/>
    <w:rsid w:val="003340F6"/>
    <w:rsid w:val="00340C07"/>
    <w:rsid w:val="003439D5"/>
    <w:rsid w:val="003449DF"/>
    <w:rsid w:val="00345428"/>
    <w:rsid w:val="00350161"/>
    <w:rsid w:val="0035124C"/>
    <w:rsid w:val="003615D1"/>
    <w:rsid w:val="0037727A"/>
    <w:rsid w:val="00384DDE"/>
    <w:rsid w:val="00392C3A"/>
    <w:rsid w:val="0039505B"/>
    <w:rsid w:val="003C1F94"/>
    <w:rsid w:val="003D5565"/>
    <w:rsid w:val="003D6063"/>
    <w:rsid w:val="00407D33"/>
    <w:rsid w:val="00417767"/>
    <w:rsid w:val="00420D11"/>
    <w:rsid w:val="00442A06"/>
    <w:rsid w:val="00443CC8"/>
    <w:rsid w:val="00463E12"/>
    <w:rsid w:val="00492D1F"/>
    <w:rsid w:val="004956EF"/>
    <w:rsid w:val="0049664D"/>
    <w:rsid w:val="00497D17"/>
    <w:rsid w:val="004A35AC"/>
    <w:rsid w:val="004B237C"/>
    <w:rsid w:val="0050606A"/>
    <w:rsid w:val="00506B8E"/>
    <w:rsid w:val="00516370"/>
    <w:rsid w:val="00521E8D"/>
    <w:rsid w:val="00530391"/>
    <w:rsid w:val="00542A1B"/>
    <w:rsid w:val="005437BB"/>
    <w:rsid w:val="00547BCF"/>
    <w:rsid w:val="00572871"/>
    <w:rsid w:val="0057404A"/>
    <w:rsid w:val="00581418"/>
    <w:rsid w:val="00590832"/>
    <w:rsid w:val="0059259C"/>
    <w:rsid w:val="00593275"/>
    <w:rsid w:val="0059589A"/>
    <w:rsid w:val="005A4111"/>
    <w:rsid w:val="005B32F0"/>
    <w:rsid w:val="005C73EE"/>
    <w:rsid w:val="005E1AC3"/>
    <w:rsid w:val="005F01AD"/>
    <w:rsid w:val="006063A4"/>
    <w:rsid w:val="006141D9"/>
    <w:rsid w:val="00621EAC"/>
    <w:rsid w:val="006467C3"/>
    <w:rsid w:val="00655B19"/>
    <w:rsid w:val="00661BFF"/>
    <w:rsid w:val="006741A9"/>
    <w:rsid w:val="00674E04"/>
    <w:rsid w:val="00675F28"/>
    <w:rsid w:val="00680075"/>
    <w:rsid w:val="006853AD"/>
    <w:rsid w:val="006873F1"/>
    <w:rsid w:val="00692E63"/>
    <w:rsid w:val="006A034E"/>
    <w:rsid w:val="006B1D1D"/>
    <w:rsid w:val="006B6BEA"/>
    <w:rsid w:val="006D0846"/>
    <w:rsid w:val="006D5887"/>
    <w:rsid w:val="006D60B4"/>
    <w:rsid w:val="006E1483"/>
    <w:rsid w:val="006E5AAC"/>
    <w:rsid w:val="006F64FD"/>
    <w:rsid w:val="00707B4A"/>
    <w:rsid w:val="007229F0"/>
    <w:rsid w:val="00726F90"/>
    <w:rsid w:val="00730A14"/>
    <w:rsid w:val="00733A54"/>
    <w:rsid w:val="0075396D"/>
    <w:rsid w:val="007555B6"/>
    <w:rsid w:val="00761104"/>
    <w:rsid w:val="007646E9"/>
    <w:rsid w:val="00765E4B"/>
    <w:rsid w:val="00781832"/>
    <w:rsid w:val="0078777C"/>
    <w:rsid w:val="0079045C"/>
    <w:rsid w:val="00796AFC"/>
    <w:rsid w:val="007A19BF"/>
    <w:rsid w:val="007C4593"/>
    <w:rsid w:val="007D1385"/>
    <w:rsid w:val="007D4E08"/>
    <w:rsid w:val="007E312E"/>
    <w:rsid w:val="007E4290"/>
    <w:rsid w:val="007E4F89"/>
    <w:rsid w:val="00805894"/>
    <w:rsid w:val="00824567"/>
    <w:rsid w:val="00834A9B"/>
    <w:rsid w:val="00841BE4"/>
    <w:rsid w:val="0084667D"/>
    <w:rsid w:val="008541C5"/>
    <w:rsid w:val="008579BE"/>
    <w:rsid w:val="00863E0D"/>
    <w:rsid w:val="00867183"/>
    <w:rsid w:val="00871816"/>
    <w:rsid w:val="00882826"/>
    <w:rsid w:val="008A4DD0"/>
    <w:rsid w:val="008A6798"/>
    <w:rsid w:val="008C03FA"/>
    <w:rsid w:val="008C7501"/>
    <w:rsid w:val="008F18C2"/>
    <w:rsid w:val="008F20AA"/>
    <w:rsid w:val="008F64E1"/>
    <w:rsid w:val="008F7082"/>
    <w:rsid w:val="00901CB6"/>
    <w:rsid w:val="00905C37"/>
    <w:rsid w:val="00910C4E"/>
    <w:rsid w:val="00910C86"/>
    <w:rsid w:val="0091546B"/>
    <w:rsid w:val="0092120A"/>
    <w:rsid w:val="00924579"/>
    <w:rsid w:val="00924EF1"/>
    <w:rsid w:val="0094153E"/>
    <w:rsid w:val="00950DB2"/>
    <w:rsid w:val="00952D6C"/>
    <w:rsid w:val="009603B0"/>
    <w:rsid w:val="00965313"/>
    <w:rsid w:val="00967916"/>
    <w:rsid w:val="009A1D7E"/>
    <w:rsid w:val="009A22CD"/>
    <w:rsid w:val="009B0700"/>
    <w:rsid w:val="009B4A84"/>
    <w:rsid w:val="009C6334"/>
    <w:rsid w:val="009D0B4B"/>
    <w:rsid w:val="009D1D38"/>
    <w:rsid w:val="009D6078"/>
    <w:rsid w:val="009E3FCA"/>
    <w:rsid w:val="009F7B2D"/>
    <w:rsid w:val="00A00B9D"/>
    <w:rsid w:val="00A03DE8"/>
    <w:rsid w:val="00A179B4"/>
    <w:rsid w:val="00A22D29"/>
    <w:rsid w:val="00A267DE"/>
    <w:rsid w:val="00A70C4B"/>
    <w:rsid w:val="00A94DFE"/>
    <w:rsid w:val="00AA21A9"/>
    <w:rsid w:val="00AB3214"/>
    <w:rsid w:val="00AB322F"/>
    <w:rsid w:val="00AB3A9E"/>
    <w:rsid w:val="00AC1EB5"/>
    <w:rsid w:val="00AC78D6"/>
    <w:rsid w:val="00AD5D6E"/>
    <w:rsid w:val="00AE77A2"/>
    <w:rsid w:val="00AF4652"/>
    <w:rsid w:val="00B14DCD"/>
    <w:rsid w:val="00B21C74"/>
    <w:rsid w:val="00B21EE5"/>
    <w:rsid w:val="00B54D50"/>
    <w:rsid w:val="00B555D7"/>
    <w:rsid w:val="00B76AE7"/>
    <w:rsid w:val="00B92405"/>
    <w:rsid w:val="00B95DD7"/>
    <w:rsid w:val="00BA78A9"/>
    <w:rsid w:val="00BB427F"/>
    <w:rsid w:val="00BC1D6A"/>
    <w:rsid w:val="00BC2C25"/>
    <w:rsid w:val="00BC65A4"/>
    <w:rsid w:val="00BC65F8"/>
    <w:rsid w:val="00BF072D"/>
    <w:rsid w:val="00C05110"/>
    <w:rsid w:val="00C12F21"/>
    <w:rsid w:val="00C167FB"/>
    <w:rsid w:val="00C17FB1"/>
    <w:rsid w:val="00C27DD1"/>
    <w:rsid w:val="00C36485"/>
    <w:rsid w:val="00C4618C"/>
    <w:rsid w:val="00C515CD"/>
    <w:rsid w:val="00C62266"/>
    <w:rsid w:val="00CA4A8F"/>
    <w:rsid w:val="00CD03E2"/>
    <w:rsid w:val="00CD68FF"/>
    <w:rsid w:val="00CE366E"/>
    <w:rsid w:val="00CE4DF3"/>
    <w:rsid w:val="00CE705C"/>
    <w:rsid w:val="00CF4E10"/>
    <w:rsid w:val="00CF6B58"/>
    <w:rsid w:val="00D16E63"/>
    <w:rsid w:val="00D279BB"/>
    <w:rsid w:val="00D30D70"/>
    <w:rsid w:val="00D32601"/>
    <w:rsid w:val="00D436FD"/>
    <w:rsid w:val="00D715C8"/>
    <w:rsid w:val="00D719E1"/>
    <w:rsid w:val="00D767F7"/>
    <w:rsid w:val="00DA1AFB"/>
    <w:rsid w:val="00DA1E6A"/>
    <w:rsid w:val="00DB39B7"/>
    <w:rsid w:val="00DB5C3F"/>
    <w:rsid w:val="00DD5F3D"/>
    <w:rsid w:val="00DE0EDE"/>
    <w:rsid w:val="00DE6ADC"/>
    <w:rsid w:val="00DF3766"/>
    <w:rsid w:val="00E0106F"/>
    <w:rsid w:val="00E023B6"/>
    <w:rsid w:val="00E04E06"/>
    <w:rsid w:val="00E32CFD"/>
    <w:rsid w:val="00E3315F"/>
    <w:rsid w:val="00E355DA"/>
    <w:rsid w:val="00E35BB4"/>
    <w:rsid w:val="00E527A0"/>
    <w:rsid w:val="00E5321C"/>
    <w:rsid w:val="00E5497F"/>
    <w:rsid w:val="00E55908"/>
    <w:rsid w:val="00E61F8F"/>
    <w:rsid w:val="00E662D9"/>
    <w:rsid w:val="00E67596"/>
    <w:rsid w:val="00E7340A"/>
    <w:rsid w:val="00E73414"/>
    <w:rsid w:val="00E76593"/>
    <w:rsid w:val="00E81B7A"/>
    <w:rsid w:val="00EA37A0"/>
    <w:rsid w:val="00EA51E8"/>
    <w:rsid w:val="00EB76A1"/>
    <w:rsid w:val="00EC5799"/>
    <w:rsid w:val="00ED10C9"/>
    <w:rsid w:val="00ED711D"/>
    <w:rsid w:val="00EE17F0"/>
    <w:rsid w:val="00EF3AE7"/>
    <w:rsid w:val="00F12452"/>
    <w:rsid w:val="00F3380F"/>
    <w:rsid w:val="00F35441"/>
    <w:rsid w:val="00F36198"/>
    <w:rsid w:val="00F4324D"/>
    <w:rsid w:val="00F55665"/>
    <w:rsid w:val="00F7081A"/>
    <w:rsid w:val="00F75417"/>
    <w:rsid w:val="00F76BFD"/>
    <w:rsid w:val="00F76ED2"/>
    <w:rsid w:val="00F807EC"/>
    <w:rsid w:val="00F82E67"/>
    <w:rsid w:val="00F8516F"/>
    <w:rsid w:val="00F94D1B"/>
    <w:rsid w:val="00FA3BFE"/>
    <w:rsid w:val="00FB48EF"/>
    <w:rsid w:val="00FC5900"/>
    <w:rsid w:val="00FD14DC"/>
    <w:rsid w:val="00FF25D8"/>
    <w:rsid w:val="00FF37B9"/>
    <w:rsid w:val="00FF4C94"/>
    <w:rsid w:val="00FF6052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AE7"/>
  <w15:docId w15:val="{0CBB5D20-B76C-4A6C-8F92-66FF2B7D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E3F"/>
  </w:style>
  <w:style w:type="character" w:customStyle="1" w:styleId="rvts0">
    <w:name w:val="rvts0"/>
    <w:basedOn w:val="a0"/>
    <w:rsid w:val="00B76AE7"/>
  </w:style>
  <w:style w:type="paragraph" w:styleId="a5">
    <w:name w:val="Balloon Text"/>
    <w:basedOn w:val="a"/>
    <w:link w:val="a6"/>
    <w:uiPriority w:val="99"/>
    <w:semiHidden/>
    <w:unhideWhenUsed/>
    <w:rsid w:val="00CE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5321C"/>
    <w:pPr>
      <w:ind w:left="720"/>
      <w:contextualSpacing/>
    </w:pPr>
  </w:style>
  <w:style w:type="paragraph" w:customStyle="1" w:styleId="rvps2">
    <w:name w:val="rvps2"/>
    <w:basedOn w:val="a"/>
    <w:rsid w:val="00E5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5014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404A"/>
    <w:rPr>
      <w:color w:val="605E5C"/>
      <w:shd w:val="clear" w:color="auto" w:fill="E1DFDD"/>
    </w:rPr>
  </w:style>
  <w:style w:type="character" w:customStyle="1" w:styleId="aa">
    <w:name w:val="Основной текст_"/>
    <w:basedOn w:val="a0"/>
    <w:link w:val="1"/>
    <w:rsid w:val="00A03D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A03DE8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rsid w:val="003222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8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p.ck@sso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EFC4-202B-43F6-A86B-B564DCAC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1275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Користувач</cp:lastModifiedBy>
  <cp:revision>75</cp:revision>
  <cp:lastPrinted>2026-06-25T05:26:00Z</cp:lastPrinted>
  <dcterms:created xsi:type="dcterms:W3CDTF">2024-01-15T07:33:00Z</dcterms:created>
  <dcterms:modified xsi:type="dcterms:W3CDTF">2026-06-25T09:41:00Z</dcterms:modified>
</cp:coreProperties>
</file>