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212848C6"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593931">
        <w:rPr>
          <w:sz w:val="24"/>
          <w:szCs w:val="24"/>
        </w:rPr>
        <w:t xml:space="preserve">19 </w:t>
      </w:r>
      <w:r w:rsidR="00892D2D">
        <w:rPr>
          <w:sz w:val="24"/>
          <w:szCs w:val="24"/>
        </w:rPr>
        <w:t>червня</w:t>
      </w:r>
      <w:r w:rsidR="00E266A9">
        <w:rPr>
          <w:sz w:val="24"/>
          <w:szCs w:val="24"/>
        </w:rPr>
        <w:t xml:space="preserve">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593931">
        <w:rPr>
          <w:sz w:val="24"/>
          <w:szCs w:val="24"/>
          <w:lang w:val="ru-RU"/>
        </w:rPr>
        <w:t>160</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051D16AD" w14:textId="77777777" w:rsidR="00892D2D"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посад</w:t>
      </w:r>
      <w:r w:rsidR="00892D2D">
        <w:rPr>
          <w:b/>
          <w:sz w:val="28"/>
          <w:szCs w:val="28"/>
          <w:lang w:eastAsia="en-US"/>
        </w:rPr>
        <w:t xml:space="preserve"> </w:t>
      </w:r>
      <w:r w:rsidR="00E266A9">
        <w:rPr>
          <w:b/>
          <w:sz w:val="28"/>
          <w:szCs w:val="28"/>
          <w:lang w:eastAsia="en-US"/>
        </w:rPr>
        <w:t xml:space="preserve">співробітників </w:t>
      </w:r>
      <w:r w:rsidR="008531D7">
        <w:rPr>
          <w:b/>
          <w:sz w:val="28"/>
          <w:szCs w:val="28"/>
          <w:lang w:eastAsia="en-US"/>
        </w:rPr>
        <w:t>т</w:t>
      </w:r>
      <w:r w:rsidRPr="008531D7">
        <w:rPr>
          <w:b/>
          <w:sz w:val="28"/>
          <w:szCs w:val="28"/>
          <w:lang w:eastAsia="en-US"/>
        </w:rPr>
        <w:t>ериторіального управління</w:t>
      </w:r>
      <w:r w:rsidR="00892D2D">
        <w:rPr>
          <w:b/>
          <w:sz w:val="28"/>
          <w:szCs w:val="28"/>
          <w:lang w:eastAsia="en-US"/>
        </w:rPr>
        <w:t xml:space="preserve"> </w:t>
      </w: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судової охорони</w:t>
      </w:r>
    </w:p>
    <w:p w14:paraId="622D1D6C" w14:textId="47FBA72A" w:rsidR="00E6021B" w:rsidRPr="008531D7" w:rsidRDefault="00E6021B" w:rsidP="00814751">
      <w:pPr>
        <w:jc w:val="center"/>
        <w:rPr>
          <w:b/>
          <w:sz w:val="28"/>
          <w:szCs w:val="28"/>
          <w:lang w:eastAsia="en-US"/>
        </w:rPr>
      </w:pPr>
      <w:r w:rsidRPr="008531D7">
        <w:rPr>
          <w:b/>
          <w:sz w:val="28"/>
          <w:szCs w:val="28"/>
          <w:lang w:eastAsia="en-US"/>
        </w:rPr>
        <w:t xml:space="preserve">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55632BBF"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892D2D">
        <w:rPr>
          <w:sz w:val="28"/>
          <w:szCs w:val="28"/>
        </w:rPr>
        <w:t>22 червня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892D2D">
        <w:rPr>
          <w:sz w:val="28"/>
          <w:szCs w:val="28"/>
        </w:rPr>
        <w:t>02 липня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6F1E6300"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892D2D">
        <w:rPr>
          <w:sz w:val="28"/>
          <w:szCs w:val="28"/>
        </w:rPr>
        <w:t xml:space="preserve">06 липня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20322D4F" w:rsidR="00BC0AE4" w:rsidRDefault="00490FA0" w:rsidP="00E266A9">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r w:rsidR="00E266A9">
        <w:rPr>
          <w:sz w:val="28"/>
          <w:szCs w:val="28"/>
        </w:rPr>
        <w:t xml:space="preserve"> </w:t>
      </w:r>
      <w:r w:rsidR="00892D2D">
        <w:rPr>
          <w:sz w:val="28"/>
          <w:szCs w:val="28"/>
        </w:rPr>
        <w:t>06 липня</w:t>
      </w:r>
      <w:r w:rsidR="005F78AF"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w:t>
      </w:r>
      <w:r w:rsidR="00E266A9" w:rsidRPr="00A133FE">
        <w:rPr>
          <w:sz w:val="26"/>
          <w:szCs w:val="26"/>
        </w:rPr>
        <w:lastRenderedPageBreak/>
        <w:t>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583C77E" w14:textId="470F50FF" w:rsidR="00536CF8" w:rsidRDefault="00536CF8" w:rsidP="002B1578">
      <w:pPr>
        <w:jc w:val="both"/>
        <w:rPr>
          <w:b/>
          <w:sz w:val="28"/>
          <w:szCs w:val="26"/>
          <w:lang w:eastAsia="en-US"/>
        </w:rPr>
      </w:pPr>
    </w:p>
    <w:p w14:paraId="31A324AC" w14:textId="5BBB8417" w:rsidR="00C61B69" w:rsidRDefault="00C61B69" w:rsidP="002B1578">
      <w:pPr>
        <w:jc w:val="both"/>
        <w:rPr>
          <w:b/>
          <w:sz w:val="28"/>
          <w:szCs w:val="26"/>
          <w:lang w:eastAsia="en-US"/>
        </w:rPr>
      </w:pPr>
    </w:p>
    <w:p w14:paraId="43C74A16" w14:textId="77777777" w:rsidR="00C61B69" w:rsidRPr="002B1578" w:rsidRDefault="00C61B69"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F538F2">
        <w:rPr>
          <w:b/>
          <w:sz w:val="28"/>
          <w:szCs w:val="28"/>
          <w:lang w:eastAsia="en-US"/>
        </w:rPr>
        <w:lastRenderedPageBreak/>
        <w:t>УМОВИ</w:t>
      </w:r>
    </w:p>
    <w:p w14:paraId="042FBD22" w14:textId="77777777"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B634E" w:rsidRDefault="001F750D" w:rsidP="001F750D">
      <w:pPr>
        <w:ind w:firstLine="709"/>
        <w:jc w:val="both"/>
        <w:rPr>
          <w:sz w:val="24"/>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B634E" w:rsidRDefault="001F750D" w:rsidP="001F750D">
      <w:pPr>
        <w:jc w:val="both"/>
        <w:rPr>
          <w:sz w:val="24"/>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B634E" w:rsidRDefault="001F750D" w:rsidP="001F750D">
      <w:pPr>
        <w:pStyle w:val="ac"/>
        <w:tabs>
          <w:tab w:val="left" w:pos="1134"/>
        </w:tabs>
        <w:ind w:left="709"/>
        <w:jc w:val="both"/>
        <w:rPr>
          <w:sz w:val="24"/>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w:t>
      </w:r>
      <w:r w:rsidRPr="0020260F">
        <w:rPr>
          <w:sz w:val="28"/>
          <w:szCs w:val="28"/>
        </w:rPr>
        <w:lastRenderedPageBreak/>
        <w:t>в поліції (частина третя статті 163 Закону України «Про судоустрій і статус суддів»).</w:t>
      </w:r>
    </w:p>
    <w:p w14:paraId="6C7AC674" w14:textId="77777777" w:rsidR="001F750D" w:rsidRPr="00C61B69" w:rsidRDefault="001F750D" w:rsidP="001F750D">
      <w:pPr>
        <w:pStyle w:val="ac"/>
        <w:tabs>
          <w:tab w:val="left" w:pos="1134"/>
        </w:tabs>
        <w:ind w:left="709"/>
        <w:jc w:val="both"/>
        <w:rPr>
          <w:sz w:val="24"/>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C61B69" w:rsidRDefault="005B634E" w:rsidP="00A73567">
            <w:pPr>
              <w:spacing w:line="256" w:lineRule="auto"/>
              <w:jc w:val="center"/>
              <w:rPr>
                <w:sz w:val="24"/>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C61B69" w:rsidRDefault="00950657" w:rsidP="00A73567">
            <w:pPr>
              <w:jc w:val="center"/>
              <w:rPr>
                <w:sz w:val="24"/>
                <w:szCs w:val="24"/>
              </w:rPr>
            </w:pPr>
          </w:p>
          <w:p w14:paraId="2EBFCDA1" w14:textId="19FAE5B9" w:rsidR="001F750D" w:rsidRPr="005F1121" w:rsidRDefault="001F750D" w:rsidP="00A73567">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C75B02" w:rsidRDefault="00C61B69" w:rsidP="005B634E">
            <w:pPr>
              <w:pStyle w:val="msonormalcxspmiddle"/>
              <w:spacing w:before="0" w:beforeAutospacing="0" w:after="0" w:afterAutospacing="0" w:line="257" w:lineRule="auto"/>
              <w:ind w:left="32"/>
              <w:contextualSpacing/>
              <w:jc w:val="both"/>
              <w:rPr>
                <w:rFonts w:cs="Calibri"/>
                <w:lang w:val="uk-UA" w:eastAsia="en-US"/>
              </w:rPr>
            </w:pPr>
          </w:p>
        </w:tc>
      </w:tr>
    </w:tbl>
    <w:p w14:paraId="1F582B6D" w14:textId="7EA7950A" w:rsidR="00C61B69" w:rsidRDefault="001F750D" w:rsidP="00892D2D">
      <w:pPr>
        <w:pStyle w:val="ac"/>
        <w:ind w:left="0" w:firstLine="720"/>
        <w:jc w:val="both"/>
        <w:rPr>
          <w:b/>
          <w:sz w:val="28"/>
          <w:szCs w:val="28"/>
          <w:lang w:eastAsia="en-US"/>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C922" w14:textId="77777777" w:rsidR="001C59D3" w:rsidRDefault="001C59D3" w:rsidP="004F7BD6">
      <w:r>
        <w:separator/>
      </w:r>
    </w:p>
  </w:endnote>
  <w:endnote w:type="continuationSeparator" w:id="0">
    <w:p w14:paraId="67713A66" w14:textId="77777777" w:rsidR="001C59D3" w:rsidRDefault="001C59D3"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0D75" w14:textId="77777777" w:rsidR="001C59D3" w:rsidRDefault="001C59D3" w:rsidP="004F7BD6">
      <w:r>
        <w:separator/>
      </w:r>
    </w:p>
  </w:footnote>
  <w:footnote w:type="continuationSeparator" w:id="0">
    <w:p w14:paraId="175E8C31" w14:textId="77777777" w:rsidR="001C59D3" w:rsidRDefault="001C59D3"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3931"/>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2D2D"/>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47B4"/>
    <w:rsid w:val="00B6486B"/>
    <w:rsid w:val="00B64CD2"/>
    <w:rsid w:val="00B65960"/>
    <w:rsid w:val="00B66C7C"/>
    <w:rsid w:val="00B671CF"/>
    <w:rsid w:val="00B7089A"/>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7F2B9-1727-469E-AF9B-3B0A1496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55</TotalTime>
  <Pages>5</Pages>
  <Words>6785</Words>
  <Characters>3869</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Лілія Король</cp:lastModifiedBy>
  <cp:revision>36</cp:revision>
  <cp:lastPrinted>2026-03-10T10:01:00Z</cp:lastPrinted>
  <dcterms:created xsi:type="dcterms:W3CDTF">2025-11-13T13:33:00Z</dcterms:created>
  <dcterms:modified xsi:type="dcterms:W3CDTF">2026-06-19T12:24:00Z</dcterms:modified>
</cp:coreProperties>
</file>