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3E32" w:rsidRDefault="00E73811" w:rsidP="00887B33">
      <w:pPr>
        <w:ind w:firstLine="5103"/>
        <w:rPr>
          <w:lang w:val="uk-UA"/>
        </w:rPr>
      </w:pPr>
      <w:r w:rsidRPr="00A23E32">
        <w:rPr>
          <w:lang w:val="uk-UA"/>
        </w:rPr>
        <w:t xml:space="preserve">від </w:t>
      </w:r>
      <w:r w:rsidR="00315D5C" w:rsidRPr="00A23E32">
        <w:rPr>
          <w:lang w:val="uk-UA"/>
        </w:rPr>
        <w:t xml:space="preserve"> </w:t>
      </w:r>
      <w:r w:rsidR="000C4B3A" w:rsidRPr="00A23E32">
        <w:rPr>
          <w:lang w:val="uk-UA"/>
        </w:rPr>
        <w:t>10</w:t>
      </w:r>
      <w:r w:rsidR="00020142" w:rsidRPr="00A23E32">
        <w:rPr>
          <w:lang w:val="uk-UA"/>
        </w:rPr>
        <w:t>.0</w:t>
      </w:r>
      <w:r w:rsidR="000C4B3A" w:rsidRPr="00A23E32">
        <w:rPr>
          <w:lang w:val="uk-UA"/>
        </w:rPr>
        <w:t>1.2025</w:t>
      </w:r>
      <w:r w:rsidR="00AD3A77" w:rsidRPr="00A23E32">
        <w:rPr>
          <w:lang w:val="uk-UA"/>
        </w:rPr>
        <w:t xml:space="preserve"> </w:t>
      </w:r>
      <w:r w:rsidR="00711DEC" w:rsidRPr="00A23E32">
        <w:rPr>
          <w:lang w:val="uk-UA"/>
        </w:rPr>
        <w:t xml:space="preserve"> №</w:t>
      </w:r>
      <w:r w:rsidR="00D21211" w:rsidRPr="00A23E32">
        <w:rPr>
          <w:lang w:val="uk-UA"/>
        </w:rPr>
        <w:t xml:space="preserve"> </w:t>
      </w:r>
      <w:r w:rsidR="00711DEC" w:rsidRPr="00A23E32">
        <w:rPr>
          <w:lang w:val="uk-UA"/>
        </w:rPr>
        <w:t xml:space="preserve"> </w:t>
      </w:r>
      <w:r w:rsidR="001C1A63">
        <w:rPr>
          <w:lang w:val="uk-UA"/>
        </w:rPr>
        <w:t>6</w:t>
      </w:r>
      <w:bookmarkStart w:id="0" w:name="_GoBack"/>
      <w:bookmarkEnd w:id="0"/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0C4B3A" w:rsidRPr="00A23E32">
        <w:rPr>
          <w:b/>
          <w:lang w:val="uk-UA"/>
        </w:rPr>
        <w:t>10</w:t>
      </w:r>
      <w:r w:rsidR="00EB372F" w:rsidRPr="00A23E32">
        <w:rPr>
          <w:b/>
          <w:lang w:val="uk-UA"/>
        </w:rPr>
        <w:t xml:space="preserve"> </w:t>
      </w:r>
      <w:r w:rsidR="001F223D" w:rsidRPr="00A23E32">
        <w:rPr>
          <w:b/>
          <w:lang w:val="uk-UA"/>
        </w:rPr>
        <w:t>с</w:t>
      </w:r>
      <w:r w:rsidR="000C4B3A" w:rsidRPr="00A23E32">
        <w:rPr>
          <w:b/>
          <w:lang w:val="uk-UA"/>
        </w:rPr>
        <w:t>ічня</w:t>
      </w:r>
      <w:r w:rsidR="0044208E" w:rsidRPr="00A23E32">
        <w:rPr>
          <w:b/>
          <w:lang w:val="uk-UA"/>
        </w:rPr>
        <w:t xml:space="preserve"> </w:t>
      </w:r>
      <w:r w:rsidR="000B3BC3" w:rsidRPr="00A23E32">
        <w:rPr>
          <w:b/>
          <w:lang w:val="uk-UA"/>
        </w:rPr>
        <w:t xml:space="preserve"> 202</w:t>
      </w:r>
      <w:r w:rsidR="000C4B3A" w:rsidRPr="00A23E32">
        <w:rPr>
          <w:b/>
          <w:lang w:val="uk-UA"/>
        </w:rPr>
        <w:t>5</w:t>
      </w:r>
      <w:r w:rsidR="00020142" w:rsidRPr="00A23E32">
        <w:rPr>
          <w:b/>
          <w:lang w:val="uk-UA"/>
        </w:rPr>
        <w:t xml:space="preserve"> року до 16</w:t>
      </w:r>
      <w:r w:rsidR="00E71853" w:rsidRPr="00A23E32">
        <w:rPr>
          <w:b/>
          <w:lang w:val="uk-UA"/>
        </w:rPr>
        <w:t>.00 год.</w:t>
      </w:r>
      <w:r w:rsidR="00887B33" w:rsidRPr="00A23E32">
        <w:rPr>
          <w:b/>
          <w:lang w:val="uk-UA"/>
        </w:rPr>
        <w:t xml:space="preserve"> </w:t>
      </w:r>
      <w:r w:rsidR="000C4B3A" w:rsidRPr="00A23E32">
        <w:rPr>
          <w:b/>
          <w:lang w:val="uk-UA"/>
        </w:rPr>
        <w:t>20</w:t>
      </w:r>
      <w:r w:rsidR="00202A23" w:rsidRPr="00A23E32">
        <w:rPr>
          <w:b/>
          <w:lang w:val="uk-UA"/>
        </w:rPr>
        <w:t xml:space="preserve"> </w:t>
      </w:r>
      <w:r w:rsidR="00D21211" w:rsidRPr="00A23E32">
        <w:rPr>
          <w:b/>
          <w:lang w:val="uk-UA"/>
        </w:rPr>
        <w:t>с</w:t>
      </w:r>
      <w:r w:rsidR="000C4B3A" w:rsidRPr="00A23E32">
        <w:rPr>
          <w:b/>
          <w:lang w:val="uk-UA"/>
        </w:rPr>
        <w:t>ічня</w:t>
      </w:r>
      <w:r w:rsidRPr="00A23E32">
        <w:rPr>
          <w:b/>
          <w:lang w:val="uk-UA"/>
        </w:rPr>
        <w:t xml:space="preserve"> 202</w:t>
      </w:r>
      <w:r w:rsidR="000C4B3A" w:rsidRPr="00A23E32">
        <w:rPr>
          <w:b/>
          <w:lang w:val="uk-UA"/>
        </w:rPr>
        <w:t>5</w:t>
      </w:r>
      <w:r w:rsidRPr="00A23E32">
        <w:rPr>
          <w:b/>
          <w:lang w:val="uk-UA"/>
        </w:rPr>
        <w:t xml:space="preserve"> року, за адресою:</w:t>
      </w:r>
      <w:r w:rsidR="004E464F" w:rsidRPr="00A23E32">
        <w:rPr>
          <w:b/>
          <w:lang w:val="uk-UA"/>
        </w:rPr>
        <w:t xml:space="preserve"> </w:t>
      </w:r>
      <w:r w:rsidRPr="00A23E32">
        <w:rPr>
          <w:b/>
          <w:lang w:val="uk-UA"/>
        </w:rPr>
        <w:t xml:space="preserve">м. </w:t>
      </w:r>
      <w:r w:rsidR="00EB372F" w:rsidRPr="00A23E32">
        <w:rPr>
          <w:b/>
          <w:lang w:val="uk-UA"/>
        </w:rPr>
        <w:t>Херсон</w:t>
      </w:r>
      <w:r w:rsidRPr="00A23E32">
        <w:rPr>
          <w:b/>
          <w:lang w:val="uk-UA"/>
        </w:rPr>
        <w:t>,</w:t>
      </w:r>
      <w:r w:rsidR="00EB372F" w:rsidRPr="00A23E32">
        <w:rPr>
          <w:b/>
          <w:lang w:val="uk-UA"/>
        </w:rPr>
        <w:t xml:space="preserve"> </w:t>
      </w:r>
      <w:r w:rsidRPr="00A23E32">
        <w:rPr>
          <w:b/>
          <w:lang w:val="uk-UA"/>
        </w:rPr>
        <w:t xml:space="preserve">вул. </w:t>
      </w:r>
      <w:r w:rsidR="00EB372F" w:rsidRPr="00A23E32">
        <w:rPr>
          <w:b/>
          <w:lang w:val="uk-UA"/>
        </w:rPr>
        <w:t>Перекопська</w:t>
      </w:r>
      <w:r w:rsidRPr="00A23E32">
        <w:rPr>
          <w:b/>
          <w:lang w:val="uk-UA"/>
        </w:rPr>
        <w:t xml:space="preserve">, </w:t>
      </w:r>
      <w:r w:rsidR="00EB372F" w:rsidRPr="00A23E32">
        <w:rPr>
          <w:b/>
          <w:lang w:val="uk-UA"/>
        </w:rPr>
        <w:t>5,</w:t>
      </w:r>
      <w:r w:rsidR="00226F09" w:rsidRPr="00A23E32">
        <w:rPr>
          <w:b/>
          <w:lang w:val="uk-UA"/>
        </w:rPr>
        <w:t xml:space="preserve"> т</w:t>
      </w:r>
      <w:r w:rsidRPr="00A23E32">
        <w:rPr>
          <w:b/>
          <w:lang w:val="uk-UA"/>
        </w:rPr>
        <w:t xml:space="preserve">ериторіальне управління Служби </w:t>
      </w:r>
      <w:r w:rsidRPr="006B54C3">
        <w:rPr>
          <w:b/>
          <w:lang w:val="uk-UA"/>
        </w:rPr>
        <w:t xml:space="preserve">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A23E32" w:rsidRDefault="000C4B3A" w:rsidP="000B04F5">
      <w:pPr>
        <w:jc w:val="center"/>
        <w:rPr>
          <w:b/>
          <w:lang w:val="uk-UA"/>
        </w:rPr>
      </w:pPr>
      <w:r w:rsidRPr="00A23E32">
        <w:rPr>
          <w:b/>
          <w:lang w:val="uk-UA"/>
        </w:rPr>
        <w:t>24</w:t>
      </w:r>
      <w:r w:rsidR="00D21211" w:rsidRPr="00A23E32">
        <w:rPr>
          <w:b/>
          <w:lang w:val="uk-UA"/>
        </w:rPr>
        <w:t xml:space="preserve"> с</w:t>
      </w:r>
      <w:r w:rsidRPr="00A23E32">
        <w:rPr>
          <w:b/>
          <w:lang w:val="uk-UA"/>
        </w:rPr>
        <w:t>ічня</w:t>
      </w:r>
      <w:r w:rsidR="0044208E" w:rsidRPr="00A23E32">
        <w:rPr>
          <w:b/>
          <w:lang w:val="uk-UA"/>
        </w:rPr>
        <w:t xml:space="preserve"> </w:t>
      </w:r>
      <w:r w:rsidR="000B04F5" w:rsidRPr="00A23E32">
        <w:rPr>
          <w:b/>
          <w:lang w:val="uk-UA"/>
        </w:rPr>
        <w:t xml:space="preserve"> 202</w:t>
      </w:r>
      <w:r w:rsidRPr="00A23E32">
        <w:rPr>
          <w:b/>
          <w:lang w:val="uk-UA"/>
        </w:rPr>
        <w:t>5</w:t>
      </w:r>
      <w:r w:rsidR="000B04F5" w:rsidRPr="00A23E32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A23E32">
      <w:pPr>
        <w:rPr>
          <w:rFonts w:eastAsia="Calibri" w:cs="Times New Roman"/>
          <w:b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6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="00A23E32" w:rsidRPr="00A23E32">
        <w:rPr>
          <w:rFonts w:eastAsia="Calibri" w:cs="Times New Roman"/>
          <w:lang w:val="en-US"/>
        </w:rPr>
        <w:t>inbox</w:t>
      </w:r>
      <w:r w:rsidR="00A23E32" w:rsidRPr="00A23E32">
        <w:rPr>
          <w:rFonts w:eastAsia="Calibri" w:cs="Times New Roman"/>
        </w:rPr>
        <w:t>.</w:t>
      </w:r>
      <w:r w:rsidR="00A23E32" w:rsidRPr="00A23E32">
        <w:rPr>
          <w:rFonts w:eastAsia="Calibri" w:cs="Times New Roman"/>
          <w:lang w:val="en-US"/>
        </w:rPr>
        <w:t>ks</w:t>
      </w:r>
      <w:r w:rsidR="00A23E32" w:rsidRPr="00A23E32">
        <w:rPr>
          <w:rFonts w:eastAsia="Calibri" w:cs="Times New Roman"/>
        </w:rPr>
        <w:t>@</w:t>
      </w:r>
      <w:r w:rsidR="00A23E32" w:rsidRPr="00A23E32">
        <w:rPr>
          <w:rFonts w:eastAsia="Calibri" w:cs="Times New Roman"/>
          <w:lang w:val="en-US"/>
        </w:rPr>
        <w:t>sso</w:t>
      </w:r>
      <w:r w:rsidR="00A23E32" w:rsidRPr="00A23E32">
        <w:rPr>
          <w:rFonts w:eastAsia="Calibri" w:cs="Times New Roman"/>
        </w:rPr>
        <w:t>.</w:t>
      </w:r>
      <w:r w:rsidR="00A23E32" w:rsidRPr="00A23E32">
        <w:rPr>
          <w:rFonts w:eastAsia="Calibri" w:cs="Times New Roman"/>
          <w:lang w:val="en-US"/>
        </w:rPr>
        <w:t>gov</w:t>
      </w:r>
      <w:r w:rsidR="00A23E32" w:rsidRPr="00A23E32">
        <w:rPr>
          <w:rFonts w:eastAsia="Calibri" w:cs="Times New Roman"/>
        </w:rPr>
        <w:t>.</w:t>
      </w:r>
      <w:r w:rsidR="00A23E32" w:rsidRPr="00A23E32">
        <w:rPr>
          <w:rFonts w:eastAsia="Calibri" w:cs="Times New Roman"/>
          <w:lang w:val="en-US"/>
        </w:rPr>
        <w:t>ua</w:t>
      </w: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1C1A63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1C1A63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1C1A63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176D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1A63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8B3"/>
    <w:rsid w:val="00A23E32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06AD-1BAA-4A3F-8C7B-7C021DF5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2025-01-10T08:42:00Z</dcterms:created>
  <dcterms:modified xsi:type="dcterms:W3CDTF">2025-01-10T09:20:00Z</dcterms:modified>
</cp:coreProperties>
</file>