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99" w:rsidRPr="00AF160C" w:rsidRDefault="00DC00B0" w:rsidP="0010220F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                                                                     </w:t>
      </w:r>
    </w:p>
    <w:p w:rsidR="005D3C30" w:rsidRPr="00AF160C" w:rsidRDefault="00B87B99" w:rsidP="00DC00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</w:t>
      </w:r>
      <w:r w:rsidR="00C953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Узагальнений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95391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5D3C3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гляд</w:t>
      </w:r>
    </w:p>
    <w:p w:rsidR="005D3C30" w:rsidRPr="00AF160C" w:rsidRDefault="005D3C30" w:rsidP="005D3C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даних про стан здійснення судочинства місцевими  загальними судами Хе</w:t>
      </w:r>
      <w:r w:rsidR="00CD2D2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рсонської області за період 2025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</w:p>
    <w:p w:rsidR="005F36E5" w:rsidRPr="00AF160C" w:rsidRDefault="005F36E5" w:rsidP="005D3C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106708" w:rsidRPr="00AF160C" w:rsidRDefault="005D3C30" w:rsidP="00106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Закону України „Про судоустрій і статус суддів”, вимог Положення про територіальне управління Державної судової адміністрації України в Херсонській області, затвердженого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наказом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Державної судової адміністрації України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229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 травня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  <w:r w:rsidR="00CD2D2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(зі змінами)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21038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листа Державної судової адміністрації за </w:t>
      </w:r>
      <w:proofErr w:type="spellStart"/>
      <w:r w:rsidR="0021038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</w:t>
      </w:r>
      <w:proofErr w:type="spellEnd"/>
      <w:r w:rsidR="0021038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 15-</w:t>
      </w:r>
      <w:r w:rsidR="00CD2D2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26101/25</w:t>
      </w:r>
      <w:r w:rsidR="00B7025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</w:t>
      </w:r>
      <w:r w:rsidR="00CD2D2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26.12.2025</w:t>
      </w:r>
      <w:r w:rsidR="0021038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року, </w:t>
      </w:r>
      <w:r w:rsidR="00B7025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ериторіальним управлінням Державної судової адміністрації України в Херсонській області проведено аналітичний огляд   розгляду місцевими судами області справ за  всіма видами судочинства (кримінальне, цивільне, адміністративне, розгляд справ про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адміністративні правопорушення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). </w:t>
      </w:r>
    </w:p>
    <w:p w:rsidR="00807906" w:rsidRPr="00AF160C" w:rsidRDefault="006F73E8" w:rsidP="006F73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У </w:t>
      </w:r>
      <w:proofErr w:type="spell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зв'язку</w:t>
      </w:r>
      <w:proofErr w:type="spell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і</w:t>
      </w:r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з </w:t>
      </w:r>
      <w:proofErr w:type="spell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повномасштабним</w:t>
      </w:r>
      <w:proofErr w:type="spell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вторгненням</w:t>
      </w:r>
      <w:proofErr w:type="spell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російської федерації</w:t>
      </w:r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територію</w:t>
      </w:r>
      <w:proofErr w:type="spell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веденням</w:t>
      </w:r>
      <w:proofErr w:type="spell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активних</w:t>
      </w:r>
      <w:proofErr w:type="spell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бойових</w:t>
      </w:r>
      <w:proofErr w:type="spell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дій</w:t>
      </w:r>
      <w:proofErr w:type="spell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тимчасову</w:t>
      </w:r>
      <w:proofErr w:type="spell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окупацію</w:t>
      </w:r>
      <w:proofErr w:type="spell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Херсонської області та міста Херсона, рішеннями зборів </w:t>
      </w:r>
      <w:proofErr w:type="gramStart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суддів  місцевих</w:t>
      </w:r>
      <w:proofErr w:type="gramEnd"/>
      <w:r w:rsidR="00807906" w:rsidRPr="00AF160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загальних судів Херсонської області робота судів була  призупинена.</w:t>
      </w:r>
    </w:p>
    <w:p w:rsidR="00807906" w:rsidRPr="00AF160C" w:rsidRDefault="00807906" w:rsidP="008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Рішенням Вищої ради правосуддя № 566/0/15-23 від 30.05.2023 року  «Про відтермінування роботи  Херсонського міського суду, зміни територіальної  підсудності  </w:t>
      </w:r>
      <w:r w:rsidR="00F3452F"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ц2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судових  справ окремих судів  Херсонської області, відтермінування   початку відновлення  роботи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Білозерського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 Херсонської області» датою початку процесуальної діяльності Херсонського міського суду Херсонської області,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Великоолександрівського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Нововоронцовського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районних судів Херсонської області визначено 12 червня 2023 року. </w:t>
      </w:r>
    </w:p>
    <w:p w:rsidR="00807906" w:rsidRPr="00AF160C" w:rsidRDefault="00807906" w:rsidP="008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Цим же рішенням Вищої ради правосуддя  змінено з 1 червня 2023 року територіальну підсудність судових справ:</w:t>
      </w:r>
    </w:p>
    <w:p w:rsidR="00807906" w:rsidRPr="00AF160C" w:rsidRDefault="00807906" w:rsidP="008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Білозерського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Цюрупинського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області, Генічеського районного суду Херсонської області,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Голопристанського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області, Новотроїцького районного суду Херсонської області – Херсонському міському суду Херсонської області; </w:t>
      </w:r>
    </w:p>
    <w:p w:rsidR="00807906" w:rsidRPr="00AF160C" w:rsidRDefault="00807906" w:rsidP="008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Бериславського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Високопільського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області, Іванівського районного суду Херсонської області,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Скадовського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Каланчацького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Чаплинського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 –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Великоолександрівському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районному суду Херсонської області;</w:t>
      </w:r>
    </w:p>
    <w:p w:rsidR="00807906" w:rsidRPr="00AF160C" w:rsidRDefault="00807906" w:rsidP="008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Верхньорогачицького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Великолепетиського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Нижньосірогозького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Новокаховського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міського суду Херсонської області, Каховського міськрайонного суду Херсонської області,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Горностаївського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Херсонської області –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Нововоронцовському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районному суду Херсонської області.</w:t>
      </w:r>
    </w:p>
    <w:p w:rsidR="00807906" w:rsidRPr="00AF160C" w:rsidRDefault="00807906" w:rsidP="00B87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Відповідно наказу  Міністерства  з питань реінтеграції № 309 від 22.12.2022 року (зі змінами та доповненнями) територія, на якій  розташована будівля  Херсонського міського суду Херсонської області,  відноситься до активних бойових дій;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Великоолександрівського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Нововоронцовського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районних судів Херсонської області, - до  можливих бойових дій. </w:t>
      </w:r>
    </w:p>
    <w:p w:rsidR="00807906" w:rsidRPr="00AF160C" w:rsidRDefault="00807906" w:rsidP="00B87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F73E8"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тимчасово окупованих  російською федерацією територіях знаходяться 14 місцевих загальних судів області.</w:t>
      </w:r>
    </w:p>
    <w:p w:rsidR="00807906" w:rsidRPr="00AF160C" w:rsidRDefault="00896400" w:rsidP="00B87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Станом на 01.01.2026</w:t>
      </w:r>
      <w:r w:rsidR="00807906"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не розпочали роботу 3 місцевих загальних суди, адміністративний окружний та  господарський суд Херсонської області.</w:t>
      </w:r>
    </w:p>
    <w:p w:rsidR="005826FE" w:rsidRPr="00AF160C" w:rsidRDefault="00DC00B0" w:rsidP="00B87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даними статистичної звітності д</w:t>
      </w:r>
      <w:r w:rsidR="0080790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о місцевих загальних судів Херсонської області</w:t>
      </w:r>
      <w:r w:rsidR="00E1166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яким  відновлено  судочинство  згідно з рішенням Вищої  ради правосуддя,</w:t>
      </w:r>
      <w:r w:rsidR="0080790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протягом 2025</w:t>
      </w:r>
      <w:r w:rsidR="00317E5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</w:t>
      </w:r>
      <w:r w:rsidR="0080790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надійшло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A7B4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37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тисяч </w:t>
      </w:r>
      <w:r w:rsidR="006A7B4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662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та матеріалів, з них – </w:t>
      </w:r>
      <w:r w:rsidR="006A7B4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13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тисяч </w:t>
      </w:r>
      <w:r w:rsidR="006A7B4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050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та матеріалів кримінального судочинства, </w:t>
      </w:r>
      <w:r w:rsidR="006A7B4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440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і матеріалів  адміністративного судочинства, </w:t>
      </w:r>
      <w:r w:rsidR="006A7B4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18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тисяч </w:t>
      </w:r>
      <w:r w:rsidR="006A7B4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223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і матеріалів цивільного судочинства,  </w:t>
      </w:r>
      <w:r w:rsidR="006A7B4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 тисяч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A7B4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949</w:t>
      </w:r>
      <w:r w:rsidR="005826F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і матеріалів про адміністративні правопорушення.</w:t>
      </w:r>
    </w:p>
    <w:p w:rsidR="00896400" w:rsidRPr="00AF160C" w:rsidRDefault="00896400" w:rsidP="00896400">
      <w:pPr>
        <w:pStyle w:val="a9"/>
        <w:shd w:val="clear" w:color="auto" w:fill="FFFFFF"/>
        <w:spacing w:before="0" w:beforeAutospacing="0" w:after="150" w:afterAutospacing="0"/>
        <w:jc w:val="both"/>
      </w:pPr>
      <w:r w:rsidRPr="00AF160C">
        <w:rPr>
          <w:rStyle w:val="aa"/>
          <w:rFonts w:ascii="HelveticaNeueCyr-Roman" w:hAnsi="HelveticaNeueCyr-Roman"/>
        </w:rPr>
        <w:t> </w:t>
      </w:r>
      <w:r w:rsidR="00274BA5" w:rsidRPr="00AF160C">
        <w:rPr>
          <w:rStyle w:val="aa"/>
          <w:rFonts w:ascii="HelveticaNeueCyr-Roman" w:hAnsi="HelveticaNeueCyr-Roman"/>
        </w:rPr>
        <w:t xml:space="preserve">        </w:t>
      </w:r>
      <w:r w:rsidRPr="00AF160C">
        <w:t>Аналіз стану здійснення правосуддя місцевими загальними су</w:t>
      </w:r>
      <w:r w:rsidR="00FE05EE" w:rsidRPr="00AF160C">
        <w:t>дами Херсонської області за 2025</w:t>
      </w:r>
      <w:r w:rsidRPr="00AF160C">
        <w:t xml:space="preserve"> рік свідчить про зменшення кількості справ та матеріалів, що надійшли до місцевих судів, у порівнянні з аналогічним періодом минулого року - по кримінальному судочин</w:t>
      </w:r>
      <w:r w:rsidR="004E130E" w:rsidRPr="00AF160C">
        <w:t>ству майже на 1</w:t>
      </w:r>
      <w:r w:rsidRPr="00AF160C">
        <w:t xml:space="preserve">6 %, за рахунок  </w:t>
      </w:r>
      <w:r w:rsidR="00FE05EE" w:rsidRPr="00AF160C">
        <w:t>матеріалів  щодо клопотання, скарги, заяви під час досудового розслідування на 16,7%</w:t>
      </w:r>
      <w:r w:rsidRPr="00AF160C">
        <w:t>, справ у  порядку виконання</w:t>
      </w:r>
      <w:r w:rsidR="00FE05EE" w:rsidRPr="00AF160C">
        <w:t xml:space="preserve"> рішень судів  на 53%, та  незначного збільшення заяв про відвід судді та клопотань про закриття кримінального провадження</w:t>
      </w:r>
      <w:r w:rsidRPr="00AF160C">
        <w:t xml:space="preserve">; надходжень справ і матеріалів справ про адміністративні правопорушення у порівнянні з аналогічним періодом минулого року відбулося майже на </w:t>
      </w:r>
      <w:r w:rsidR="000969BD" w:rsidRPr="00AF160C">
        <w:t>33</w:t>
      </w:r>
      <w:r w:rsidRPr="00AF160C">
        <w:t xml:space="preserve">% за рахунок справ </w:t>
      </w:r>
      <w:r w:rsidR="00FE05EE" w:rsidRPr="00AF160C">
        <w:t>про адміністративні правопорушення  та у порядку виконання постанов.</w:t>
      </w:r>
    </w:p>
    <w:p w:rsidR="00896400" w:rsidRPr="00AF160C" w:rsidRDefault="000C7CC0" w:rsidP="004E130E">
      <w:pPr>
        <w:pStyle w:val="a9"/>
        <w:shd w:val="clear" w:color="auto" w:fill="FFFFFF"/>
        <w:spacing w:before="0" w:beforeAutospacing="0" w:after="150" w:afterAutospacing="0"/>
        <w:jc w:val="both"/>
      </w:pPr>
      <w:r w:rsidRPr="00AF160C">
        <w:t xml:space="preserve">            </w:t>
      </w:r>
      <w:r w:rsidR="00896400" w:rsidRPr="00AF160C">
        <w:t xml:space="preserve">За  звітний період відбулося збільшення </w:t>
      </w:r>
      <w:r w:rsidR="00274BA5" w:rsidRPr="00AF160C">
        <w:t>у порівнянні з аналогічними минулорічним показником</w:t>
      </w:r>
      <w:r w:rsidR="00896400" w:rsidRPr="00AF160C">
        <w:t xml:space="preserve"> надходження кількості  справ цивільного </w:t>
      </w:r>
      <w:r w:rsidRPr="00AF160C">
        <w:t>судочинства</w:t>
      </w:r>
      <w:r w:rsidR="00896400" w:rsidRPr="00AF160C">
        <w:t xml:space="preserve"> на </w:t>
      </w:r>
      <w:r w:rsidR="000969BD" w:rsidRPr="00AF160C">
        <w:t>21</w:t>
      </w:r>
      <w:r w:rsidR="00896400" w:rsidRPr="00AF160C">
        <w:t>% за рахунок  заяв про видачу та скасування судових наказів</w:t>
      </w:r>
      <w:r w:rsidRPr="00AF160C">
        <w:t xml:space="preserve"> на 20%</w:t>
      </w:r>
      <w:r w:rsidR="00896400" w:rsidRPr="00AF160C">
        <w:t>;</w:t>
      </w:r>
      <w:r w:rsidRPr="00AF160C">
        <w:t xml:space="preserve"> заяв про забезпечення доказів на 52%, позовних заяв на 34% та справ позовного провадження на 28%, при тому, що зменшення відбулося  відносно клопотань, заяв у порядку виконання рішень на 26 % та справ окремого провадження на 17%;</w:t>
      </w:r>
      <w:r w:rsidR="004E130E" w:rsidRPr="00AF160C">
        <w:t xml:space="preserve"> по адміністративному судочинству - збільшення майже на 58% за рахунок надходжень позовних заяв</w:t>
      </w:r>
      <w:r w:rsidRPr="00AF160C">
        <w:t xml:space="preserve"> та справ.</w:t>
      </w:r>
    </w:p>
    <w:p w:rsidR="005F36E5" w:rsidRPr="00AF160C" w:rsidRDefault="0064685B" w:rsidP="0064685B">
      <w:pPr>
        <w:pStyle w:val="a9"/>
        <w:shd w:val="clear" w:color="auto" w:fill="FFFFFF"/>
        <w:spacing w:before="0" w:beforeAutospacing="0" w:after="150" w:afterAutospacing="0"/>
        <w:jc w:val="both"/>
      </w:pPr>
      <w:r w:rsidRPr="00AF160C">
        <w:t xml:space="preserve">           </w:t>
      </w:r>
      <w:r w:rsidR="00896400" w:rsidRPr="00AF160C">
        <w:t xml:space="preserve">Взагалі кількість </w:t>
      </w:r>
      <w:proofErr w:type="spellStart"/>
      <w:r w:rsidR="00896400" w:rsidRPr="00AF160C">
        <w:t>надійшовших</w:t>
      </w:r>
      <w:proofErr w:type="spellEnd"/>
      <w:r w:rsidR="00896400" w:rsidRPr="00AF160C">
        <w:t xml:space="preserve"> справ і матеріалів за всіма в</w:t>
      </w:r>
      <w:r w:rsidR="000C7CC0" w:rsidRPr="00AF160C">
        <w:t>идами судочинства за період 2025</w:t>
      </w:r>
      <w:r w:rsidR="00896400" w:rsidRPr="00AF160C">
        <w:t xml:space="preserve"> року </w:t>
      </w:r>
      <w:r w:rsidR="000C7CC0" w:rsidRPr="00AF160C">
        <w:t>зменшилася</w:t>
      </w:r>
      <w:r w:rsidR="00896400" w:rsidRPr="00AF160C">
        <w:t xml:space="preserve"> у порівнянні з аналогі</w:t>
      </w:r>
      <w:r w:rsidR="000C7CC0" w:rsidRPr="00AF160C">
        <w:t>чним періодом минулого року на 3</w:t>
      </w:r>
      <w:r w:rsidRPr="00AF160C">
        <w:t>,3%. </w:t>
      </w:r>
    </w:p>
    <w:p w:rsidR="005F36E5" w:rsidRPr="00AF160C" w:rsidRDefault="005F36E5" w:rsidP="00B87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36E5" w:rsidRPr="00AF160C" w:rsidRDefault="005F36E5" w:rsidP="00B87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7906" w:rsidRPr="00AF160C" w:rsidRDefault="00DC00B0" w:rsidP="008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0C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9D8F584" wp14:editId="634F6EA4">
            <wp:extent cx="5372100" cy="283845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06708" w:rsidRPr="00AF160C" w:rsidRDefault="00106708" w:rsidP="00106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87B99" w:rsidRPr="00AF160C" w:rsidRDefault="00463AA8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</w:t>
      </w:r>
    </w:p>
    <w:p w:rsidR="00106708" w:rsidRPr="00AF160C" w:rsidRDefault="00B87B99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</w:t>
      </w:r>
      <w:r w:rsidR="00463AA8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</w:t>
      </w:r>
      <w:r w:rsidR="00463AA8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AC35A4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Середньомісячне надходження на одного суддю за звітний період становить</w:t>
      </w:r>
      <w:r w:rsidR="0064685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116,2 справ і матеріалів по області (проти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A34B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129,8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662C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2024 році)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фактичною кількістю суддів, які фактично здійснюють судочинство.</w:t>
      </w:r>
    </w:p>
    <w:p w:rsidR="00AA34B1" w:rsidRPr="00AF160C" w:rsidRDefault="00E92EE4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Вищі за </w:t>
      </w:r>
      <w:proofErr w:type="spellStart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середньообласний</w:t>
      </w:r>
      <w:proofErr w:type="spellEnd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 показник  навантаження на одного суддю за фактичною кількістю суддів, які здійснювали судочинство, у  суддів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Великоолександрівського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районного суду Херсонської області, який становить </w:t>
      </w:r>
      <w:r w:rsidR="009662C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229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775D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(проти 288,5 у 2024 році)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 w:rsidR="00AA34B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матеріалів</w:t>
      </w:r>
      <w:r w:rsidR="009662C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у </w:t>
      </w:r>
      <w:proofErr w:type="spellStart"/>
      <w:r w:rsidR="009662C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Нововоронцовському</w:t>
      </w:r>
      <w:proofErr w:type="spellEnd"/>
      <w:r w:rsidR="009662C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районному суді майже на  рівні </w:t>
      </w:r>
      <w:proofErr w:type="spellStart"/>
      <w:r w:rsidR="009662C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середньообласного</w:t>
      </w:r>
      <w:proofErr w:type="spellEnd"/>
      <w:r w:rsidR="009662C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117,6</w:t>
      </w:r>
      <w:r w:rsidR="004775D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(проти 78,3 у 2024 році)</w:t>
      </w:r>
      <w:r w:rsidR="009662C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та матеріалів.</w:t>
      </w:r>
    </w:p>
    <w:p w:rsidR="00E92EE4" w:rsidRPr="00AF160C" w:rsidRDefault="00AA34B1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E92EE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Херсонському міському суді Херсонської області показник </w:t>
      </w:r>
      <w:r w:rsidR="000D7B3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середньомісячного навантаження на суддю</w:t>
      </w:r>
      <w:r w:rsidR="00E92EE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становить </w:t>
      </w:r>
      <w:r w:rsidR="009662C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99,9</w:t>
      </w:r>
      <w:r w:rsidR="004775D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(проти 121,6 у 2024 році)</w:t>
      </w:r>
      <w:r w:rsidR="00E92EE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матеріалів</w:t>
      </w:r>
      <w:r w:rsidR="00E92EE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67E23" w:rsidRPr="00AF160C" w:rsidRDefault="0087004F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</w:t>
      </w:r>
      <w:r w:rsidR="00E67E2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 до розрахунків орієнтовних нормативів згідно з  Методикою  визначення граничної чисельності суддів на основі  кількості справ, які надходять на розгляд до судів,  навантаження на судді</w:t>
      </w:r>
      <w:r w:rsidR="004775D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  Херсонської області  за  2025</w:t>
      </w:r>
      <w:r w:rsidR="00E67E2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 відображено наступним чином.</w:t>
      </w:r>
    </w:p>
    <w:p w:rsidR="005F36E5" w:rsidRPr="00AF160C" w:rsidRDefault="005F36E5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004F" w:rsidRPr="00AF160C" w:rsidRDefault="0087004F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523"/>
        <w:gridCol w:w="1459"/>
        <w:gridCol w:w="1966"/>
        <w:gridCol w:w="1577"/>
        <w:gridCol w:w="222"/>
      </w:tblGrid>
      <w:tr w:rsidR="00AF160C" w:rsidRPr="00AF160C" w:rsidTr="004775DD">
        <w:trPr>
          <w:trHeight w:val="375"/>
        </w:trPr>
        <w:tc>
          <w:tcPr>
            <w:tcW w:w="2977" w:type="dxa"/>
          </w:tcPr>
          <w:p w:rsidR="00CA48CA" w:rsidRPr="00AF160C" w:rsidRDefault="00CA48CA" w:rsidP="00870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</w:p>
          <w:p w:rsidR="00CA48CA" w:rsidRPr="00AF160C" w:rsidRDefault="00CA48CA" w:rsidP="00870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CA48CA" w:rsidP="00870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Назва суду </w:t>
            </w:r>
          </w:p>
        </w:tc>
        <w:tc>
          <w:tcPr>
            <w:tcW w:w="1523" w:type="dxa"/>
          </w:tcPr>
          <w:p w:rsidR="00CA48CA" w:rsidRPr="00AF160C" w:rsidRDefault="004775DD" w:rsidP="00870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hAnsi="Times New Roman" w:cs="Times New Roman"/>
                <w:sz w:val="24"/>
                <w:szCs w:val="24"/>
              </w:rPr>
              <w:t>Перебувало у провадженні справ  і матеріалів</w:t>
            </w:r>
            <w:r w:rsidRPr="00AF160C">
              <w:rPr>
                <w:rFonts w:ascii="Times New Roman" w:hAnsi="Times New Roman" w:cs="Times New Roman"/>
                <w:sz w:val="24"/>
                <w:szCs w:val="24"/>
              </w:rPr>
              <w:br/>
              <w:t>за 2025</w:t>
            </w:r>
            <w:r w:rsidR="00CA48CA" w:rsidRPr="00AF160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59" w:type="dxa"/>
          </w:tcPr>
          <w:p w:rsidR="00CA48CA" w:rsidRPr="00AF160C" w:rsidRDefault="00CA48CA" w:rsidP="00870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hAnsi="Times New Roman" w:cs="Times New Roman"/>
                <w:sz w:val="24"/>
                <w:szCs w:val="24"/>
              </w:rPr>
              <w:t>Чисельність суддів відповідно до рішення ВРП</w:t>
            </w:r>
          </w:p>
        </w:tc>
        <w:tc>
          <w:tcPr>
            <w:tcW w:w="1966" w:type="dxa"/>
          </w:tcPr>
          <w:p w:rsidR="00CA48CA" w:rsidRPr="00AF160C" w:rsidRDefault="00CA48CA" w:rsidP="00870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hAnsi="Times New Roman" w:cs="Times New Roman"/>
                <w:sz w:val="24"/>
                <w:szCs w:val="24"/>
              </w:rPr>
              <w:t>Чисельність суддів з пов</w:t>
            </w:r>
            <w:r w:rsidR="004775DD" w:rsidRPr="00AF160C">
              <w:rPr>
                <w:rFonts w:ascii="Times New Roman" w:hAnsi="Times New Roman" w:cs="Times New Roman"/>
                <w:sz w:val="24"/>
                <w:szCs w:val="24"/>
              </w:rPr>
              <w:t>новаженнями станом на 31.12.2025</w:t>
            </w:r>
          </w:p>
        </w:tc>
        <w:tc>
          <w:tcPr>
            <w:tcW w:w="1577" w:type="dxa"/>
          </w:tcPr>
          <w:p w:rsidR="00CA48CA" w:rsidRPr="00AF160C" w:rsidRDefault="00CA48CA" w:rsidP="00CA4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0C">
              <w:rPr>
                <w:rFonts w:ascii="Times New Roman" w:hAnsi="Times New Roman" w:cs="Times New Roman"/>
                <w:sz w:val="24"/>
                <w:szCs w:val="24"/>
              </w:rPr>
              <w:t>Чисельність суддів</w:t>
            </w:r>
          </w:p>
          <w:p w:rsidR="00CA48CA" w:rsidRPr="00AF160C" w:rsidRDefault="00CA48CA" w:rsidP="00CA4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hAnsi="Times New Roman" w:cs="Times New Roman"/>
                <w:sz w:val="24"/>
                <w:szCs w:val="24"/>
              </w:rPr>
              <w:t>за нормативами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</w:tcBorders>
          </w:tcPr>
          <w:p w:rsidR="00CA48CA" w:rsidRPr="00AF160C" w:rsidRDefault="00CA48CA" w:rsidP="00CA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160C" w:rsidRPr="00AF160C" w:rsidTr="004775DD">
        <w:trPr>
          <w:trHeight w:val="300"/>
        </w:trPr>
        <w:tc>
          <w:tcPr>
            <w:tcW w:w="2977" w:type="dxa"/>
          </w:tcPr>
          <w:p w:rsidR="00CA48CA" w:rsidRPr="00AF160C" w:rsidRDefault="00CA48CA" w:rsidP="00870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Херсонський міський суд Херсонської області</w:t>
            </w:r>
          </w:p>
        </w:tc>
        <w:tc>
          <w:tcPr>
            <w:tcW w:w="1523" w:type="dxa"/>
          </w:tcPr>
          <w:p w:rsidR="004775DD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37010</w:t>
            </w:r>
          </w:p>
        </w:tc>
        <w:tc>
          <w:tcPr>
            <w:tcW w:w="1459" w:type="dxa"/>
          </w:tcPr>
          <w:p w:rsidR="004775DD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966" w:type="dxa"/>
          </w:tcPr>
          <w:p w:rsidR="004775DD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77" w:type="dxa"/>
          </w:tcPr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222" w:type="dxa"/>
            <w:vMerge/>
          </w:tcPr>
          <w:p w:rsidR="00CA48CA" w:rsidRPr="00AF160C" w:rsidRDefault="00CA48CA" w:rsidP="00CA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160C" w:rsidRPr="00AF160C" w:rsidTr="004775DD">
        <w:trPr>
          <w:trHeight w:val="345"/>
        </w:trPr>
        <w:tc>
          <w:tcPr>
            <w:tcW w:w="2977" w:type="dxa"/>
          </w:tcPr>
          <w:p w:rsidR="00CA48CA" w:rsidRPr="00AF160C" w:rsidRDefault="00CA48CA" w:rsidP="00870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Великоолександрівський</w:t>
            </w:r>
            <w:proofErr w:type="spellEnd"/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районний суд Херсонської області</w:t>
            </w:r>
          </w:p>
        </w:tc>
        <w:tc>
          <w:tcPr>
            <w:tcW w:w="1523" w:type="dxa"/>
          </w:tcPr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775DD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9544</w:t>
            </w:r>
          </w:p>
        </w:tc>
        <w:tc>
          <w:tcPr>
            <w:tcW w:w="1459" w:type="dxa"/>
          </w:tcPr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775DD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66" w:type="dxa"/>
          </w:tcPr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775DD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7" w:type="dxa"/>
          </w:tcPr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2" w:type="dxa"/>
            <w:vMerge/>
          </w:tcPr>
          <w:p w:rsidR="00CA48CA" w:rsidRPr="00AF160C" w:rsidRDefault="00CA48CA" w:rsidP="00CA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160C" w:rsidRPr="00AF160C" w:rsidTr="004775DD">
        <w:trPr>
          <w:trHeight w:val="495"/>
        </w:trPr>
        <w:tc>
          <w:tcPr>
            <w:tcW w:w="2977" w:type="dxa"/>
          </w:tcPr>
          <w:p w:rsidR="00CA48CA" w:rsidRPr="00AF160C" w:rsidRDefault="00CA48CA" w:rsidP="00870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Нововоронцовський</w:t>
            </w:r>
            <w:proofErr w:type="spellEnd"/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районний суд Херсонської області</w:t>
            </w:r>
          </w:p>
        </w:tc>
        <w:tc>
          <w:tcPr>
            <w:tcW w:w="1523" w:type="dxa"/>
          </w:tcPr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775DD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5070</w:t>
            </w:r>
          </w:p>
        </w:tc>
        <w:tc>
          <w:tcPr>
            <w:tcW w:w="1459" w:type="dxa"/>
          </w:tcPr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775DD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66" w:type="dxa"/>
          </w:tcPr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775DD" w:rsidRPr="00AF160C" w:rsidRDefault="004775DD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D604E7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7" w:type="dxa"/>
          </w:tcPr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A48CA" w:rsidRPr="00AF160C" w:rsidRDefault="00CA48CA" w:rsidP="004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22" w:type="dxa"/>
            <w:vMerge/>
          </w:tcPr>
          <w:p w:rsidR="00CA48CA" w:rsidRPr="00AF160C" w:rsidRDefault="00CA48CA" w:rsidP="00CA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7004F" w:rsidRPr="00AF160C" w:rsidRDefault="0087004F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12DE" w:rsidRPr="00AF160C" w:rsidRDefault="00D212DE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На початку  військової агресії та  у зв’язку із  окупацією Херсонщини розпорядженням Голови Верховного Суду </w:t>
      </w:r>
      <w:r w:rsidR="00AB580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інших місцевих загальних судів України  було  відряджено  </w:t>
      </w:r>
      <w:r w:rsidR="009D411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67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судді</w:t>
      </w:r>
      <w:r w:rsidR="009D411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місцевих загальних судів Херсонської області.</w:t>
      </w:r>
    </w:p>
    <w:p w:rsidR="00D212DE" w:rsidRPr="00AF160C" w:rsidRDefault="00D212DE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На кінець звітного пе</w:t>
      </w:r>
      <w:r w:rsidR="00974A5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ріоду  здійснювали правосуддя </w:t>
      </w:r>
      <w:r w:rsidR="004775D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27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судді</w:t>
      </w:r>
      <w:r w:rsidR="00974A5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4B436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56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продовжують перебувати у відрядженні.</w:t>
      </w:r>
    </w:p>
    <w:p w:rsidR="0087004F" w:rsidRPr="00AF160C" w:rsidRDefault="00D212DE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E225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Наразі к</w:t>
      </w:r>
      <w:r w:rsidR="00AB580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адровий дефіцит суддів у</w:t>
      </w:r>
      <w:r w:rsidR="00E225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відношенні  чисельності суддів з повно</w:t>
      </w:r>
      <w:r w:rsidR="004B436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важеннями  станом на  31.12.2025</w:t>
      </w:r>
      <w:r w:rsidR="00E225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чисельності, визначеної  рішенням Вищої ради правосуддя,</w:t>
      </w:r>
      <w:r w:rsidR="00AB580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становить: у Херсонському міському суді </w:t>
      </w:r>
      <w:r w:rsidR="00BB22F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54,3</w:t>
      </w:r>
      <w:r w:rsidR="00AB580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%, </w:t>
      </w:r>
      <w:proofErr w:type="spellStart"/>
      <w:r w:rsidR="00AB580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Великооле</w:t>
      </w:r>
      <w:r w:rsidR="00E225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ксандрівському</w:t>
      </w:r>
      <w:proofErr w:type="spellEnd"/>
      <w:r w:rsidR="00E225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районному –</w:t>
      </w:r>
      <w:r w:rsidR="00BB22F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25</w:t>
      </w:r>
      <w:r w:rsidR="00E225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%.</w:t>
      </w:r>
    </w:p>
    <w:p w:rsidR="009D411A" w:rsidRPr="00AF160C" w:rsidRDefault="009D411A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На кінець звітного періоду при  штатній чисельності  у 19</w:t>
      </w:r>
      <w:r w:rsidR="005B213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 одиниць фактично працював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</w:t>
      </w:r>
      <w:r w:rsidR="005B213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61 працівник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становить </w:t>
      </w:r>
      <w:r w:rsidR="005B213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80,9% проти </w:t>
      </w:r>
      <w:r w:rsidR="0064265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76,1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5B213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8431A" w:rsidRPr="00AF160C" w:rsidRDefault="0048431A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Кадровий дефіцит у судах, який утворився  </w:t>
      </w:r>
      <w:r w:rsidRPr="00AF160C">
        <w:rPr>
          <w:rFonts w:ascii="Times New Roman" w:hAnsi="Times New Roman" w:cs="Times New Roman"/>
          <w:sz w:val="24"/>
          <w:szCs w:val="24"/>
        </w:rPr>
        <w:t xml:space="preserve">в зв’язку із </w:t>
      </w:r>
      <w:proofErr w:type="spellStart"/>
      <w:r w:rsidRPr="00AF160C">
        <w:rPr>
          <w:rFonts w:ascii="Times New Roman" w:hAnsi="Times New Roman" w:cs="Times New Roman"/>
          <w:sz w:val="24"/>
          <w:szCs w:val="24"/>
        </w:rPr>
        <w:t>безпековою</w:t>
      </w:r>
      <w:proofErr w:type="spellEnd"/>
      <w:r w:rsidRPr="00AF160C">
        <w:rPr>
          <w:rFonts w:ascii="Times New Roman" w:hAnsi="Times New Roman" w:cs="Times New Roman"/>
          <w:sz w:val="24"/>
          <w:szCs w:val="24"/>
        </w:rPr>
        <w:t xml:space="preserve"> ситуацією, втратою житла внаслідок ворожих обстрілів, звільненням досвідчених спеціалістів, спричиняє  значні труднощі у роботі.</w:t>
      </w:r>
    </w:p>
    <w:p w:rsidR="00601AC1" w:rsidRPr="00AF160C" w:rsidRDefault="00601AC1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01AC1" w:rsidRPr="00AF160C" w:rsidRDefault="00601AC1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01AC1" w:rsidRPr="00AF160C" w:rsidRDefault="00601AC1" w:rsidP="00870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0FA8" w:rsidRPr="00AF160C" w:rsidRDefault="00601AC1" w:rsidP="00922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F160C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7954716D" wp14:editId="3790595C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5200650" cy="2628900"/>
            <wp:effectExtent l="0" t="0" r="0" b="0"/>
            <wp:wrapSquare wrapText="bothSides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F349F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BB22FA" w:rsidRPr="00AF160C" w:rsidRDefault="00BB22FA" w:rsidP="00922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B22FA" w:rsidRPr="00AF160C" w:rsidRDefault="00BB22FA" w:rsidP="00922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B22FA" w:rsidRPr="00AF160C" w:rsidRDefault="00BB22FA" w:rsidP="00922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B22FA" w:rsidRPr="00AF160C" w:rsidRDefault="00BB22FA" w:rsidP="00922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06708" w:rsidRPr="00AF160C" w:rsidRDefault="00106708" w:rsidP="00922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справ та матеріалів кримінального судочинства</w:t>
      </w:r>
    </w:p>
    <w:p w:rsidR="005F36E5" w:rsidRPr="00AF160C" w:rsidRDefault="005F36E5" w:rsidP="00922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5F36E5" w:rsidRPr="00AF160C" w:rsidRDefault="005F36E5" w:rsidP="00922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19BE" w:rsidRPr="00AF160C" w:rsidRDefault="00DC00B0" w:rsidP="008A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CB19BE" w:rsidRPr="00AF160C">
        <w:rPr>
          <w:rFonts w:ascii="Times New Roman" w:hAnsi="Times New Roman" w:cs="Times New Roman"/>
          <w:shd w:val="clear" w:color="auto" w:fill="FFFFFF"/>
        </w:rPr>
        <w:t>До місцевих судів області за звітний період  надійшло  </w:t>
      </w:r>
      <w:r w:rsidR="00CB19BE" w:rsidRPr="00AF160C">
        <w:rPr>
          <w:rFonts w:ascii="Times New Roman" w:hAnsi="Times New Roman" w:cs="Times New Roman"/>
          <w:shd w:val="clear" w:color="auto" w:fill="FFFFFF"/>
          <w:lang w:val="ru-RU"/>
        </w:rPr>
        <w:t>13050</w:t>
      </w:r>
      <w:r w:rsidR="00CB19BE" w:rsidRPr="00AF160C">
        <w:rPr>
          <w:rFonts w:ascii="Times New Roman" w:hAnsi="Times New Roman" w:cs="Times New Roman"/>
          <w:shd w:val="clear" w:color="auto" w:fill="FFFFFF"/>
        </w:rPr>
        <w:t xml:space="preserve"> (у 2024 р.- </w:t>
      </w:r>
      <w:r w:rsidR="00CB19BE" w:rsidRPr="00AF160C">
        <w:rPr>
          <w:rFonts w:ascii="Times New Roman" w:hAnsi="Times New Roman" w:cs="Times New Roman"/>
          <w:shd w:val="clear" w:color="auto" w:fill="FFFFFF"/>
          <w:lang w:val="ru-RU"/>
        </w:rPr>
        <w:t>15523</w:t>
      </w:r>
      <w:r w:rsidR="00CB19BE" w:rsidRPr="00AF160C">
        <w:rPr>
          <w:rFonts w:ascii="Times New Roman" w:hAnsi="Times New Roman" w:cs="Times New Roman"/>
          <w:shd w:val="clear" w:color="auto" w:fill="FFFFFF"/>
        </w:rPr>
        <w:t xml:space="preserve">) справ і матеріалів кримінального судочинства, із яких </w:t>
      </w:r>
      <w:r w:rsidR="00CB19BE" w:rsidRPr="00AF160C">
        <w:rPr>
          <w:rFonts w:ascii="Times New Roman" w:hAnsi="Times New Roman" w:cs="Times New Roman"/>
          <w:shd w:val="clear" w:color="auto" w:fill="FFFFFF"/>
          <w:lang w:val="ru-RU"/>
        </w:rPr>
        <w:t>2058</w:t>
      </w:r>
      <w:r w:rsidR="00CB19BE" w:rsidRPr="00AF160C">
        <w:rPr>
          <w:rFonts w:ascii="Times New Roman" w:hAnsi="Times New Roman" w:cs="Times New Roman"/>
          <w:shd w:val="clear" w:color="auto" w:fill="FFFFFF"/>
        </w:rPr>
        <w:t xml:space="preserve"> (у 2024 році-</w:t>
      </w:r>
      <w:r w:rsidR="00CB19BE" w:rsidRPr="00AF160C">
        <w:rPr>
          <w:rFonts w:ascii="Times New Roman" w:hAnsi="Times New Roman" w:cs="Times New Roman"/>
          <w:shd w:val="clear" w:color="auto" w:fill="FFFFFF"/>
          <w:lang w:val="ru-RU"/>
        </w:rPr>
        <w:t>2076</w:t>
      </w:r>
      <w:r w:rsidR="00CB19BE" w:rsidRPr="00AF160C">
        <w:rPr>
          <w:rFonts w:ascii="Times New Roman" w:hAnsi="Times New Roman" w:cs="Times New Roman"/>
          <w:shd w:val="clear" w:color="auto" w:fill="FFFFFF"/>
        </w:rPr>
        <w:t xml:space="preserve">) кримінальних справ </w:t>
      </w:r>
      <w:proofErr w:type="gramStart"/>
      <w:r w:rsidR="00CB19BE" w:rsidRPr="00AF160C">
        <w:rPr>
          <w:rFonts w:ascii="Times New Roman" w:hAnsi="Times New Roman" w:cs="Times New Roman"/>
          <w:shd w:val="clear" w:color="auto" w:fill="FFFFFF"/>
        </w:rPr>
        <w:t>та  справ</w:t>
      </w:r>
      <w:proofErr w:type="gramEnd"/>
      <w:r w:rsidR="00CB19BE" w:rsidRPr="00AF160C">
        <w:rPr>
          <w:rFonts w:ascii="Times New Roman" w:hAnsi="Times New Roman" w:cs="Times New Roman"/>
          <w:shd w:val="clear" w:color="auto" w:fill="FFFFFF"/>
        </w:rPr>
        <w:t xml:space="preserve"> кримінального провадження.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</w:p>
    <w:p w:rsidR="00DC00B0" w:rsidRPr="00AF160C" w:rsidRDefault="00DC00B0" w:rsidP="008A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У провадженні місцевих загальних судів області знаходилося 8 </w:t>
      </w: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кримінальних  </w:t>
      </w:r>
      <w:r w:rsidRPr="00AF160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(за КПК 1960 року) відносно 15 осіб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перейшли із залишку минулих років, у звітному періоді не розглянуті.</w:t>
      </w:r>
    </w:p>
    <w:p w:rsidR="00DC00B0" w:rsidRPr="00AF160C" w:rsidRDefault="00DC00B0" w:rsidP="008A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        У провадженні місцевих судів області знаходилося </w:t>
      </w:r>
      <w:r w:rsidR="00151C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5193 (у 2024р.-</w:t>
      </w:r>
      <w:r w:rsidR="00F142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4494</w:t>
      </w:r>
      <w:r w:rsidR="00151C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 справ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51C40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кримінального провадження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із яких розглянуто</w:t>
      </w:r>
      <w:r w:rsidR="0073411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1707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51C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(у 2024- </w:t>
      </w:r>
      <w:r w:rsidR="00F142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1234</w:t>
      </w:r>
      <w:r w:rsidR="00151C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становить </w:t>
      </w:r>
      <w:r w:rsidR="00151C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32,8% проти </w:t>
      </w:r>
      <w:r w:rsidR="00F142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27,5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% </w:t>
      </w:r>
      <w:r w:rsidR="00151C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минулорічного показника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 загальної кількості проваджень, які перебували на розгляді у звітному періоді,  залишок нерозглянутих склав</w:t>
      </w:r>
      <w:r w:rsidR="00151C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3489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151C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(2024 рік-</w:t>
      </w:r>
      <w:r w:rsidR="00F142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3260</w:t>
      </w:r>
      <w:r w:rsidR="00151C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становить  </w:t>
      </w:r>
      <w:r w:rsidR="00151C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67,2% проти </w:t>
      </w:r>
      <w:r w:rsidR="0004777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72,5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151C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загальної кількості  справ, які  знаходились  на розгляді. </w:t>
      </w:r>
    </w:p>
    <w:p w:rsidR="00DC00B0" w:rsidRPr="00AF160C" w:rsidRDefault="00DC00B0" w:rsidP="008A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Із постановленням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вироків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розглянуто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939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(2024р.-</w:t>
      </w:r>
      <w:r w:rsidR="0010391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894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проваджень відносно 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952 (у 2024-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391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911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осіб, закриттям 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721 (у 2024р.-</w:t>
      </w:r>
      <w:r w:rsidR="0010391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317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391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проваджень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відносно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736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(у 2024 р.-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10391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25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391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направленн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ям для визначення  підсудності 14</w:t>
      </w:r>
      <w:r w:rsidR="0010391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(у 2024р.-</w:t>
      </w:r>
      <w:r w:rsidR="0010391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14</w:t>
      </w:r>
      <w:r w:rsidR="000F380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391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проваджень відносно </w:t>
      </w:r>
      <w:r w:rsidR="0073411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17 (у 2024р.-</w:t>
      </w:r>
      <w:r w:rsidR="0010391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="0073411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осіб.</w:t>
      </w:r>
      <w:r w:rsidR="00F724B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Розглянуто </w:t>
      </w:r>
      <w:r w:rsidR="00C836C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 (202р.-</w:t>
      </w:r>
      <w:r w:rsidR="00F724B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43</w:t>
      </w:r>
      <w:r w:rsidR="00C836C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8A3EA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провадження за клопотанням про застосування примусови</w:t>
      </w:r>
      <w:r w:rsidR="00F724B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 заходів медичного характеру, </w:t>
      </w:r>
      <w:r w:rsidR="00C836C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(2024 р.- </w:t>
      </w:r>
      <w:r w:rsidR="00F724B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14</w:t>
      </w:r>
      <w:r w:rsidR="00C836C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F724B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за клопотанням  про застосування заходів виховного характеру,</w:t>
      </w:r>
      <w:r w:rsidR="00C836C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383 (2024р.-</w:t>
      </w:r>
      <w:r w:rsidR="00F724B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159</w:t>
      </w:r>
      <w:r w:rsidR="00C836C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F724B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</w:t>
      </w:r>
      <w:r w:rsidR="008A3EA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звільнення від відповідальності.</w:t>
      </w:r>
    </w:p>
    <w:p w:rsidR="00527631" w:rsidRPr="00AF160C" w:rsidRDefault="00527631" w:rsidP="0052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За клопотанням  про розгляд обвинувального акту у спрощеному провадженні розглянуто 264 (у 2024 р.-414) справ із 315 (у 2024 р.- 457), які  знаходились у провадженні судів, у  залишок перейшло 51 провадження відносно 52 осіб.</w:t>
      </w:r>
    </w:p>
    <w:p w:rsidR="00527631" w:rsidRPr="00AF160C" w:rsidRDefault="00527631" w:rsidP="008A3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05901" w:rsidRPr="00AF160C" w:rsidRDefault="00605901" w:rsidP="00106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05901" w:rsidRPr="00AF160C" w:rsidRDefault="00DC00B0" w:rsidP="00106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F160C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7C0F484" wp14:editId="00713A7B">
            <wp:extent cx="5019675" cy="3581400"/>
            <wp:effectExtent l="0" t="0" r="9525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7B99" w:rsidRPr="00AF160C" w:rsidRDefault="00B87B99" w:rsidP="00C94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B22FA" w:rsidRPr="00AF160C" w:rsidRDefault="00BD21F5" w:rsidP="00C94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</w:t>
      </w:r>
    </w:p>
    <w:p w:rsidR="00BB22FA" w:rsidRPr="00AF160C" w:rsidRDefault="00BB22FA" w:rsidP="00C94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B22FA" w:rsidRPr="00AF160C" w:rsidRDefault="00BB22FA" w:rsidP="00C94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B22FA" w:rsidRPr="00AF160C" w:rsidRDefault="00BB22FA" w:rsidP="00C94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B22FA" w:rsidRPr="00AF160C" w:rsidRDefault="00BB22FA" w:rsidP="00C94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70FA8" w:rsidRPr="00AF160C" w:rsidRDefault="00BD21F5" w:rsidP="00C94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</w:t>
      </w:r>
      <w:r w:rsidR="00527631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Структура видів кримінальних злочинів</w:t>
      </w:r>
      <w:r w:rsidR="008315F6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у звітному періоді у порівнянні із минулорічними показниками</w:t>
      </w: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470FA8" w:rsidRPr="00AF160C" w:rsidRDefault="00470FA8" w:rsidP="00C94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tbl>
      <w:tblPr>
        <w:tblW w:w="9744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6"/>
        <w:gridCol w:w="1183"/>
        <w:gridCol w:w="1276"/>
        <w:gridCol w:w="1134"/>
        <w:gridCol w:w="1418"/>
        <w:gridCol w:w="1417"/>
      </w:tblGrid>
      <w:tr w:rsidR="00AF160C" w:rsidRPr="00AF160C" w:rsidTr="0056149B">
        <w:trPr>
          <w:trHeight w:val="405"/>
        </w:trPr>
        <w:tc>
          <w:tcPr>
            <w:tcW w:w="3316" w:type="dxa"/>
          </w:tcPr>
          <w:p w:rsidR="008E55E7" w:rsidRPr="00AF160C" w:rsidRDefault="008E55E7" w:rsidP="00C94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Види злочинів</w:t>
            </w:r>
          </w:p>
        </w:tc>
        <w:tc>
          <w:tcPr>
            <w:tcW w:w="1183" w:type="dxa"/>
          </w:tcPr>
          <w:p w:rsidR="008E55E7" w:rsidRPr="00AF160C" w:rsidRDefault="008E55E7" w:rsidP="00C94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1276" w:type="dxa"/>
          </w:tcPr>
          <w:p w:rsidR="008E55E7" w:rsidRPr="00AF160C" w:rsidRDefault="008E55E7" w:rsidP="00C94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Питома вага,%</w:t>
            </w:r>
          </w:p>
        </w:tc>
        <w:tc>
          <w:tcPr>
            <w:tcW w:w="1134" w:type="dxa"/>
          </w:tcPr>
          <w:p w:rsidR="008E55E7" w:rsidRPr="00AF160C" w:rsidRDefault="008E55E7" w:rsidP="00C94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1418" w:type="dxa"/>
          </w:tcPr>
          <w:p w:rsidR="008E55E7" w:rsidRPr="00AF160C" w:rsidRDefault="008E55E7" w:rsidP="00C94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Питома вага,%</w:t>
            </w:r>
          </w:p>
        </w:tc>
        <w:tc>
          <w:tcPr>
            <w:tcW w:w="1417" w:type="dxa"/>
          </w:tcPr>
          <w:p w:rsidR="008E55E7" w:rsidRPr="00AF160C" w:rsidRDefault="008E55E7" w:rsidP="00C94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Темпи приросту</w:t>
            </w:r>
          </w:p>
        </w:tc>
      </w:tr>
      <w:tr w:rsidR="00AF160C" w:rsidRPr="00AF160C" w:rsidTr="0056149B">
        <w:trPr>
          <w:trHeight w:val="405"/>
        </w:trPr>
        <w:tc>
          <w:tcPr>
            <w:tcW w:w="3316" w:type="dxa"/>
          </w:tcPr>
          <w:p w:rsidR="00284B3A" w:rsidRPr="00AF160C" w:rsidRDefault="00140121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</w:t>
            </w:r>
            <w:r w:rsidR="00284B3A"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лочини проти встановленого порядку  несення військової служби</w:t>
            </w:r>
          </w:p>
        </w:tc>
        <w:tc>
          <w:tcPr>
            <w:tcW w:w="1183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1276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14,4</w:t>
            </w:r>
          </w:p>
        </w:tc>
        <w:tc>
          <w:tcPr>
            <w:tcW w:w="1134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624</w:t>
            </w:r>
          </w:p>
        </w:tc>
        <w:tc>
          <w:tcPr>
            <w:tcW w:w="1418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30,3</w:t>
            </w:r>
          </w:p>
        </w:tc>
        <w:tc>
          <w:tcPr>
            <w:tcW w:w="1417" w:type="dxa"/>
          </w:tcPr>
          <w:p w:rsidR="00284B3A" w:rsidRPr="00AF160C" w:rsidRDefault="00B61C66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107,3</w:t>
            </w:r>
          </w:p>
        </w:tc>
      </w:tr>
      <w:tr w:rsidR="00AF160C" w:rsidRPr="00AF160C" w:rsidTr="0056149B">
        <w:trPr>
          <w:trHeight w:val="405"/>
        </w:trPr>
        <w:tc>
          <w:tcPr>
            <w:tcW w:w="3316" w:type="dxa"/>
          </w:tcPr>
          <w:p w:rsidR="00284B3A" w:rsidRPr="00AF160C" w:rsidRDefault="00140121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</w:t>
            </w:r>
            <w:r w:rsidR="00284B3A"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хилення від військової служби</w:t>
            </w:r>
          </w:p>
        </w:tc>
        <w:tc>
          <w:tcPr>
            <w:tcW w:w="1183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1276" w:type="dxa"/>
          </w:tcPr>
          <w:p w:rsidR="00284B3A" w:rsidRPr="00AF160C" w:rsidRDefault="00284B3A" w:rsidP="00284B3A">
            <w:pPr>
              <w:spacing w:after="0" w:line="240" w:lineRule="auto"/>
              <w:ind w:left="-395" w:firstLine="3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12,0</w:t>
            </w:r>
          </w:p>
        </w:tc>
        <w:tc>
          <w:tcPr>
            <w:tcW w:w="1134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583</w:t>
            </w:r>
          </w:p>
        </w:tc>
        <w:tc>
          <w:tcPr>
            <w:tcW w:w="1418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28,3</w:t>
            </w:r>
          </w:p>
        </w:tc>
        <w:tc>
          <w:tcPr>
            <w:tcW w:w="1417" w:type="dxa"/>
          </w:tcPr>
          <w:p w:rsidR="00284B3A" w:rsidRPr="00AF160C" w:rsidRDefault="00B61C66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131,3</w:t>
            </w:r>
          </w:p>
        </w:tc>
      </w:tr>
      <w:tr w:rsidR="00AF160C" w:rsidRPr="00AF160C" w:rsidTr="0056149B">
        <w:trPr>
          <w:trHeight w:val="405"/>
        </w:trPr>
        <w:tc>
          <w:tcPr>
            <w:tcW w:w="3316" w:type="dxa"/>
          </w:tcPr>
          <w:p w:rsidR="00284B3A" w:rsidRPr="00AF160C" w:rsidRDefault="00140121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</w:t>
            </w:r>
            <w:r w:rsidR="00284B3A"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лочини проти основ національної безпеки</w:t>
            </w:r>
          </w:p>
        </w:tc>
        <w:tc>
          <w:tcPr>
            <w:tcW w:w="1183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520</w:t>
            </w:r>
          </w:p>
        </w:tc>
        <w:tc>
          <w:tcPr>
            <w:tcW w:w="1276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24,8</w:t>
            </w:r>
          </w:p>
        </w:tc>
        <w:tc>
          <w:tcPr>
            <w:tcW w:w="1134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418</w:t>
            </w:r>
          </w:p>
        </w:tc>
        <w:tc>
          <w:tcPr>
            <w:tcW w:w="1418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20,3</w:t>
            </w:r>
          </w:p>
        </w:tc>
        <w:tc>
          <w:tcPr>
            <w:tcW w:w="1417" w:type="dxa"/>
          </w:tcPr>
          <w:p w:rsidR="00284B3A" w:rsidRPr="00AF160C" w:rsidRDefault="00B61C66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-19,6</w:t>
            </w:r>
          </w:p>
        </w:tc>
      </w:tr>
      <w:tr w:rsidR="00AF160C" w:rsidRPr="00AF160C" w:rsidTr="0056149B">
        <w:trPr>
          <w:trHeight w:val="405"/>
        </w:trPr>
        <w:tc>
          <w:tcPr>
            <w:tcW w:w="3316" w:type="dxa"/>
          </w:tcPr>
          <w:p w:rsidR="00284B3A" w:rsidRPr="00AF160C" w:rsidRDefault="00140121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</w:t>
            </w:r>
            <w:r w:rsidR="00284B3A"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лочини проти життя та здоров’я</w:t>
            </w:r>
          </w:p>
        </w:tc>
        <w:tc>
          <w:tcPr>
            <w:tcW w:w="1183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367</w:t>
            </w:r>
          </w:p>
        </w:tc>
        <w:tc>
          <w:tcPr>
            <w:tcW w:w="1276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17,5</w:t>
            </w:r>
          </w:p>
        </w:tc>
        <w:tc>
          <w:tcPr>
            <w:tcW w:w="1134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1418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15,1</w:t>
            </w:r>
          </w:p>
        </w:tc>
        <w:tc>
          <w:tcPr>
            <w:tcW w:w="1417" w:type="dxa"/>
          </w:tcPr>
          <w:p w:rsidR="00284B3A" w:rsidRPr="00AF160C" w:rsidRDefault="00B61C66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-14,9</w:t>
            </w:r>
          </w:p>
        </w:tc>
      </w:tr>
      <w:tr w:rsidR="00AF160C" w:rsidRPr="00AF160C" w:rsidTr="0056149B">
        <w:trPr>
          <w:trHeight w:val="405"/>
        </w:trPr>
        <w:tc>
          <w:tcPr>
            <w:tcW w:w="3316" w:type="dxa"/>
          </w:tcPr>
          <w:p w:rsidR="00284B3A" w:rsidRPr="00AF160C" w:rsidRDefault="00140121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</w:t>
            </w:r>
            <w:r w:rsidR="00284B3A"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лочини проти власності</w:t>
            </w:r>
          </w:p>
        </w:tc>
        <w:tc>
          <w:tcPr>
            <w:tcW w:w="1183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1276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134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1418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9,5</w:t>
            </w:r>
          </w:p>
        </w:tc>
        <w:tc>
          <w:tcPr>
            <w:tcW w:w="1417" w:type="dxa"/>
          </w:tcPr>
          <w:p w:rsidR="00284B3A" w:rsidRPr="00AF160C" w:rsidRDefault="00B61C66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-37,8</w:t>
            </w:r>
          </w:p>
        </w:tc>
      </w:tr>
      <w:tr w:rsidR="00B61C66" w:rsidRPr="00AF160C" w:rsidTr="0056149B">
        <w:trPr>
          <w:trHeight w:val="405"/>
        </w:trPr>
        <w:tc>
          <w:tcPr>
            <w:tcW w:w="3316" w:type="dxa"/>
          </w:tcPr>
          <w:p w:rsidR="00284B3A" w:rsidRPr="00AF160C" w:rsidRDefault="00140121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</w:t>
            </w:r>
            <w:r w:rsidR="00284B3A"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лочини в сфері обігу наркотичних засобів</w:t>
            </w:r>
          </w:p>
        </w:tc>
        <w:tc>
          <w:tcPr>
            <w:tcW w:w="1183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1276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15,6</w:t>
            </w:r>
          </w:p>
        </w:tc>
        <w:tc>
          <w:tcPr>
            <w:tcW w:w="1134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1418" w:type="dxa"/>
          </w:tcPr>
          <w:p w:rsidR="00284B3A" w:rsidRPr="00AF160C" w:rsidRDefault="00284B3A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8,1</w:t>
            </w:r>
          </w:p>
        </w:tc>
        <w:tc>
          <w:tcPr>
            <w:tcW w:w="1417" w:type="dxa"/>
          </w:tcPr>
          <w:p w:rsidR="00284B3A" w:rsidRPr="00AF160C" w:rsidRDefault="00B61C66" w:rsidP="0028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-48,9</w:t>
            </w:r>
          </w:p>
        </w:tc>
      </w:tr>
    </w:tbl>
    <w:p w:rsidR="00470FA8" w:rsidRPr="00AF160C" w:rsidRDefault="00470FA8" w:rsidP="00C94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70FA8" w:rsidRPr="00AF160C" w:rsidRDefault="00284B3A" w:rsidP="00C94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AF160C">
        <w:rPr>
          <w:rStyle w:val="ab"/>
          <w:rFonts w:ascii="HelveticaNeueCyr-Roman" w:hAnsi="HelveticaNeueCyr-Roman"/>
          <w:sz w:val="20"/>
          <w:szCs w:val="20"/>
          <w:shd w:val="clear" w:color="auto" w:fill="FFFFFF"/>
        </w:rPr>
        <w:t xml:space="preserve">Дані, представлені  в таблиці  ілюструють показники щодо загальної кількості </w:t>
      </w:r>
      <w:proofErr w:type="spellStart"/>
      <w:r w:rsidRPr="00AF160C">
        <w:rPr>
          <w:rStyle w:val="ab"/>
          <w:rFonts w:ascii="HelveticaNeueCyr-Roman" w:hAnsi="HelveticaNeueCyr-Roman"/>
          <w:sz w:val="20"/>
          <w:szCs w:val="20"/>
          <w:shd w:val="clear" w:color="auto" w:fill="FFFFFF"/>
        </w:rPr>
        <w:t>надійшовших</w:t>
      </w:r>
      <w:proofErr w:type="spellEnd"/>
      <w:r w:rsidRPr="00AF160C">
        <w:rPr>
          <w:rStyle w:val="ab"/>
          <w:rFonts w:ascii="HelveticaNeueCyr-Roman" w:hAnsi="HelveticaNeueCyr-Roman"/>
          <w:sz w:val="20"/>
          <w:szCs w:val="20"/>
          <w:shd w:val="clear" w:color="auto" w:fill="FFFFFF"/>
        </w:rPr>
        <w:t xml:space="preserve"> кримінальних справ (проваджень), питому вагу та динаміку змін видів злочинів у 2025 році  у порівнянні з 2024 роком.</w:t>
      </w:r>
    </w:p>
    <w:p w:rsidR="00470FA8" w:rsidRPr="00AF160C" w:rsidRDefault="00470FA8" w:rsidP="00C94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1B28C5" w:rsidRPr="00AF160C" w:rsidRDefault="00B61C66" w:rsidP="002F6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</w:t>
      </w:r>
      <w:r w:rsidR="00EC5B56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звітному періоді у провадженні судів перебувало </w:t>
      </w:r>
      <w:r w:rsidR="0014012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50 (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у 2024р.-</w:t>
      </w:r>
      <w:r w:rsidR="000A09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43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0A09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кримінальних провадження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відносно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119 (у 2024 р.-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A09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102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осіб, які вчинили  злочини у складі організованих груп,</w:t>
      </w:r>
      <w:r w:rsidR="000A09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яких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 ( у 2024р.-</w:t>
      </w:r>
      <w:r w:rsidR="000A09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EC5B5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проваджень розглянуто із постановленням </w:t>
      </w:r>
      <w:proofErr w:type="spellStart"/>
      <w:r w:rsidR="00EC5B5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вироку</w:t>
      </w:r>
      <w:proofErr w:type="spellEnd"/>
      <w:r w:rsidR="00EC5B5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у залишку на кінець звітного періоду  стало  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46 ( у 2024 р.- </w:t>
      </w:r>
      <w:r w:rsidR="000A09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40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0A09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проваджень відносно 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114 ( у 2024р.-</w:t>
      </w:r>
      <w:r w:rsidR="000A09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99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EC5B5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осіб.</w:t>
      </w:r>
    </w:p>
    <w:p w:rsidR="00106708" w:rsidRPr="00AF160C" w:rsidRDefault="00106708" w:rsidP="002F6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</w:t>
      </w:r>
      <w:r w:rsidR="00C9479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Кількість справ кримінального провадження про злочини, вчинені неповнолітніми чи за їх участю, щ</w:t>
      </w:r>
      <w:r w:rsidR="00C9479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</w:t>
      </w:r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перебували на розгляді судів,-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65 (у 2024р.-</w:t>
      </w:r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56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відносно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79</w:t>
      </w:r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(2024 р.-</w:t>
      </w:r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70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осіб, із яких розглянуто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13 проти </w:t>
      </w:r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</w:t>
      </w:r>
      <w:r w:rsidR="0071777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2024 році</w:t>
      </w:r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постановленням </w:t>
      </w:r>
      <w:proofErr w:type="spellStart"/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вироку</w:t>
      </w:r>
      <w:proofErr w:type="spellEnd"/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86286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 проти </w:t>
      </w:r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86286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2024 році</w:t>
      </w:r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закриттям провадження,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2203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звітному періоді залишились нерозглянутими</w:t>
      </w:r>
      <w:r w:rsidR="0086286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52 провадження відносно 64</w:t>
      </w:r>
      <w:r w:rsidR="00F004B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</w:t>
      </w:r>
      <w:r w:rsidR="0012203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6708" w:rsidRPr="00AF160C" w:rsidRDefault="00122031" w:rsidP="002F6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Залишилися нерозглянутими </w:t>
      </w:r>
      <w:r w:rsidR="0086286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3496 (у 2024 р.- </w:t>
      </w:r>
      <w:r w:rsidR="00EE703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3292</w:t>
      </w:r>
      <w:r w:rsidR="0086286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EE703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F62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кримінальних провадження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відносно  </w:t>
      </w:r>
      <w:r w:rsidR="0086286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3935 (у 2024 р.-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E703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3454</w:t>
      </w:r>
      <w:r w:rsidR="0086286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2F62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осіб, або  </w:t>
      </w:r>
      <w:r w:rsidR="0086286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67,2% проти </w:t>
      </w:r>
      <w:r w:rsidR="00EE703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72,7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% </w:t>
      </w:r>
      <w:r w:rsidR="0086286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минулорічного показника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числа справ, що знаходилися в провадженні, </w:t>
      </w:r>
      <w:r w:rsidR="002F62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із яких  </w:t>
      </w:r>
      <w:proofErr w:type="spellStart"/>
      <w:r w:rsidR="002F62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зупинено</w:t>
      </w:r>
      <w:proofErr w:type="spellEnd"/>
      <w:r w:rsidR="002F62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провадженням 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778 (у 2024 р.-</w:t>
      </w:r>
      <w:r w:rsidR="00EE703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310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2F62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справ, 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570  ( у 2024 р.-</w:t>
      </w:r>
      <w:r w:rsidR="00EE703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229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2F62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яких – розшук.  Не розглянуто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 термін понад 6 місяців до року</w:t>
      </w:r>
      <w:r w:rsidR="002F62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479</w:t>
      </w:r>
      <w:r w:rsidR="002F62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понад року до двох – 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587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понад 2 роки -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1064</w:t>
      </w:r>
      <w:r w:rsidR="002F62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2063D" w:rsidRPr="00AF160C" w:rsidRDefault="002F6240" w:rsidP="00BE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Основними причинами відкладення справ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кримінального провадження  були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неявка в судове засідання обвинуваченого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2403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), неприбуття свідків, потерпілих (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436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), неприбуття захисника (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280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прокурора (211), 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інших учасників (</w:t>
      </w:r>
      <w:r w:rsidR="003F7F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183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),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інших підстав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22063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6054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підвищення оперативності розгляду справ</w:t>
      </w:r>
      <w:r w:rsidR="0022063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застосовувалися 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2063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293 </w:t>
      </w:r>
      <w:r w:rsidR="009A1B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приводи до обвинувачених</w:t>
      </w:r>
      <w:r w:rsidR="0022063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із яких виконано 229; 42 – до свідків, із яких виконано 26; змінено обвинуваченому  1 запобіжний захід на взяття під варту.</w:t>
      </w:r>
    </w:p>
    <w:p w:rsidR="00BE0D2E" w:rsidRPr="00AF160C" w:rsidRDefault="00BE0D2E" w:rsidP="00BE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Сума процесуальних витрат, присуджених до стягнення склала </w:t>
      </w:r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4245705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грн, із яких </w:t>
      </w:r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355190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сплачено</w:t>
      </w:r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добровільно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E0D2E" w:rsidRPr="00AF160C" w:rsidRDefault="00BE0D2E" w:rsidP="00BE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В рамках  кримінальних проваджень заявлено  3</w:t>
      </w:r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58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цивільних позовів.</w:t>
      </w:r>
    </w:p>
    <w:p w:rsidR="00BE0D2E" w:rsidRPr="00AF160C" w:rsidRDefault="00BE0D2E" w:rsidP="00BE0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Прийнято </w:t>
      </w:r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256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рішень про </w:t>
      </w:r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застосування конфіскації майна відносно 263 осіб та 8 </w:t>
      </w:r>
      <w:proofErr w:type="spellStart"/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спецконфіскацій</w:t>
      </w:r>
      <w:proofErr w:type="spellEnd"/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відносно 8 осіб.</w:t>
      </w:r>
    </w:p>
    <w:p w:rsidR="009D1937" w:rsidRPr="00AF160C" w:rsidRDefault="00BE0D2E" w:rsidP="00D33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Слідчими суддями області за клопотаннями прокурорів, слідчих та інших осіб було розглянуто </w:t>
      </w:r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9452 (у 2024р.-</w:t>
      </w:r>
      <w:r w:rsidR="00295EF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11705</w:t>
      </w:r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матеріалів, із яких задоволено </w:t>
      </w:r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8386 (у 2024р.-</w:t>
      </w:r>
      <w:r w:rsidR="00295EF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10266</w:t>
      </w:r>
      <w:r w:rsidR="009957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становить </w:t>
      </w:r>
      <w:r w:rsidR="009D193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88,7% проти </w:t>
      </w:r>
      <w:r w:rsidR="009C7F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87</w:t>
      </w:r>
      <w:r w:rsidR="00295EF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9C7F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295EF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D193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минулорічного показника </w:t>
      </w:r>
      <w:r w:rsidR="00295EF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загальної  кількості</w:t>
      </w:r>
      <w:r w:rsidR="009D193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розглянутих матеріалів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464781" w:rsidRPr="00AF160C" w:rsidRDefault="009D1937" w:rsidP="00D33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Найбільшу кількість клопотань, які надійшли на розгляд судів, становили  клопотання  щодо тимчасового  доступу до речей і документів </w:t>
      </w:r>
      <w:r w:rsidR="003C57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3677 ( 2024 р.-</w:t>
      </w:r>
      <w:r w:rsidR="009C7F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3832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3C57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становить 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38,6% проти </w:t>
      </w:r>
      <w:r w:rsidR="009C7F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33,4</w:t>
      </w:r>
      <w:r w:rsidR="003C57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</w:t>
      </w:r>
      <w:r w:rsidR="003C57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загальної кількості </w:t>
      </w:r>
      <w:proofErr w:type="spellStart"/>
      <w:r w:rsidR="003C57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надійшовших</w:t>
      </w:r>
      <w:proofErr w:type="spellEnd"/>
      <w:r w:rsidR="003C57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звітному періоді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; арешт майна 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1470 (15,4%) проти </w:t>
      </w:r>
      <w:r w:rsidR="0046478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9C7F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68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46478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3C57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,4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2024 році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="003C57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 застосування запобіжних заходів 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472(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4,9%) проти</w:t>
      </w:r>
      <w:r w:rsidR="00637E2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6478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C7F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49</w:t>
      </w:r>
      <w:r w:rsidR="0046478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</w:t>
      </w:r>
      <w:r w:rsidR="009C7F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,6</w:t>
      </w:r>
      <w:r w:rsidR="003C57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%)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</w:t>
      </w:r>
      <w:r w:rsidR="003C57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із яких найбільше клопотань щодо вирішення питання про тримання під вартою</w:t>
      </w:r>
      <w:r w:rsidR="00637E2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637E2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267 </w:t>
      </w:r>
      <w:r w:rsidR="003C57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домашній арешт -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99</w:t>
      </w:r>
      <w:r w:rsidR="0046478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C7FE2" w:rsidRPr="00AF160C" w:rsidRDefault="006C20AC" w:rsidP="00D33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Найбільша кількість ска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рг, які надійшли на розгляд судів у звітному періоді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163 ( у 2024 р.-</w:t>
      </w:r>
      <w:r w:rsidR="009C7F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148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стосувалася скарг на бездіяльність слідчого та прокурора, із яких розглянуто із задоволенням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C566D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40 (у 2024 р.- </w:t>
      </w:r>
      <w:r w:rsidR="00C566D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53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стосовно невнесення відомостей про кримінальне правопорушення –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111 проти </w:t>
      </w:r>
      <w:r w:rsidR="00C63B7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116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2024 році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із яких  розглянуто  із задоволенням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29 проти </w:t>
      </w:r>
      <w:r w:rsidR="009C7F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42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2024 році</w:t>
      </w:r>
      <w:r w:rsidR="00D33C9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06708" w:rsidRPr="00AF160C" w:rsidRDefault="009C7FE2" w:rsidP="00D33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Судами було розглянуто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85 заяв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відвід, із задоволенням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54</w:t>
      </w:r>
      <w:r w:rsidR="00C63B7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заяв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6708" w:rsidRPr="00AF160C" w:rsidRDefault="00D33C9F" w:rsidP="00B94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порядку виконання судових рішень розглянуто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575 ( у 2024 р.-</w:t>
      </w:r>
      <w:r w:rsidR="00C63B7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750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B3E3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подань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із яких  щодо неповнолітніх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17</w:t>
      </w:r>
      <w:r w:rsidR="007B3E3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жінок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56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Із задоволенням розглянуто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404 проти </w:t>
      </w:r>
      <w:r w:rsidR="00F241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587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подань  у 2024 році,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становить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70,2% проти </w:t>
      </w:r>
      <w:r w:rsidR="00F241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78,2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% </w:t>
      </w:r>
      <w:r w:rsidR="007C307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минулорічного показника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усієї кількості розглянутих. Найбільшу кількість </w:t>
      </w:r>
      <w:proofErr w:type="spellStart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надійшовших</w:t>
      </w:r>
      <w:proofErr w:type="spellEnd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B3E3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звітному періоді матеріалів (</w:t>
      </w:r>
      <w:r w:rsidR="004B719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199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  складали подання про звільнення від призначеного покарання з випробуванням після закінчення іспитового строку; про установлення, припинення адміністративного нагляду -</w:t>
      </w:r>
      <w:r w:rsidR="004B719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F2419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3, про </w:t>
      </w:r>
      <w:r w:rsidR="004B719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направлення  звільненого від покарання  з випробуванням для відбування покарання, призначеного </w:t>
      </w:r>
      <w:proofErr w:type="spellStart"/>
      <w:r w:rsidR="004B719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вироком</w:t>
      </w:r>
      <w:proofErr w:type="spellEnd"/>
      <w:r w:rsidR="004B719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24.</w:t>
      </w:r>
    </w:p>
    <w:p w:rsidR="00F24198" w:rsidRPr="00AF160C" w:rsidRDefault="00F24198" w:rsidP="00B94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Протягом звітного періоду перебували на розгляді </w:t>
      </w:r>
      <w:r w:rsidR="004B719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 проти </w:t>
      </w:r>
      <w:r w:rsidR="004B553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  <w:r w:rsidR="004B719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2024 році</w:t>
      </w:r>
      <w:r w:rsidR="004B553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57DB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запити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порядку надання міжнародної правничої допомоги</w:t>
      </w:r>
      <w:r w:rsidR="004B553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із яких розглянуто</w:t>
      </w:r>
      <w:r w:rsidR="00257DB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</w:t>
      </w:r>
      <w:r w:rsidR="004B553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57DB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(2024 р.-</w:t>
      </w:r>
      <w:r w:rsidR="004B553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257DB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4B553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зокрема </w:t>
      </w:r>
      <w:r w:rsidR="00257DB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поверненням  6, відмовленням 1</w:t>
      </w:r>
      <w:r w:rsidR="004B553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106708" w:rsidRPr="00AF160C" w:rsidRDefault="00B94279" w:rsidP="00B94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звітному періоді  у провадженні судів перебувало  </w:t>
      </w:r>
      <w:r w:rsidR="00257DB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заяв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перегляд судового рішення  за нововиявленими обставинами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із яких </w:t>
      </w:r>
      <w:r w:rsidR="00257DB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57DB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 розглянуто</w:t>
      </w:r>
      <w:r w:rsidR="00100A0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</w:t>
      </w:r>
      <w:r w:rsidR="00100A0F" w:rsidRPr="00AF160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="00100A0F" w:rsidRPr="00AF160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залишенням</w:t>
      </w:r>
      <w:proofErr w:type="spellEnd"/>
      <w:r w:rsidR="00100A0F" w:rsidRPr="00AF160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заяви</w:t>
      </w:r>
      <w:r w:rsidR="00637E21" w:rsidRPr="00AF160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без </w:t>
      </w:r>
      <w:proofErr w:type="spellStart"/>
      <w:r w:rsidR="00637E21" w:rsidRPr="00AF160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задоволення</w:t>
      </w:r>
      <w:proofErr w:type="spellEnd"/>
      <w:r w:rsidR="00637E21" w:rsidRPr="00AF160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0A0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у залишку.</w:t>
      </w:r>
    </w:p>
    <w:p w:rsidR="00100A0F" w:rsidRPr="00AF160C" w:rsidRDefault="00F33C97" w:rsidP="00CA48CA">
      <w:pPr>
        <w:shd w:val="clear" w:color="auto" w:fill="FFFFFF"/>
        <w:spacing w:after="0" w:line="240" w:lineRule="auto"/>
        <w:jc w:val="both"/>
        <w:rPr>
          <w:rFonts w:ascii="HelveticaNeueCyr-Roman" w:hAnsi="HelveticaNeueCyr-Roman"/>
          <w:shd w:val="clear" w:color="auto" w:fill="FFFFFF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B9427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Протягом  звітного  періоду за результатами перегляду  </w:t>
      </w:r>
      <w:proofErr w:type="spellStart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вироків</w:t>
      </w:r>
      <w:proofErr w:type="spellEnd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місцевих судів </w:t>
      </w:r>
      <w:r w:rsidR="009F537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Херсонським апеляційним судом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апеляціями по кримінальних справах та провадженнях скасовані та змінені </w:t>
      </w:r>
      <w:proofErr w:type="spellStart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вироки</w:t>
      </w:r>
      <w:proofErr w:type="spellEnd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відносно </w:t>
      </w:r>
      <w:r w:rsidR="000311C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141 (у 2024 р.- 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131</w:t>
      </w:r>
      <w:r w:rsidR="000311C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0311C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зокрема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скасовані відносно</w:t>
      </w:r>
      <w:r w:rsidR="000311C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36 (у 2024р.-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39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</w:t>
      </w:r>
      <w:r w:rsidR="000311C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змінених 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відносно </w:t>
      </w:r>
      <w:r w:rsidR="000311C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41 (у 2024р.-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92</w:t>
      </w:r>
      <w:r w:rsidR="000311C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осіб, залишені без змін </w:t>
      </w:r>
      <w:proofErr w:type="spellStart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вироки</w:t>
      </w:r>
      <w:proofErr w:type="spellEnd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відношенні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1C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64 (у 2024 р.-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35</w:t>
      </w:r>
      <w:r w:rsidR="000311C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осіб.</w:t>
      </w:r>
      <w:r w:rsidR="00100A0F" w:rsidRPr="00AF160C">
        <w:rPr>
          <w:rFonts w:ascii="HelveticaNeueCyr-Roman" w:hAnsi="HelveticaNeueCyr-Roman"/>
          <w:shd w:val="clear" w:color="auto" w:fill="FFFFFF"/>
        </w:rPr>
        <w:t xml:space="preserve"> </w:t>
      </w:r>
    </w:p>
    <w:p w:rsidR="00106708" w:rsidRPr="00AF160C" w:rsidRDefault="00CA48CA" w:rsidP="00CA4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За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вироками</w:t>
      </w:r>
      <w:proofErr w:type="spellEnd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набрали законної сили у звітному періоді, місцевими судами засуджено </w:t>
      </w:r>
      <w:r w:rsidR="00A6783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691 ( у 2024р. -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693</w:t>
      </w:r>
      <w:r w:rsidR="00A6783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 особу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у тому числі за </w:t>
      </w:r>
      <w:r w:rsidR="00106708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особливо тяжкі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 злочини –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117 ( у 2024р.-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27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F33C9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іб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або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16,9 проти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3,9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загальної кількості засуджених, за </w:t>
      </w:r>
      <w:r w:rsidR="00106708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тяжкі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– 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210 (2024р.-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188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 осіб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або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30,3 проти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27,1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r w:rsidR="00106708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середньої тяжкості</w:t>
      </w:r>
      <w:r w:rsidR="00F33C9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 –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91 (2024р.-</w:t>
      </w:r>
      <w:r w:rsidR="00F33C9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73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або 13,1% проти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10,5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r w:rsidR="00106708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невеликої тяжкості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–  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273 (2024 р.-</w:t>
      </w:r>
      <w:r w:rsidR="004A44E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405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осіб, або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39,5 проти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941D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58,4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33C97" w:rsidRPr="00AF160C" w:rsidRDefault="00F33C97" w:rsidP="00DE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 жінок, засуджених за вчинення всіх видів злочинів, ста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новила 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144 (2024 р.-</w:t>
      </w:r>
      <w:r w:rsidR="00C941D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94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C941D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особи, що складає 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20,8% (2024 р.-</w:t>
      </w:r>
      <w:r w:rsidR="00C941D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13,5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загальної кількості засуджених. </w:t>
      </w:r>
    </w:p>
    <w:p w:rsidR="00106708" w:rsidRPr="00AF160C" w:rsidRDefault="00F33C97" w:rsidP="00DE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Із засуджених осіб у 2025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році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осіб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позбавлення волі на певний строк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засуджено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292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або 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42,2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% від</w:t>
      </w:r>
      <w:r w:rsidR="00DE540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загальної кількості засуджених.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Штраф, як основне покарання, накладено на 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157 </w:t>
      </w:r>
      <w:r w:rsidR="00DE540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D276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сіб</w:t>
      </w:r>
      <w:r w:rsidR="008315F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22,7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% від загальної кіл</w:t>
      </w:r>
      <w:r w:rsidR="00DE540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ькості засуджених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DE540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обмеження волі </w:t>
      </w:r>
      <w:r w:rsidR="008315F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14 осіб (2,0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%), </w:t>
      </w:r>
      <w:r w:rsidR="00D13E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службове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обмеження </w:t>
      </w:r>
      <w:r w:rsidR="00D13E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військовослужбовців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до </w:t>
      </w:r>
      <w:r w:rsidR="008315F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DE540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 або </w:t>
      </w:r>
      <w:r w:rsidR="008315F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D13E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8315F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%</w:t>
      </w:r>
      <w:r w:rsidR="00D13E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92A89" w:rsidRPr="00AF160C" w:rsidRDefault="00F33C97" w:rsidP="00192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8315F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Додаткове покарання у вигляді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конфіскації майна суди застосували до </w:t>
      </w:r>
      <w:r w:rsidR="008315F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175 проти </w:t>
      </w:r>
      <w:r w:rsidR="00D13E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192A8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 засуджених</w:t>
      </w:r>
      <w:r w:rsidR="008315F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2024 році</w:t>
      </w:r>
      <w:r w:rsidR="00192A8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позбавлення права обіймати певні посади або займатися певною діяльністю – </w:t>
      </w:r>
      <w:r w:rsidR="00D13E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 w:rsidR="008315F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208 осіб проти </w:t>
      </w:r>
      <w:r w:rsidR="00D13E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30 осіб</w:t>
      </w:r>
      <w:r w:rsidR="008315F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2024 році</w:t>
      </w:r>
      <w:r w:rsidR="00192A8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106708" w:rsidRPr="00AF160C" w:rsidRDefault="00F33C97" w:rsidP="00192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192A8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допомогою технічних засобів фіксування судового процесу  розглянуто </w:t>
      </w:r>
      <w:r w:rsidR="008A579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100A0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859 кримінальних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0A0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проваджень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 режимі </w:t>
      </w:r>
      <w:proofErr w:type="spellStart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відеоконференції</w:t>
      </w:r>
      <w:proofErr w:type="spellEnd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проведено</w:t>
      </w:r>
      <w:r w:rsidR="00192A8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0A0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351 судове провадження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100A0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Розглянуто 1 справу за участю присяжних.</w:t>
      </w:r>
    </w:p>
    <w:p w:rsidR="00CA48CA" w:rsidRPr="00AF160C" w:rsidRDefault="00CA48CA" w:rsidP="00192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92A89" w:rsidRPr="00AF160C" w:rsidRDefault="00192A89" w:rsidP="00192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E0286" w:rsidRPr="00AF160C" w:rsidRDefault="00106708" w:rsidP="005E02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справ у порядку адміністративного судочинства</w:t>
      </w:r>
    </w:p>
    <w:p w:rsidR="00106708" w:rsidRPr="00AF160C" w:rsidRDefault="005E0286" w:rsidP="005E02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</w:t>
      </w:r>
      <w:r w:rsidR="00192A8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Суб’єктами звернення  адміністративного судочинства були  </w:t>
      </w:r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628</w:t>
      </w:r>
      <w:r w:rsidR="0051055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7205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фізичних</w:t>
      </w:r>
      <w:r w:rsidR="0051055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на </w:t>
      </w:r>
      <w:r w:rsidR="00AE01E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51055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28 </w:t>
      </w:r>
      <w:r w:rsidR="00AE01E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%  (450) більше минулорічного показника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та </w:t>
      </w:r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13</w:t>
      </w:r>
      <w:r w:rsidR="00AE01E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(2024 р.-</w:t>
      </w:r>
      <w:r w:rsidR="00D43E0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15</w:t>
      </w:r>
      <w:r w:rsidR="00AE01E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юридичних осіб.</w:t>
      </w:r>
    </w:p>
    <w:p w:rsidR="00106708" w:rsidRPr="00AF160C" w:rsidRDefault="00D43E06" w:rsidP="0016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звітному періоді на розгляд місцевим загальними судам області надійшло </w:t>
      </w:r>
      <w:r w:rsidR="001F2A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440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проти</w:t>
      </w:r>
      <w:r w:rsidR="001F2A4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914E9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87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минулому році</w:t>
      </w:r>
      <w:r w:rsidR="0047349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 та  матеріалів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адміністративного судочинства.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розгляді у місцевих загальних судах області у 202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році з урахуванням залишку минулого року знаходилося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641 (у 2024 р.-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14E9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465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47349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справ і матеріалів, з яких 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342 (у 2024 р.-</w:t>
      </w:r>
      <w:r w:rsidR="00914E9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243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53,3% проти </w:t>
      </w:r>
      <w:r w:rsidR="00914E9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52,2%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 </w:t>
      </w:r>
      <w:r w:rsidR="00914E9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 від загальної кількості, які перебували на розгляді)- закінчені провадженням, із задоволенням позовів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228, що на  47% більше, ніж  у 2024 році </w:t>
      </w:r>
      <w:r w:rsidR="00914E9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914E9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121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14E9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0513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Залишок  нерозглянутих справ і матеріалів становив майже 47% від справ, що перебували на розгляді (299).</w:t>
      </w:r>
    </w:p>
    <w:p w:rsidR="003477D3" w:rsidRPr="00AF160C" w:rsidRDefault="003477D3" w:rsidP="00347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Найбільшу частку загальної тривалості перебування  справ та матеріалів адміністративного судочинства закінчених провадженням  становить період до 3-х місяців – </w:t>
      </w:r>
      <w:r w:rsidR="007D62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196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понад 3 місяців  до року – </w:t>
      </w:r>
      <w:r w:rsidR="007D62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117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та матеріалів.</w:t>
      </w:r>
    </w:p>
    <w:p w:rsidR="003477D3" w:rsidRPr="00AF160C" w:rsidRDefault="003477D3" w:rsidP="0016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013D" w:rsidRPr="00AF160C" w:rsidRDefault="000314C7" w:rsidP="0016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914E9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Кількість розглянутих </w:t>
      </w:r>
      <w:r w:rsidR="007B013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 </w:t>
      </w:r>
      <w:r w:rsidR="00C70D8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297 (у 2024р.-</w:t>
      </w:r>
      <w:r w:rsidR="00A8642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E013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98</w:t>
      </w:r>
      <w:r w:rsidR="00C70D8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серед яких найбільшу кількість становлять справи зі спорів з приводу забезпечення громадського порядку та безпеки, національної безпеки та оборони України – </w:t>
      </w:r>
      <w:r w:rsidR="00C70D8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155</w:t>
      </w:r>
      <w:r w:rsidR="007B013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 становить </w:t>
      </w:r>
      <w:r w:rsidR="00C70D8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52,1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% від загального показника розглянутих справ, </w:t>
      </w:r>
      <w:r w:rsidR="007B013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із яких </w:t>
      </w:r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73  справи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спорів щодо  дорожнього руху, тран</w:t>
      </w:r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спорту та перевезення пасажирів, 51 –стосовно військового обліку, мобілізаційної підготовки та мобілізації.</w:t>
      </w:r>
    </w:p>
    <w:p w:rsidR="003E3921" w:rsidRPr="00AF160C" w:rsidRDefault="007B013D" w:rsidP="0016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порядку письмового провадження було розглянуто </w:t>
      </w:r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87 справ проти </w:t>
      </w:r>
      <w:r w:rsidR="00130EC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46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минулому році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у порядку спрощеного </w:t>
      </w:r>
      <w:r w:rsidR="003E392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168 проти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30EC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60</w:t>
      </w:r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2024 році</w:t>
      </w:r>
      <w:r w:rsidR="003E392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Із фіксуванням судового засідання технічними засобами </w:t>
      </w:r>
      <w:proofErr w:type="spellStart"/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роглянуто</w:t>
      </w:r>
      <w:proofErr w:type="spellEnd"/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3E392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режимі </w:t>
      </w:r>
      <w:proofErr w:type="spellStart"/>
      <w:r w:rsidR="003E392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відеконференцзв</w:t>
      </w:r>
      <w:proofErr w:type="spellEnd"/>
      <w:r w:rsidR="003E3921" w:rsidRPr="00AF160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`</w:t>
      </w:r>
      <w:proofErr w:type="spellStart"/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язку</w:t>
      </w:r>
      <w:proofErr w:type="spellEnd"/>
      <w:r w:rsidR="001E5BC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-10</w:t>
      </w:r>
      <w:r w:rsidR="003E392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E5BC0" w:rsidRPr="00AF160C" w:rsidRDefault="001E5BC0" w:rsidP="0016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Розглянуто 2 заяви про забезпечення </w:t>
      </w:r>
      <w:r w:rsidR="00777ED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(скасування забезпечення) доказів;  1 справу в порядку виконання судових рішень із задоволенням із 3, які перебували у провадженні; 1 справа про перегляд судового рішення  за нововиявленими або виключними обставинами, яка перебувала на розгляді у звітному періоді, залишилася у залишку.</w:t>
      </w:r>
    </w:p>
    <w:p w:rsidR="003E3921" w:rsidRPr="00AF160C" w:rsidRDefault="003E3921" w:rsidP="0016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9762F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Апеляційною інстанцією протягом звітного періоду    </w:t>
      </w:r>
      <w:proofErr w:type="spellStart"/>
      <w:r w:rsidR="009762F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переглянуто</w:t>
      </w:r>
      <w:proofErr w:type="spellEnd"/>
      <w:r w:rsidR="009762F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46 рішень, із яких залишено без змін 29, скасовано із прийняттям нового рішення 17.</w:t>
      </w:r>
    </w:p>
    <w:p w:rsidR="007F6728" w:rsidRPr="00AF160C" w:rsidRDefault="007F6728" w:rsidP="001668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6708" w:rsidRPr="00AF160C" w:rsidRDefault="00106708" w:rsidP="00106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справ у порядку цивільного судочинства</w:t>
      </w:r>
    </w:p>
    <w:p w:rsidR="009D411A" w:rsidRPr="00AF160C" w:rsidRDefault="009D411A" w:rsidP="00106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43E9" w:rsidRPr="00AF160C" w:rsidRDefault="000D3F3B" w:rsidP="009D411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uk-UA"/>
        </w:rPr>
        <w:drawing>
          <wp:inline distT="0" distB="0" distL="0" distR="0" wp14:anchorId="12DD41F3" wp14:editId="4D37C2C5">
            <wp:extent cx="5495925" cy="37433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06708" w:rsidRPr="00AF160C" w:rsidRDefault="00B31619" w:rsidP="00891F6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            </w:t>
      </w:r>
      <w:r w:rsidR="004F45D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</w:t>
      </w:r>
      <w:r w:rsidR="0029221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році до місцевих загальних судів Херсонської області  на розгляд надійшло </w:t>
      </w:r>
      <w:r w:rsidR="0029221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18223 (у 2024р.-</w:t>
      </w:r>
      <w:r w:rsidR="004F45D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14391</w:t>
      </w:r>
      <w:r w:rsidR="0029221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AC56A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 та заяв, що розглядаються в порядку </w:t>
      </w:r>
      <w:r w:rsidR="00292213"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цивільного судочинства, </w:t>
      </w:r>
      <w:r w:rsidR="00292213" w:rsidRPr="00AF160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що на 21</w:t>
      </w:r>
      <w:r w:rsidR="00F9304B" w:rsidRPr="00AF160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292213" w:rsidRPr="00AF160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="00F9304B" w:rsidRPr="00AF160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%</w:t>
      </w:r>
      <w:r w:rsidR="00292213" w:rsidRPr="00AF160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більше у порівнянні</w:t>
      </w:r>
      <w:r w:rsidR="00F9304B" w:rsidRPr="00AF160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із минулорічним показником.</w:t>
      </w:r>
      <w:r w:rsidR="0029221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Позовні заяви і матеріали складають </w:t>
      </w:r>
      <w:r w:rsidR="0029221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13970 (у 2024р.-</w:t>
      </w:r>
      <w:r w:rsidR="004F45D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9236</w:t>
      </w:r>
      <w:r w:rsidR="0029221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="00F930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507 (у 2024 р.- </w:t>
      </w:r>
      <w:r w:rsidR="004F45D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404</w:t>
      </w:r>
      <w:r w:rsidR="00F930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 наказного провадження (видача та скасування); </w:t>
      </w:r>
      <w:r w:rsidR="00F930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643 (у 2024 р.-</w:t>
      </w:r>
      <w:r w:rsidR="004F45D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775</w:t>
      </w:r>
      <w:r w:rsidR="00F930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окреме провадження; </w:t>
      </w:r>
      <w:r w:rsidR="00F930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1337 (2024 р.-</w:t>
      </w:r>
      <w:r w:rsidR="004F45D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1537</w:t>
      </w:r>
      <w:r w:rsidR="00F930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клопотання, заяви, подання у порядку виконання судових рішень; </w:t>
      </w:r>
      <w:r w:rsidR="009E04D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205 (2024 р.-</w:t>
      </w:r>
      <w:r w:rsidR="004F45D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101</w:t>
      </w:r>
      <w:r w:rsidR="009E04D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заяви про перегляд заочного рішення; </w:t>
      </w:r>
      <w:r w:rsidR="009E04D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58 (2024 р.-</w:t>
      </w:r>
      <w:r w:rsidR="004F45D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56</w:t>
      </w:r>
      <w:r w:rsidR="009E04D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скарги на дії або бездіяльність державного виконавця; </w:t>
      </w:r>
      <w:r w:rsidR="009E04D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116 (2024 р.-</w:t>
      </w:r>
      <w:r w:rsidR="004F45D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55</w:t>
      </w:r>
      <w:r w:rsidR="009E04D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заяви про забезпечення доказів, позову до подання позовної заяви; </w:t>
      </w:r>
      <w:r w:rsidR="009E04D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 (2024 р.-</w:t>
      </w:r>
      <w:r w:rsidR="00AC56A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9E04D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заяви про перегляд рішень у зв’язку з нововиявленими обставинами.</w:t>
      </w:r>
    </w:p>
    <w:p w:rsidR="004F45D1" w:rsidRPr="00AF160C" w:rsidRDefault="00B31619" w:rsidP="00853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891F6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урахуванням залишку попереднього звітного періоду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91F6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ісцевими судами</w:t>
      </w:r>
      <w:r w:rsidR="009E04D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області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розглянуто у поточному звітному пер</w:t>
      </w:r>
      <w:r w:rsidR="00891F6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іоді</w:t>
      </w:r>
      <w:r w:rsidR="009E04D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15393 (2024 р.-</w:t>
      </w:r>
      <w:r w:rsidR="00891F6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F45D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13638</w:t>
      </w:r>
      <w:r w:rsidR="009E04D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891F6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та матеріалів.</w:t>
      </w:r>
    </w:p>
    <w:p w:rsidR="006511A3" w:rsidRPr="00AF160C" w:rsidRDefault="006511A3" w:rsidP="00853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Суб’єкти звернення цивільного судочинства  -10750 фізичних та 15777 – юридичних осіб, зокрема 15 державних органів.</w:t>
      </w:r>
    </w:p>
    <w:p w:rsidR="00D501E3" w:rsidRPr="00AF160C" w:rsidRDefault="006724FD" w:rsidP="00BB7E4B">
      <w:pPr>
        <w:tabs>
          <w:tab w:val="left" w:pos="65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Серед розглянутих справ </w:t>
      </w:r>
      <w:r w:rsidR="00106708" w:rsidRPr="00AF160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позовного провадження</w:t>
      </w:r>
      <w:r w:rsidR="009B16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045B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11457 </w:t>
      </w:r>
      <w:r w:rsidR="009B16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6045B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2024 р.-</w:t>
      </w:r>
      <w:r w:rsidR="00351A4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8982</w:t>
      </w:r>
      <w:r w:rsidR="009B16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найбільшу кількість  складають справ</w:t>
      </w:r>
      <w:r w:rsidR="00351A4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и щодо спорів, що виникають  із правочинів</w:t>
      </w:r>
      <w:r w:rsidR="009B16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їх  частка  становить </w:t>
      </w:r>
      <w:r w:rsidR="006045B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57,1%  (2024 р.-</w:t>
      </w:r>
      <w:r w:rsidR="009B16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351A4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8,7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від загальної кількості розглянутих справ позовного провадження, 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5904 (2024 р.-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3705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B16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із яких становлять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позики, кредити, банківські вклади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із сімейних правовідносин розглянуто 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2562 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(2024 р.-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3039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(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22,3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%), із яких  про розірвання шлюбу -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1938 проти 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2444 справ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; справи, що виникають  із відносин спадкування -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371 (2024 р.-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403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які становлять 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3,2%  проти 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,5% </w:t>
      </w:r>
      <w:r w:rsidR="008533C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 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загальної кількості розглянутих.</w:t>
      </w:r>
    </w:p>
    <w:p w:rsidR="00BB7E4B" w:rsidRPr="00AF160C" w:rsidRDefault="00BB7E4B" w:rsidP="00BB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Залишок нерозглянутих цивільних справ позовного провадження на 01.01.2026  складає 8401, із яких 2103- справи, не розглянуті понад рік. </w:t>
      </w:r>
    </w:p>
    <w:p w:rsidR="006511A3" w:rsidRPr="00AF160C" w:rsidRDefault="00BB7E4B" w:rsidP="006511A3">
      <w:pPr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</w:p>
    <w:p w:rsidR="00106708" w:rsidRPr="00AF160C" w:rsidRDefault="006511A3" w:rsidP="006511A3">
      <w:pPr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9B16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звітному періоді перебувало на розгляді </w:t>
      </w:r>
      <w:r w:rsidR="0019156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944 (2024 р.-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1007</w:t>
      </w:r>
      <w:r w:rsidR="0019156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06708" w:rsidRPr="00AF160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справ окремого провадження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9156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680 (2024 р.-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708</w:t>
      </w:r>
      <w:r w:rsidR="0019156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яких закінчено провадженням, 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становить </w:t>
      </w:r>
      <w:r w:rsidR="0019156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72,0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%,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 ухваленням рішення</w:t>
      </w:r>
      <w:r w:rsidR="00D501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19156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576 (2024 р.</w:t>
      </w:r>
      <w:r w:rsidR="00CB4C2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599</w:t>
      </w:r>
      <w:r w:rsidR="0019156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13553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Найбільша кількість справ даного виду судочинства – справи про встановлення фактів, що мають юридичне значення, частка розглянутих яких від загальної кількості закінчених провадженням справ даної категорії</w:t>
      </w:r>
      <w:r w:rsidR="0013553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становить</w:t>
      </w:r>
      <w:r w:rsidR="00CF393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73,7% проти</w:t>
      </w:r>
      <w:r w:rsidR="0013553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8</w:t>
      </w:r>
      <w:r w:rsidR="00CB4C2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1,5</w:t>
      </w:r>
      <w:r w:rsidR="0013553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CF393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показника, найбільша кількість справ даної категорії припадає на встановлення інших фактів на тимчасово окупованій території-67,3%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; кількість розглянутих справ про обмеження цивільної діє</w:t>
      </w:r>
      <w:r w:rsidR="0013553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здатності фізичних осіб  сягає </w:t>
      </w:r>
      <w:r w:rsidR="00CF393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13,3% проти </w:t>
      </w:r>
      <w:r w:rsidR="00CB4C2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9,1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% </w:t>
      </w:r>
      <w:r w:rsidR="00CF393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минулорічного показника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 від загальної кількості розглянутих справ окремого провадження.</w:t>
      </w:r>
    </w:p>
    <w:p w:rsidR="003477D3" w:rsidRPr="00AF160C" w:rsidRDefault="003477D3" w:rsidP="00135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Залишок нерозглянутих цивільних справ окремого  провадження на 01.01.2026  складає 264, із яких 48- справи, не розглянуті понад рік</w:t>
      </w:r>
    </w:p>
    <w:p w:rsidR="003477D3" w:rsidRPr="00AF160C" w:rsidRDefault="003477D3" w:rsidP="00347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Найбільшу частку загальної тривалості перебування  справ та матеріалів цивільного судочинства закінчених провадженням  становить період до 3-х місяців – 6576, понад 3 місяців  до року – 6270 справ та матеріалів.</w:t>
      </w:r>
    </w:p>
    <w:p w:rsidR="00CF393E" w:rsidRPr="00AF160C" w:rsidRDefault="00CF393E" w:rsidP="00135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3553E" w:rsidRPr="00AF160C" w:rsidRDefault="00CF393E" w:rsidP="00106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За 2025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 місцевими загальними судами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області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було видано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275 проти 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338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судових наказів</w:t>
      </w:r>
      <w:r w:rsidR="0013553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сума пред’явлених  грошових коштів становила 6791463 грн</w:t>
      </w:r>
      <w:r w:rsidR="0044329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підлягала стягненню </w:t>
      </w:r>
      <w:r w:rsidR="00E6501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4329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2501933 грн</w:t>
      </w:r>
      <w:r w:rsidR="00E6501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3553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скасовано </w:t>
      </w:r>
      <w:r w:rsidR="0044329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 (</w:t>
      </w:r>
      <w:r w:rsidR="00BB7E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2024 р.</w:t>
      </w:r>
      <w:r w:rsidR="0044329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1C4F2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44329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 судових накази, 91796 грн становила сума, щодо якої подані заяви про скасування судових наказів.</w:t>
      </w:r>
    </w:p>
    <w:p w:rsidR="00106708" w:rsidRPr="00AF160C" w:rsidRDefault="00443296" w:rsidP="00BB23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 На 01.01.2026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 залишилися нерозглянутими </w:t>
      </w:r>
      <w:r w:rsidR="00BB7E4B" w:rsidRPr="00AF160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74</w:t>
      </w:r>
      <w:r w:rsidR="00BB238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заяв</w:t>
      </w:r>
      <w:r w:rsidR="00BB7E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видачу та скасування</w:t>
      </w:r>
      <w:r w:rsidR="00BB7E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судових наказів, що складає 13,7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 від кількості таких заяв, що знаходилися у провадженні.</w:t>
      </w:r>
    </w:p>
    <w:p w:rsidR="007D62E3" w:rsidRPr="00AF160C" w:rsidRDefault="007D62E3" w:rsidP="00BB23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57FB7" w:rsidRPr="00AF160C" w:rsidRDefault="00BB238E" w:rsidP="007F6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D62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У 2025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році на розгляді місцевих судів перебувало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D62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1491 клопотання, заяви у порядку виконання судових рішень, із яких розглянуто 1103</w:t>
      </w:r>
      <w:r w:rsidR="00557FB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проти 1842 минулорічного показника</w:t>
      </w:r>
      <w:r w:rsidR="007D62E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із задоволенням 56,3% (622)</w:t>
      </w:r>
      <w:r w:rsidR="00557FB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залишок становить 388. </w:t>
      </w:r>
    </w:p>
    <w:p w:rsidR="007D62E3" w:rsidRPr="00AF160C" w:rsidRDefault="00557FB7" w:rsidP="007F6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Розглянуто 142 справ та матеріалів, що становить 79,3% від кількості, яка перебувала у провадженні судів, про відновлення втраченого провадження.</w:t>
      </w:r>
    </w:p>
    <w:p w:rsidR="00557FB7" w:rsidRPr="00AF160C" w:rsidRDefault="00557FB7" w:rsidP="007F6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</w:t>
      </w:r>
      <w:r w:rsidR="002F339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звітному періоді також розглянуто 59 скарг на дії або бездіяльність державного виконавця, що становить 60% (98) від скарг, які перебували у провадженні, із задоволенням  розглянуто 12. На кінець звітного періоду залишилось нерозглянутими 39.</w:t>
      </w:r>
    </w:p>
    <w:p w:rsidR="002F339E" w:rsidRPr="00AF160C" w:rsidRDefault="002F339E" w:rsidP="007F6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На розгляді  перебувало також 133 заяви про забезпечення</w:t>
      </w:r>
      <w:r w:rsidR="00F5570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(скасування забезпечення) доказів, позову до подання  позовної заяви, із яких розглянуто 107, із яких 76 задоволено, 26 – перейшли у залишок.</w:t>
      </w:r>
    </w:p>
    <w:p w:rsidR="00AA5CEB" w:rsidRPr="00AF160C" w:rsidRDefault="00F55706" w:rsidP="007F6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6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заяв про перегляд судових рішень за нововиявленими</w:t>
      </w:r>
      <w:r w:rsidR="00F9139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обставинами, і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з яких розглянуто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13156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заяви</w:t>
      </w:r>
      <w:r w:rsidR="00AA5CE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13156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яких 1 –задоволена,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</w:t>
      </w:r>
      <w:r w:rsidR="00AA5CE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- у  залишку</w:t>
      </w:r>
      <w:r w:rsidR="00AA5CE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55706" w:rsidRPr="00AF160C" w:rsidRDefault="00F55706" w:rsidP="007F6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У звітному періоді розглянуто 7 клопотань про визнання та звернення  до виконання рішень  іноземного суду, що під</w:t>
      </w:r>
      <w:r w:rsidR="002144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л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2144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г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ає</w:t>
      </w:r>
      <w:r w:rsidR="002144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/не підлягає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примусовому виконанню</w:t>
      </w:r>
      <w:r w:rsidR="002144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із яких 6- задоволено  та 35 доручень судів України /іноземних судів, із яких 8 задоволено.</w:t>
      </w:r>
    </w:p>
    <w:p w:rsidR="00D11DA8" w:rsidRPr="00AF160C" w:rsidRDefault="00D11DA8" w:rsidP="007F6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1DA8" w:rsidRPr="00AF160C" w:rsidRDefault="00D11DA8" w:rsidP="00D11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За участю присяжних розглянуто 92 справи.</w:t>
      </w:r>
    </w:p>
    <w:p w:rsidR="00D11DA8" w:rsidRPr="00AF160C" w:rsidRDefault="00D11DA8" w:rsidP="00D11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За допомогою фіксування судового процесу технічними засобами розглянуто 161 справу цивільного судочинства або 1,04% від кількості розглянутих справ, в режимі </w:t>
      </w:r>
      <w:proofErr w:type="spellStart"/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відеоконференції</w:t>
      </w:r>
      <w:proofErr w:type="spellEnd"/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- 70 справ.</w:t>
      </w:r>
    </w:p>
    <w:p w:rsidR="00D11DA8" w:rsidRPr="00AF160C" w:rsidRDefault="00D11DA8" w:rsidP="007F6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6728" w:rsidRPr="00AF160C" w:rsidRDefault="00D11DA8" w:rsidP="007F6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7F672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Апеляційною інстанцією розглянуто</w:t>
      </w:r>
      <w:r w:rsidR="002144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655 проти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144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144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190 </w:t>
      </w:r>
      <w:r w:rsidR="004870E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проваджень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 апеляційними скаргами, в результаті чого залишено без змін </w:t>
      </w:r>
      <w:r w:rsidR="002144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270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скасовано </w:t>
      </w:r>
      <w:r w:rsidR="002144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141</w:t>
      </w:r>
      <w:r w:rsidR="007F672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рішення,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змінено </w:t>
      </w:r>
      <w:r w:rsidR="002144F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242 рішення</w:t>
      </w:r>
      <w:r w:rsidR="007F672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91F60" w:rsidRPr="00AF160C" w:rsidRDefault="00FD6EE5" w:rsidP="00D11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</w:p>
    <w:p w:rsidR="009D396E" w:rsidRPr="00AF160C" w:rsidRDefault="009D396E" w:rsidP="00D11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6708" w:rsidRPr="00AF160C" w:rsidRDefault="00106708" w:rsidP="00106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справ про адміністративні правопорушення</w:t>
      </w:r>
    </w:p>
    <w:p w:rsidR="009D396E" w:rsidRPr="00AF160C" w:rsidRDefault="009D396E" w:rsidP="00106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6708" w:rsidRPr="00AF160C" w:rsidRDefault="002B0423" w:rsidP="00075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розгляді в місцевих загальних судах протягом звітного періоду перебувало </w:t>
      </w:r>
      <w:r w:rsidR="00EF5E8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7538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9016B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(2024р.-</w:t>
      </w:r>
      <w:r w:rsidR="00930B6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тисяч </w:t>
      </w:r>
      <w:r w:rsidR="00930B6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279</w:t>
      </w:r>
      <w:r w:rsidR="009016B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матеріалів і справ про адміністративні правопорушення,</w:t>
      </w:r>
      <w:r w:rsidR="009716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яких </w:t>
      </w:r>
      <w:r w:rsidR="00EF5E8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7268 (2024 р.-</w:t>
      </w:r>
      <w:r w:rsidR="009716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10971</w:t>
      </w:r>
      <w:r w:rsidR="00EF5E8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716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справ,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F5E8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зокрема 2275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  <w:r w:rsidR="00EF5E8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 у 2024 р.-</w:t>
      </w:r>
      <w:r w:rsidR="00AA323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2139</w:t>
      </w:r>
      <w:r w:rsidR="00EF5E8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0755C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порушення </w:t>
      </w:r>
      <w:r w:rsidR="000755C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Правил дорожнього руху або  </w:t>
      </w:r>
      <w:r w:rsidR="00EF5E8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31,3% проти </w:t>
      </w:r>
      <w:r w:rsidR="00AA323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19</w:t>
      </w:r>
      <w:r w:rsidR="009716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EF5E8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загальної кількості справ, які перебували на розгляді.</w:t>
      </w:r>
    </w:p>
    <w:p w:rsidR="00106708" w:rsidRPr="00AF160C" w:rsidRDefault="000755C7" w:rsidP="00075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звітному періоді розглянуто </w:t>
      </w:r>
      <w:r w:rsidR="00EF5E8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6037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 w:rsidR="00D648D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матеріалів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адміністративні правопорушення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="00EF5E8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209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F5E8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</w:t>
      </w:r>
      <w:r w:rsidR="00D648D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матеріалів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порядку  виконання постанов.</w:t>
      </w:r>
      <w:r w:rsidR="00D648D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Протягом 2025 року розглянуто 5894 справ 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адміністративні правопорушення </w:t>
      </w:r>
      <w:r w:rsidR="00D648D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відносно тієї ж кількості осіб. </w:t>
      </w:r>
    </w:p>
    <w:p w:rsidR="008D4AA4" w:rsidRPr="00AF160C" w:rsidRDefault="000755C7" w:rsidP="008D4AA4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8D4AA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Стягнення за вчинення адміністративних правопорушень застосовано судами  до </w:t>
      </w:r>
      <w:r w:rsidR="009D396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4730    ( у 2024 р.-</w:t>
      </w:r>
      <w:r w:rsidR="00AA323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6622</w:t>
      </w:r>
      <w:r w:rsidR="009D396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D4AA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осіб,   до адміністративної відповідальності протягом звітного періоду було притягнуто </w:t>
      </w:r>
      <w:r w:rsidR="009D396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2537 працездатних осіб</w:t>
      </w:r>
      <w:r w:rsidR="008D4AA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які не працювали і не навчалися, </w:t>
      </w:r>
      <w:r w:rsidR="009D396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1662</w:t>
      </w:r>
      <w:r w:rsidR="008D4AA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військовослужбовців, </w:t>
      </w:r>
      <w:r w:rsidR="009D396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155</w:t>
      </w:r>
      <w:r w:rsidR="008D4AA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="009D396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обітників</w:t>
      </w:r>
      <w:r w:rsidR="008D4AA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9D396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154</w:t>
      </w:r>
      <w:r w:rsidR="008D4AA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пенсіонери, </w:t>
      </w:r>
      <w:r w:rsidR="009D396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="008D4AA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державних службовці, </w:t>
      </w:r>
      <w:r w:rsidR="009D396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102</w:t>
      </w:r>
      <w:r w:rsidR="008D4AA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інших службовці, </w:t>
      </w:r>
      <w:r w:rsidR="009D396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 осіб з інвалідністю.</w:t>
      </w:r>
    </w:p>
    <w:p w:rsidR="009D396E" w:rsidRPr="00AF160C" w:rsidRDefault="009D396E" w:rsidP="009D3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Судами було закрито провадження у відношенні 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1126 (у 2024 р.-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2425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осіб, що становить 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14,9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 від числа справ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перебували на розгляді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повернуто судами справ 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148 (2024р.-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131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в у відсотковому відношенні від кількості справ, які перебували  на розгляді, складає 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2,0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%.</w:t>
      </w:r>
    </w:p>
    <w:p w:rsidR="009D396E" w:rsidRPr="00AF160C" w:rsidRDefault="009D396E" w:rsidP="009D3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За вчинення адміністративних правопорушень суди застосували такий вид стягнення як штраф до </w:t>
      </w:r>
      <w:r w:rsidR="00DF7D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4560 (2024р.-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6345</w:t>
      </w:r>
      <w:r w:rsidR="00DF7D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 на загальну суму </w:t>
      </w:r>
      <w:r w:rsidR="00DF7D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56359011 (2024р.-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68348799</w:t>
      </w:r>
      <w:r w:rsidR="00DF7D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грн, із якої добровільно сплачено </w:t>
      </w:r>
      <w:r w:rsidR="00DF7D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8811618 (2024р.-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11784753</w:t>
      </w:r>
      <w:r w:rsidR="00DF7D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</w:t>
      </w:r>
      <w:r w:rsidR="00DF7D4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рн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D396E" w:rsidRPr="00AF160C" w:rsidRDefault="009D396E" w:rsidP="009D3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Попередження застосовано до 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136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осіб; громадські роботи до 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осіб; адміністративний арешт до  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осіб; арешт з утримання на гауптвахті – до  1 осіб;  позбавлення спеціального права до 1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осіб.</w:t>
      </w:r>
      <w:r w:rsidR="00EF2B2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Додаткове стягнення застосовано у вигляді  конфіскації предмета до 174 осіб, позбавлення спеціального права (керування транспортним засобом) </w:t>
      </w:r>
      <w:r w:rsidR="009D5E8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1152 осіб.</w:t>
      </w:r>
    </w:p>
    <w:p w:rsidR="009D396E" w:rsidRPr="00AF160C" w:rsidRDefault="009D396E" w:rsidP="009D396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      </w:t>
      </w:r>
      <w:r w:rsidR="005B243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Звільнено від адміністративної відповідальності при малозначності  правопорушення </w:t>
      </w:r>
      <w:r w:rsidR="0085171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64  (2024р.-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188</w:t>
      </w:r>
      <w:r w:rsidR="0085171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 о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сіб. У зв’язку  із закінченням строків, передбачених ст. 38 КУпАП,  закрито  справ  у відношенні </w:t>
      </w:r>
      <w:r w:rsidR="0085171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321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171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(2024 р.-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1007</w:t>
      </w:r>
      <w:r w:rsidR="0085171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осіб, у зв’язку із відсутністю подій і складу адміністративного правопорушення -  у відношенні </w:t>
      </w:r>
      <w:r w:rsidR="0085171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713 (2024 р.-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1024</w:t>
      </w:r>
      <w:r w:rsidR="0085171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171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осіб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51711" w:rsidRPr="00AF160C" w:rsidRDefault="00851711" w:rsidP="009D396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Направлено  на проходження  програми для кривдників, передбаченої  Законом України «Про запобігання та протидію домашньому насильству 124 особи.</w:t>
      </w:r>
    </w:p>
    <w:p w:rsidR="009D396E" w:rsidRPr="00AF160C" w:rsidRDefault="009D396E" w:rsidP="009D396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851711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В апеляційній інстанції протягом року перебувало </w:t>
      </w:r>
      <w:r w:rsidR="0064046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252 (2024 р.-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233</w:t>
      </w:r>
      <w:r w:rsidR="0064046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справи про адміністративні правопорушення, або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4,3% проти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2,56%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минулорічного показника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загальної кількості розглянутих місцевими судами справ, в результаті чого скасовано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32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(2024р.-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останови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змінено 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 (2024р.-5)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постанов, залишено без змін- 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140 (2024-р.-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115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D396E" w:rsidRPr="00AF160C" w:rsidRDefault="009D396E" w:rsidP="009D396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D396E" w:rsidRPr="00AF160C" w:rsidRDefault="00EF2B29" w:rsidP="009D396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60288" behindDoc="0" locked="0" layoutInCell="1" allowOverlap="1" wp14:anchorId="6F37ED72" wp14:editId="4F9D29E5">
            <wp:simplePos x="0" y="0"/>
            <wp:positionH relativeFrom="page">
              <wp:align>center</wp:align>
            </wp:positionH>
            <wp:positionV relativeFrom="paragraph">
              <wp:posOffset>228600</wp:posOffset>
            </wp:positionV>
            <wp:extent cx="6010861" cy="3228975"/>
            <wp:effectExtent l="0" t="0" r="9525" b="9525"/>
            <wp:wrapSquare wrapText="bothSides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96E" w:rsidRPr="00AF160C" w:rsidRDefault="008D4AA4" w:rsidP="00334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0755C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F5E84" w:rsidRPr="00AF160C" w:rsidRDefault="00EF5E84" w:rsidP="00334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5D7B" w:rsidRPr="00AF160C" w:rsidRDefault="00D63A4F" w:rsidP="00334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="003C3FD9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розгляді у судів перебувало 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123 (2024р.-</w:t>
      </w:r>
      <w:r w:rsidR="00930B6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98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B6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</w:t>
      </w:r>
      <w:r w:rsidR="00255D7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корупційні правопорушення за порушення  Закону України «Про запобігання корупції», </w:t>
      </w:r>
      <w:r w:rsidR="008D4AA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із яких у звітному періоді надійшло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110 (2024-</w:t>
      </w:r>
      <w:r w:rsidR="004805B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79</w:t>
      </w:r>
      <w:r w:rsidR="0045621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255D7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 протоколами, складеними уповноваженими особами Національної поліції (120) та Національного  агентства з питань   запобігання корупції (3).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F210D" w:rsidRPr="00AF160C" w:rsidRDefault="00255D7B" w:rsidP="0032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5C0DB0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Протягом </w:t>
      </w:r>
      <w:r w:rsidR="00216A6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звітного періоду 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розглянуто справи </w:t>
      </w:r>
      <w:r w:rsidR="00EF210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відносно</w:t>
      </w:r>
      <w:r w:rsidR="00216A6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651E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80</w:t>
      </w:r>
      <w:r w:rsidR="00216A6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осіб</w:t>
      </w:r>
      <w:r w:rsidR="007651E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216A6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накладено адміністративне стягнення</w:t>
      </w:r>
      <w:r w:rsidR="00EF210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вигляді штрафу</w:t>
      </w:r>
      <w:r w:rsidR="007651E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відносно 70 осіб</w:t>
      </w:r>
      <w:r w:rsidR="00EF210D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сумі </w:t>
      </w:r>
      <w:r w:rsidR="007651E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98770 грн, із яких  сплачено добровільно 34000 грн. Закрито провадження  відносно 9 осіб, із яких  6 – із закінченням строків, 2- відсутності події і складу адміністративного правопорушення, 1 – звільнення від адміністративної відповідальності при малозначності правопорушення.</w:t>
      </w:r>
    </w:p>
    <w:p w:rsidR="00106708" w:rsidRPr="00AF160C" w:rsidRDefault="003232DC" w:rsidP="0032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порушення Закону України «Про запобігання корупції» до адміністративної відповідальності притягнуто</w:t>
      </w:r>
      <w:r w:rsidR="007651E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35 державних</w:t>
      </w:r>
      <w:r w:rsidR="009F0AA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службовці</w:t>
      </w:r>
      <w:r w:rsidR="007651E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7651E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8 депутатів,</w:t>
      </w:r>
      <w:r w:rsidR="002C604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9 поліцейських,</w:t>
      </w:r>
      <w:r w:rsidR="007651E5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C604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F0AA6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C604F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інших службовці, 4 військовослужбовці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тощо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24E41" w:rsidRPr="00AF160C" w:rsidRDefault="00A24E41" w:rsidP="0032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У звітному періоді засуджено 7 осіб</w:t>
      </w:r>
      <w:r w:rsidR="0043570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які вчинили кримінальні правопорушення за категоріями осіб, зазначеними у Закону України «Про запобігання корупції», </w:t>
      </w:r>
      <w:r w:rsidR="000320FB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із яких -</w:t>
      </w:r>
      <w:r w:rsidR="0043570A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 особу із позбавленням волі понад 2 років до 3 включно, застосовано штраф до 5 осіб, 1 особу- тримання  в дисциплінарному батальйоні, закрито  справи відносно 9 осіб. До  двох осіб  застосовано додаткове покарання  у вигляді позбавлення  права обіймати певні посади або займатися певною діяльністю, до 1- конфіскацію майна.</w:t>
      </w:r>
    </w:p>
    <w:p w:rsidR="009D396E" w:rsidRPr="00AF160C" w:rsidRDefault="009D396E" w:rsidP="00334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6708" w:rsidRPr="00AF160C" w:rsidRDefault="002B0423" w:rsidP="00106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звітному періоді до місцевих загальних судів області надійшло</w:t>
      </w:r>
      <w:r w:rsidR="00FD7DD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19053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D7DD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(2024р.-</w:t>
      </w:r>
      <w:r w:rsidR="007027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15897</w:t>
      </w:r>
      <w:r w:rsidR="00FD7DD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заяв та скарг, у яких справляється судовий збір, із яких відповідно до Закону України «Про судовий збір», фактично сплачено </w:t>
      </w:r>
      <w:r w:rsidR="00FD7DD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31700768 (2024р.-</w:t>
      </w:r>
      <w:r w:rsidR="007027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21137390</w:t>
      </w:r>
      <w:r w:rsidR="00FD7DD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7027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</w:t>
      </w:r>
      <w:r w:rsidR="00FD7DD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15237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D7DD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(2024 р.-</w:t>
      </w:r>
      <w:r w:rsidR="007027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10503</w:t>
      </w:r>
      <w:r w:rsidR="00FD7DD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E529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заявах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 Присуджено до стягнення судового збору у Державний бюджет</w:t>
      </w:r>
      <w:r w:rsidR="00FD7DD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2126956  гривень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. Згідно до вста</w:t>
      </w:r>
      <w:r w:rsidR="007027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новлених законом пільг звільнена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судом від сплати судового збору </w:t>
      </w:r>
      <w:r w:rsidR="00FD7DD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931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</w:t>
      </w:r>
      <w:r w:rsidR="007027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оба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(розрахункова сума </w:t>
      </w:r>
      <w:r w:rsidR="00FD7DDE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1F78B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08044</w:t>
      </w:r>
      <w:r w:rsidR="007027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</w:t>
      </w:r>
      <w:r w:rsidR="00106708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), найбільшу їх кількість становлять  заяви</w:t>
      </w:r>
      <w:r w:rsidR="00C053B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27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стягнення </w:t>
      </w:r>
      <w:r w:rsidR="007027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аліментів 3</w:t>
      </w:r>
      <w:r w:rsidR="001F78B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06</w:t>
      </w:r>
      <w:r w:rsidR="007027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(розрахункова сума </w:t>
      </w:r>
      <w:r w:rsidR="001F78B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282770</w:t>
      </w:r>
      <w:r w:rsidR="00702734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грн), </w:t>
      </w:r>
      <w:r w:rsidR="00C053B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військовослужбовців, військовозобов’язаних 2</w:t>
      </w:r>
      <w:r w:rsidR="001F78B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79</w:t>
      </w:r>
      <w:r w:rsidR="00C053B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(розрахункова сума 1</w:t>
      </w:r>
      <w:r w:rsidR="001F78B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75018 грн), по заявах про встановлення фактів, що мають юридичне значення 140 (розрахункова сума 100227).</w:t>
      </w:r>
    </w:p>
    <w:p w:rsidR="0048431A" w:rsidRPr="00AF160C" w:rsidRDefault="0048431A" w:rsidP="00484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Повномасштабна  </w:t>
      </w:r>
      <w:r w:rsidR="00DF60B3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воєнна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агресія зі сторони російської федерації, яка  розпочалася 24.02.2022 року, спричинила значні пошкодження критичної інфраструктури,</w:t>
      </w:r>
      <w:r w:rsidR="002E5E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29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руйнування </w:t>
      </w:r>
      <w:r w:rsidR="002E5E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будівель судів</w:t>
      </w:r>
      <w:r w:rsidR="00E529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2E5E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розграбування російськими окупантами  приміщень</w:t>
      </w:r>
      <w:r w:rsidR="00C053B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судів</w:t>
      </w:r>
      <w:r w:rsidR="002E5EE2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викрадення комп’ютерної техніки</w:t>
      </w:r>
      <w:r w:rsidR="00E5298C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</w:t>
      </w:r>
      <w:r w:rsidR="00C053B7"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суттєво вплинуло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функціонування судової влади на Херсонщині.</w:t>
      </w:r>
    </w:p>
    <w:p w:rsidR="0048431A" w:rsidRPr="00AF160C" w:rsidRDefault="0048431A" w:rsidP="00484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     </w:t>
      </w:r>
      <w:r w:rsidR="005B243F" w:rsidRPr="00AF16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AF160C">
        <w:rPr>
          <w:rFonts w:ascii="Times New Roman" w:eastAsia="Calibri" w:hAnsi="Times New Roman" w:cs="Times New Roman"/>
          <w:sz w:val="24"/>
          <w:szCs w:val="24"/>
        </w:rPr>
        <w:t>У порівнянні з попередніми</w:t>
      </w:r>
      <w:r w:rsidR="005B243F" w:rsidRPr="00AF160C">
        <w:rPr>
          <w:rFonts w:ascii="Times New Roman" w:eastAsia="Calibri" w:hAnsi="Times New Roman" w:cs="Times New Roman"/>
          <w:sz w:val="24"/>
          <w:szCs w:val="24"/>
        </w:rPr>
        <w:t xml:space="preserve"> довоєнними</w:t>
      </w:r>
      <w:r w:rsidRPr="00AF160C">
        <w:rPr>
          <w:rFonts w:ascii="Times New Roman" w:eastAsia="Calibri" w:hAnsi="Times New Roman" w:cs="Times New Roman"/>
          <w:sz w:val="24"/>
          <w:szCs w:val="24"/>
        </w:rPr>
        <w:t xml:space="preserve"> періодами, здійснення судочинства та  оперативність розгляду справ ускладнені непомірним збільшенням нав</w:t>
      </w:r>
      <w:r w:rsidR="006045B7" w:rsidRPr="00AF160C">
        <w:rPr>
          <w:rFonts w:ascii="Times New Roman" w:eastAsia="Calibri" w:hAnsi="Times New Roman" w:cs="Times New Roman"/>
          <w:sz w:val="24"/>
          <w:szCs w:val="24"/>
        </w:rPr>
        <w:t>антаження на працівників апаратів</w:t>
      </w:r>
      <w:r w:rsidRPr="00AF160C">
        <w:rPr>
          <w:rFonts w:ascii="Times New Roman" w:eastAsia="Calibri" w:hAnsi="Times New Roman" w:cs="Times New Roman"/>
          <w:sz w:val="24"/>
          <w:szCs w:val="24"/>
        </w:rPr>
        <w:t xml:space="preserve"> та суддів, у зв’язку зі зміною територіальної підсудності судових справ.</w:t>
      </w:r>
    </w:p>
    <w:p w:rsidR="005B243F" w:rsidRPr="00AF160C" w:rsidRDefault="005B243F" w:rsidP="005B243F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160C">
        <w:rPr>
          <w:rFonts w:ascii="Times New Roman" w:hAnsi="Times New Roman"/>
          <w:sz w:val="24"/>
          <w:szCs w:val="24"/>
        </w:rPr>
        <w:t xml:space="preserve">          </w:t>
      </w:r>
      <w:r w:rsidR="0045621B" w:rsidRPr="00AF160C">
        <w:rPr>
          <w:rFonts w:ascii="Times New Roman" w:hAnsi="Times New Roman"/>
          <w:sz w:val="24"/>
          <w:szCs w:val="24"/>
        </w:rPr>
        <w:t>Також ф</w:t>
      </w:r>
      <w:r w:rsidRPr="00AF160C">
        <w:rPr>
          <w:rFonts w:ascii="Times New Roman" w:hAnsi="Times New Roman"/>
          <w:sz w:val="24"/>
          <w:szCs w:val="24"/>
        </w:rPr>
        <w:t xml:space="preserve">акторами, що породжують зміну динаміки показників судової статистики є </w:t>
      </w:r>
      <w:r w:rsidRPr="00AF16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відсутність повноважень на здійснення правосуддя у суддів (закінчення повноважень, звільнення), що  призводить до збільшення навантаження на інших суддів, росту залишку нерозглянутих справ</w:t>
      </w: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підлягають повторному автоматичному розподілу в АСДС «Д-3» також невчасне внесення результатів розгляду справи або інших відміток працівниками апаратів місцевих загальних судів.</w:t>
      </w:r>
    </w:p>
    <w:p w:rsidR="00E5298C" w:rsidRPr="00AF160C" w:rsidRDefault="00E5298C" w:rsidP="00484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298C" w:rsidRPr="00AF160C" w:rsidRDefault="00E5298C" w:rsidP="00484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298C" w:rsidRPr="00AF160C" w:rsidRDefault="00E5298C" w:rsidP="00484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708" w:rsidRPr="00AF160C" w:rsidRDefault="00106708" w:rsidP="00484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6708" w:rsidRPr="00AF160C" w:rsidRDefault="00106708" w:rsidP="00F913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Сектор організаційного забезпечення</w:t>
      </w:r>
    </w:p>
    <w:p w:rsidR="00106708" w:rsidRPr="00AF160C" w:rsidRDefault="006045B7" w:rsidP="00F913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діяльності судів,</w:t>
      </w:r>
      <w:r w:rsidR="00106708" w:rsidRPr="00AF16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 xml:space="preserve"> судової статистики</w:t>
      </w:r>
      <w:r w:rsidRPr="00AF16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, договірної та позовної роботи</w:t>
      </w:r>
    </w:p>
    <w:p w:rsidR="00106708" w:rsidRPr="00AF160C" w:rsidRDefault="008D4AA4" w:rsidP="00F913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Т</w:t>
      </w:r>
      <w:r w:rsidR="00106708" w:rsidRPr="00AF16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ериторіального управління</w:t>
      </w:r>
    </w:p>
    <w:p w:rsidR="00106708" w:rsidRPr="00AF160C" w:rsidRDefault="008D4AA4" w:rsidP="00F913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д</w:t>
      </w:r>
      <w:r w:rsidR="00106708" w:rsidRPr="00AF16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ержавної судової адміністрації України</w:t>
      </w:r>
    </w:p>
    <w:p w:rsidR="00106708" w:rsidRPr="00AF160C" w:rsidRDefault="00106708" w:rsidP="00F913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в Херсонській області</w:t>
      </w:r>
    </w:p>
    <w:p w:rsidR="00106708" w:rsidRPr="00AF160C" w:rsidRDefault="00106708" w:rsidP="0010670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106708" w:rsidRPr="00AF160C" w:rsidRDefault="00106708" w:rsidP="0010670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 </w:t>
      </w:r>
    </w:p>
    <w:p w:rsidR="00106708" w:rsidRPr="00AF160C" w:rsidRDefault="00106708" w:rsidP="001067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160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134018" w:rsidRPr="00AF160C" w:rsidRDefault="00134018">
      <w:pPr>
        <w:rPr>
          <w:rFonts w:ascii="Times New Roman" w:hAnsi="Times New Roman" w:cs="Times New Roman"/>
          <w:sz w:val="24"/>
          <w:szCs w:val="24"/>
        </w:rPr>
      </w:pPr>
    </w:p>
    <w:sectPr w:rsidR="00134018" w:rsidRPr="00AF160C" w:rsidSect="009343A7">
      <w:footerReference w:type="default" r:id="rId12"/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FF" w:rsidRDefault="001534FF" w:rsidP="00CA48CA">
      <w:pPr>
        <w:spacing w:after="0" w:line="240" w:lineRule="auto"/>
      </w:pPr>
      <w:r>
        <w:separator/>
      </w:r>
    </w:p>
  </w:endnote>
  <w:endnote w:type="continuationSeparator" w:id="0">
    <w:p w:rsidR="001534FF" w:rsidRDefault="001534FF" w:rsidP="00CA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Cyr-Roma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333849"/>
      <w:docPartObj>
        <w:docPartGallery w:val="Page Numbers (Bottom of Page)"/>
        <w:docPartUnique/>
      </w:docPartObj>
    </w:sdtPr>
    <w:sdtEndPr/>
    <w:sdtContent>
      <w:p w:rsidR="00100A0F" w:rsidRDefault="00100A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391" w:rsidRPr="00C95391">
          <w:rPr>
            <w:noProof/>
            <w:lang w:val="ru-RU"/>
          </w:rPr>
          <w:t>10</w:t>
        </w:r>
        <w:r>
          <w:fldChar w:fldCharType="end"/>
        </w:r>
      </w:p>
    </w:sdtContent>
  </w:sdt>
  <w:p w:rsidR="00100A0F" w:rsidRDefault="00100A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FF" w:rsidRDefault="001534FF" w:rsidP="00CA48CA">
      <w:pPr>
        <w:spacing w:after="0" w:line="240" w:lineRule="auto"/>
      </w:pPr>
      <w:r>
        <w:separator/>
      </w:r>
    </w:p>
  </w:footnote>
  <w:footnote w:type="continuationSeparator" w:id="0">
    <w:p w:rsidR="001534FF" w:rsidRDefault="001534FF" w:rsidP="00CA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00669"/>
    <w:multiLevelType w:val="hybridMultilevel"/>
    <w:tmpl w:val="EDDE0212"/>
    <w:lvl w:ilvl="0" w:tplc="EAFEBAE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6B"/>
    <w:rsid w:val="000311C2"/>
    <w:rsid w:val="000314C7"/>
    <w:rsid w:val="000320FB"/>
    <w:rsid w:val="00042D48"/>
    <w:rsid w:val="00045E52"/>
    <w:rsid w:val="00047778"/>
    <w:rsid w:val="00051146"/>
    <w:rsid w:val="00067F80"/>
    <w:rsid w:val="000755C7"/>
    <w:rsid w:val="000969BD"/>
    <w:rsid w:val="000979BC"/>
    <w:rsid w:val="000A09E0"/>
    <w:rsid w:val="000C7CC0"/>
    <w:rsid w:val="000C7CF3"/>
    <w:rsid w:val="000D3F3B"/>
    <w:rsid w:val="000D7B3D"/>
    <w:rsid w:val="000F3802"/>
    <w:rsid w:val="00100A0F"/>
    <w:rsid w:val="0010220F"/>
    <w:rsid w:val="0010391F"/>
    <w:rsid w:val="00106708"/>
    <w:rsid w:val="00122031"/>
    <w:rsid w:val="0012412A"/>
    <w:rsid w:val="00127A21"/>
    <w:rsid w:val="00127B79"/>
    <w:rsid w:val="00130EC8"/>
    <w:rsid w:val="0013156F"/>
    <w:rsid w:val="00134018"/>
    <w:rsid w:val="0013553E"/>
    <w:rsid w:val="00140121"/>
    <w:rsid w:val="00150D35"/>
    <w:rsid w:val="00151C40"/>
    <w:rsid w:val="001534FF"/>
    <w:rsid w:val="00155E1D"/>
    <w:rsid w:val="00165BAB"/>
    <w:rsid w:val="0016683F"/>
    <w:rsid w:val="0017405B"/>
    <w:rsid w:val="00191569"/>
    <w:rsid w:val="00192A89"/>
    <w:rsid w:val="001A7D98"/>
    <w:rsid w:val="001B1B51"/>
    <w:rsid w:val="001B28C5"/>
    <w:rsid w:val="001B4F05"/>
    <w:rsid w:val="001C4F24"/>
    <w:rsid w:val="001D08BB"/>
    <w:rsid w:val="001E5BC0"/>
    <w:rsid w:val="001F2A40"/>
    <w:rsid w:val="001F78B3"/>
    <w:rsid w:val="00210386"/>
    <w:rsid w:val="002144F0"/>
    <w:rsid w:val="00216A6D"/>
    <w:rsid w:val="0022063D"/>
    <w:rsid w:val="00255D7B"/>
    <w:rsid w:val="00257DBD"/>
    <w:rsid w:val="00262AAA"/>
    <w:rsid w:val="00274BA5"/>
    <w:rsid w:val="00284B3A"/>
    <w:rsid w:val="00292213"/>
    <w:rsid w:val="00295EF7"/>
    <w:rsid w:val="002A7FC2"/>
    <w:rsid w:val="002B0423"/>
    <w:rsid w:val="002C1A4C"/>
    <w:rsid w:val="002C604F"/>
    <w:rsid w:val="002C7977"/>
    <w:rsid w:val="002D1B0A"/>
    <w:rsid w:val="002E5EE2"/>
    <w:rsid w:val="002F339E"/>
    <w:rsid w:val="002F6240"/>
    <w:rsid w:val="00315410"/>
    <w:rsid w:val="00315A64"/>
    <w:rsid w:val="00317E59"/>
    <w:rsid w:val="003232DC"/>
    <w:rsid w:val="00334759"/>
    <w:rsid w:val="003477D3"/>
    <w:rsid w:val="00351A4F"/>
    <w:rsid w:val="00354EAF"/>
    <w:rsid w:val="003C3FD9"/>
    <w:rsid w:val="003C578C"/>
    <w:rsid w:val="003E013D"/>
    <w:rsid w:val="003E3921"/>
    <w:rsid w:val="003F2F0B"/>
    <w:rsid w:val="003F7F34"/>
    <w:rsid w:val="00401E33"/>
    <w:rsid w:val="004243E9"/>
    <w:rsid w:val="00425EFA"/>
    <w:rsid w:val="00433513"/>
    <w:rsid w:val="0043570A"/>
    <w:rsid w:val="0043786B"/>
    <w:rsid w:val="00443296"/>
    <w:rsid w:val="00443B40"/>
    <w:rsid w:val="0045621B"/>
    <w:rsid w:val="004600E2"/>
    <w:rsid w:val="00463AA8"/>
    <w:rsid w:val="00464781"/>
    <w:rsid w:val="00466909"/>
    <w:rsid w:val="00470FA8"/>
    <w:rsid w:val="00473492"/>
    <w:rsid w:val="004775DD"/>
    <w:rsid w:val="004805B4"/>
    <w:rsid w:val="004817EE"/>
    <w:rsid w:val="0048431A"/>
    <w:rsid w:val="004870EF"/>
    <w:rsid w:val="004A44E0"/>
    <w:rsid w:val="004B4365"/>
    <w:rsid w:val="004B553C"/>
    <w:rsid w:val="004B719A"/>
    <w:rsid w:val="004E130E"/>
    <w:rsid w:val="004F45D1"/>
    <w:rsid w:val="00510552"/>
    <w:rsid w:val="00513666"/>
    <w:rsid w:val="00523346"/>
    <w:rsid w:val="0052493B"/>
    <w:rsid w:val="00527631"/>
    <w:rsid w:val="00557FB7"/>
    <w:rsid w:val="0056149B"/>
    <w:rsid w:val="005826FE"/>
    <w:rsid w:val="005A5C96"/>
    <w:rsid w:val="005B2132"/>
    <w:rsid w:val="005B243F"/>
    <w:rsid w:val="005C0DB0"/>
    <w:rsid w:val="005D3C30"/>
    <w:rsid w:val="005E0286"/>
    <w:rsid w:val="005F36E5"/>
    <w:rsid w:val="00601AC1"/>
    <w:rsid w:val="006045B7"/>
    <w:rsid w:val="00605901"/>
    <w:rsid w:val="00605EF7"/>
    <w:rsid w:val="00637E21"/>
    <w:rsid w:val="0064046D"/>
    <w:rsid w:val="00642658"/>
    <w:rsid w:val="006438B8"/>
    <w:rsid w:val="0064685B"/>
    <w:rsid w:val="006511A3"/>
    <w:rsid w:val="006724FD"/>
    <w:rsid w:val="00676CEA"/>
    <w:rsid w:val="006A7B48"/>
    <w:rsid w:val="006B6668"/>
    <w:rsid w:val="006B675C"/>
    <w:rsid w:val="006C20AC"/>
    <w:rsid w:val="006F73E8"/>
    <w:rsid w:val="00702734"/>
    <w:rsid w:val="007130CA"/>
    <w:rsid w:val="0071777A"/>
    <w:rsid w:val="0073411C"/>
    <w:rsid w:val="00751F48"/>
    <w:rsid w:val="007651E5"/>
    <w:rsid w:val="00776883"/>
    <w:rsid w:val="00777D64"/>
    <w:rsid w:val="00777ED1"/>
    <w:rsid w:val="007B013D"/>
    <w:rsid w:val="007B3E3F"/>
    <w:rsid w:val="007C3074"/>
    <w:rsid w:val="007C5DE9"/>
    <w:rsid w:val="007D03E5"/>
    <w:rsid w:val="007D62E3"/>
    <w:rsid w:val="007F6728"/>
    <w:rsid w:val="00807906"/>
    <w:rsid w:val="008203D5"/>
    <w:rsid w:val="0082722B"/>
    <w:rsid w:val="008315F6"/>
    <w:rsid w:val="00851711"/>
    <w:rsid w:val="008533C3"/>
    <w:rsid w:val="00862868"/>
    <w:rsid w:val="0087004F"/>
    <w:rsid w:val="00882B78"/>
    <w:rsid w:val="00891F60"/>
    <w:rsid w:val="0089233C"/>
    <w:rsid w:val="008931CE"/>
    <w:rsid w:val="00896400"/>
    <w:rsid w:val="008A3EA0"/>
    <w:rsid w:val="008A5799"/>
    <w:rsid w:val="008A6CE8"/>
    <w:rsid w:val="008D4AA4"/>
    <w:rsid w:val="008E16D2"/>
    <w:rsid w:val="008E55E7"/>
    <w:rsid w:val="009016BD"/>
    <w:rsid w:val="00914E93"/>
    <w:rsid w:val="0092242D"/>
    <w:rsid w:val="00930B60"/>
    <w:rsid w:val="009343A7"/>
    <w:rsid w:val="009662C4"/>
    <w:rsid w:val="0097164B"/>
    <w:rsid w:val="00974A5B"/>
    <w:rsid w:val="009762FC"/>
    <w:rsid w:val="00995798"/>
    <w:rsid w:val="009A1B74"/>
    <w:rsid w:val="009B1624"/>
    <w:rsid w:val="009C041F"/>
    <w:rsid w:val="009C7FE2"/>
    <w:rsid w:val="009D1937"/>
    <w:rsid w:val="009D396E"/>
    <w:rsid w:val="009D411A"/>
    <w:rsid w:val="009D5E8B"/>
    <w:rsid w:val="009E04D3"/>
    <w:rsid w:val="009F0AA6"/>
    <w:rsid w:val="009F5370"/>
    <w:rsid w:val="00A0442B"/>
    <w:rsid w:val="00A24E41"/>
    <w:rsid w:val="00A3708C"/>
    <w:rsid w:val="00A457F5"/>
    <w:rsid w:val="00A53D8D"/>
    <w:rsid w:val="00A60D72"/>
    <w:rsid w:val="00A66600"/>
    <w:rsid w:val="00A66CFB"/>
    <w:rsid w:val="00A67830"/>
    <w:rsid w:val="00A86420"/>
    <w:rsid w:val="00AA3237"/>
    <w:rsid w:val="00AA34B1"/>
    <w:rsid w:val="00AA5CEB"/>
    <w:rsid w:val="00AB580C"/>
    <w:rsid w:val="00AC35A4"/>
    <w:rsid w:val="00AC4972"/>
    <w:rsid w:val="00AC56AF"/>
    <w:rsid w:val="00AE01E4"/>
    <w:rsid w:val="00AF160C"/>
    <w:rsid w:val="00B31619"/>
    <w:rsid w:val="00B45691"/>
    <w:rsid w:val="00B46BED"/>
    <w:rsid w:val="00B61C66"/>
    <w:rsid w:val="00B65213"/>
    <w:rsid w:val="00B6771B"/>
    <w:rsid w:val="00B70252"/>
    <w:rsid w:val="00B8256B"/>
    <w:rsid w:val="00B84B08"/>
    <w:rsid w:val="00B87511"/>
    <w:rsid w:val="00B87B99"/>
    <w:rsid w:val="00B91E12"/>
    <w:rsid w:val="00B92513"/>
    <w:rsid w:val="00B94279"/>
    <w:rsid w:val="00B97F93"/>
    <w:rsid w:val="00BB22FA"/>
    <w:rsid w:val="00BB238E"/>
    <w:rsid w:val="00BB7E4B"/>
    <w:rsid w:val="00BD036F"/>
    <w:rsid w:val="00BD21F5"/>
    <w:rsid w:val="00BE0D2E"/>
    <w:rsid w:val="00BF7844"/>
    <w:rsid w:val="00C053B7"/>
    <w:rsid w:val="00C23BE1"/>
    <w:rsid w:val="00C566D8"/>
    <w:rsid w:val="00C62934"/>
    <w:rsid w:val="00C6321F"/>
    <w:rsid w:val="00C63470"/>
    <w:rsid w:val="00C63B7C"/>
    <w:rsid w:val="00C64B2B"/>
    <w:rsid w:val="00C70D8B"/>
    <w:rsid w:val="00C712AF"/>
    <w:rsid w:val="00C836CE"/>
    <w:rsid w:val="00C872C3"/>
    <w:rsid w:val="00C941D0"/>
    <w:rsid w:val="00C94792"/>
    <w:rsid w:val="00C95391"/>
    <w:rsid w:val="00CA48CA"/>
    <w:rsid w:val="00CB19BE"/>
    <w:rsid w:val="00CB4C25"/>
    <w:rsid w:val="00CC0EEF"/>
    <w:rsid w:val="00CC29CE"/>
    <w:rsid w:val="00CD2D26"/>
    <w:rsid w:val="00CF393E"/>
    <w:rsid w:val="00CF4FDE"/>
    <w:rsid w:val="00D11DA8"/>
    <w:rsid w:val="00D13EF0"/>
    <w:rsid w:val="00D212DE"/>
    <w:rsid w:val="00D27640"/>
    <w:rsid w:val="00D30F32"/>
    <w:rsid w:val="00D33C9F"/>
    <w:rsid w:val="00D43E06"/>
    <w:rsid w:val="00D4790A"/>
    <w:rsid w:val="00D501E3"/>
    <w:rsid w:val="00D604E7"/>
    <w:rsid w:val="00D63A4F"/>
    <w:rsid w:val="00D648D7"/>
    <w:rsid w:val="00D64FAD"/>
    <w:rsid w:val="00D86346"/>
    <w:rsid w:val="00D94946"/>
    <w:rsid w:val="00D94E05"/>
    <w:rsid w:val="00D95081"/>
    <w:rsid w:val="00D9526A"/>
    <w:rsid w:val="00DC00B0"/>
    <w:rsid w:val="00DE540F"/>
    <w:rsid w:val="00DF60B3"/>
    <w:rsid w:val="00DF7D4B"/>
    <w:rsid w:val="00E1166C"/>
    <w:rsid w:val="00E12051"/>
    <w:rsid w:val="00E225B5"/>
    <w:rsid w:val="00E341E1"/>
    <w:rsid w:val="00E5070B"/>
    <w:rsid w:val="00E5298C"/>
    <w:rsid w:val="00E6501E"/>
    <w:rsid w:val="00E67E23"/>
    <w:rsid w:val="00E7205F"/>
    <w:rsid w:val="00E86E2F"/>
    <w:rsid w:val="00E92EE4"/>
    <w:rsid w:val="00EA6FE7"/>
    <w:rsid w:val="00EB26CF"/>
    <w:rsid w:val="00EC5B56"/>
    <w:rsid w:val="00EE6CAD"/>
    <w:rsid w:val="00EE7035"/>
    <w:rsid w:val="00EE725B"/>
    <w:rsid w:val="00EE78DA"/>
    <w:rsid w:val="00EF210D"/>
    <w:rsid w:val="00EF2B29"/>
    <w:rsid w:val="00EF5E84"/>
    <w:rsid w:val="00F004B5"/>
    <w:rsid w:val="00F0513B"/>
    <w:rsid w:val="00F1424B"/>
    <w:rsid w:val="00F24198"/>
    <w:rsid w:val="00F33C97"/>
    <w:rsid w:val="00F3452F"/>
    <w:rsid w:val="00F348CC"/>
    <w:rsid w:val="00F349FA"/>
    <w:rsid w:val="00F52F7D"/>
    <w:rsid w:val="00F55706"/>
    <w:rsid w:val="00F724B2"/>
    <w:rsid w:val="00F73029"/>
    <w:rsid w:val="00F86548"/>
    <w:rsid w:val="00F91395"/>
    <w:rsid w:val="00F9304B"/>
    <w:rsid w:val="00FA55DF"/>
    <w:rsid w:val="00FD6EE5"/>
    <w:rsid w:val="00FD7DDE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B1738"/>
  <w15:chartTrackingRefBased/>
  <w15:docId w15:val="{843CBB39-ED84-41C3-8F74-E2F36F63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8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8CA"/>
  </w:style>
  <w:style w:type="paragraph" w:styleId="a5">
    <w:name w:val="footer"/>
    <w:basedOn w:val="a"/>
    <w:link w:val="a6"/>
    <w:uiPriority w:val="99"/>
    <w:unhideWhenUsed/>
    <w:rsid w:val="00CA48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8CA"/>
  </w:style>
  <w:style w:type="paragraph" w:styleId="a7">
    <w:name w:val="Balloon Text"/>
    <w:basedOn w:val="a"/>
    <w:link w:val="a8"/>
    <w:uiPriority w:val="99"/>
    <w:semiHidden/>
    <w:unhideWhenUsed/>
    <w:rsid w:val="00E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205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8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896400"/>
    <w:rPr>
      <w:b/>
      <w:bCs/>
    </w:rPr>
  </w:style>
  <w:style w:type="character" w:styleId="ab">
    <w:name w:val="Emphasis"/>
    <w:basedOn w:val="a0"/>
    <w:uiPriority w:val="20"/>
    <w:qFormat/>
    <w:rsid w:val="00284B3A"/>
    <w:rPr>
      <w:i/>
      <w:iCs/>
    </w:rPr>
  </w:style>
  <w:style w:type="paragraph" w:styleId="ac">
    <w:name w:val="List Paragraph"/>
    <w:basedOn w:val="a"/>
    <w:uiPriority w:val="34"/>
    <w:qFormat/>
    <w:rsid w:val="005B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 baseline="0"/>
              <a:t>Надходження справ  і матеріалів за видами судочинства за  звітний період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18378378378378379"/>
          <c:y val="0.24652777777777779"/>
          <c:w val="0.34954954954954953"/>
          <c:h val="0.6736111111111111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75-4B85-AE0A-F6AFE9EDDB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75-4B85-AE0A-F6AFE9EDDB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75-4B85-AE0A-F6AFE9EDDBD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75-4B85-AE0A-F6AFE9EDDBD7}"/>
              </c:ext>
            </c:extLst>
          </c:dPt>
          <c:dLbls>
            <c:dLbl>
              <c:idx val="0"/>
              <c:layout>
                <c:manualLayout>
                  <c:x val="-7.7205562070698605E-2"/>
                  <c:y val="3.21228135073719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13050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75-4B85-AE0A-F6AFE9EDDBD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18223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75-4B85-AE0A-F6AFE9EDDBD7}"/>
                </c:ext>
              </c:extLst>
            </c:dLbl>
            <c:dLbl>
              <c:idx val="2"/>
              <c:layout>
                <c:manualLayout>
                  <c:x val="2.2595632992684425E-2"/>
                  <c:y val="1.62979795310821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75-4B85-AE0A-F6AFE9EDDBD7}"/>
                </c:ext>
              </c:extLst>
            </c:dLbl>
            <c:dLbl>
              <c:idx val="3"/>
              <c:layout>
                <c:manualLayout>
                  <c:x val="5.3963626887064652E-2"/>
                  <c:y val="8.44503161936972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5949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75-4B85-AE0A-F6AFE9EDDB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кримінальні -13050</c:v>
                </c:pt>
                <c:pt idx="1">
                  <c:v>цивільні -18223</c:v>
                </c:pt>
                <c:pt idx="2">
                  <c:v>адміністративні  -440</c:v>
                </c:pt>
                <c:pt idx="3">
                  <c:v>адміністративні правопорушення -5949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13050</c:v>
                </c:pt>
                <c:pt idx="1">
                  <c:v>18223</c:v>
                </c:pt>
                <c:pt idx="2">
                  <c:v>440</c:v>
                </c:pt>
                <c:pt idx="3">
                  <c:v>3983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75-4B85-AE0A-F6AFE9EDDB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B475-4B85-AE0A-F6AFE9EDDB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B475-4B85-AE0A-F6AFE9EDDB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B475-4B85-AE0A-F6AFE9EDDBD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B475-4B85-AE0A-F6AFE9EDDBD7}"/>
              </c:ext>
            </c:extLst>
          </c:dPt>
          <c:cat>
            <c:strRef>
              <c:f>Лист1!$A$2:$A$5</c:f>
              <c:strCache>
                <c:ptCount val="4"/>
                <c:pt idx="0">
                  <c:v>кримінальні -13050</c:v>
                </c:pt>
                <c:pt idx="1">
                  <c:v>цивільні -18223</c:v>
                </c:pt>
                <c:pt idx="2">
                  <c:v>адміністративні  -440</c:v>
                </c:pt>
                <c:pt idx="3">
                  <c:v>адміністративні правопорушення -5949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1-B475-4B85-AE0A-F6AFE9EDDB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B475-4B85-AE0A-F6AFE9EDDB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B475-4B85-AE0A-F6AFE9EDDB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B475-4B85-AE0A-F6AFE9EDDBD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B475-4B85-AE0A-F6AFE9EDDBD7}"/>
              </c:ext>
            </c:extLst>
          </c:dPt>
          <c:cat>
            <c:strRef>
              <c:f>Лист1!$A$2:$A$5</c:f>
              <c:strCache>
                <c:ptCount val="4"/>
                <c:pt idx="0">
                  <c:v>кримінальні -13050</c:v>
                </c:pt>
                <c:pt idx="1">
                  <c:v>цивільні -18223</c:v>
                </c:pt>
                <c:pt idx="2">
                  <c:v>адміністративні  -440</c:v>
                </c:pt>
                <c:pt idx="3">
                  <c:v>адміністративні правопорушення -5949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A-B475-4B85-AE0A-F6AFE9EDDB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829787234042556"/>
          <c:y val="0.33735806514118616"/>
          <c:w val="0.34042553191489361"/>
          <c:h val="0.496648522961475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aseline="0"/>
            </a:pPr>
            <a:r>
              <a:rPr lang="uk-UA" sz="1200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Штатна чисельність працівників апаратів судів до кількості  фактично працюючих працівників</a:t>
            </a:r>
          </a:p>
          <a:p>
            <a:pPr>
              <a:defRPr sz="1200" baseline="0"/>
            </a:pPr>
            <a:endParaRPr lang="uk-UA" sz="1200" b="0" baseline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hPercent val="23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7243947858473E-2"/>
          <c:y val="0.16917293233082706"/>
          <c:w val="0.81564245810055869"/>
          <c:h val="0.6015037593984962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штатна (199)</c:v>
                </c:pt>
              </c:strCache>
            </c:strRef>
          </c:tx>
          <c:spPr>
            <a:solidFill>
              <a:srgbClr val="00FFFF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BE-4689-B5AD-A4CC9392718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A9-4F4F-A6C7-9AF03093824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фактична (161)</c:v>
                </c:pt>
              </c:strCache>
            </c:strRef>
          </c:tx>
          <c:spPr>
            <a:solidFill>
              <a:srgbClr val="00FF00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465201465201465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BE-4689-B5AD-A4CC9392718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A9-4F4F-A6C7-9AF0309382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shape val="cylinder"/>
        <c:axId val="163195088"/>
        <c:axId val="1"/>
        <c:axId val="0"/>
      </c:bar3DChart>
      <c:catAx>
        <c:axId val="163195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"/>
        <c:crossesAt val="1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195088"/>
        <c:crosses val="autoZero"/>
        <c:crossBetween val="between"/>
        <c:minorUnit val="500"/>
      </c:valAx>
      <c:spPr>
        <a:noFill/>
        <a:ln w="25354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7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uk-UA" sz="1200" baseline="0"/>
              <a:t>Надходження  справ  і матеріалів кримінального судочинства за звітний період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18378378378378379"/>
          <c:y val="0.24652777777777779"/>
          <c:w val="0.34954954954954953"/>
          <c:h val="0.6736111111111111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9AE7-44B7-B1E6-921B78665D0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AE7-44B7-B1E6-921B78665D0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9AE7-44B7-B1E6-921B78665D0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AE7-44B7-B1E6-921B78665D0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480-47C4-9202-3FEE0F6AA500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480-47C4-9202-3FEE0F6AA5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справи кр. провадження 2058</c:v>
                </c:pt>
                <c:pt idx="1">
                  <c:v>клопотання, скарги, заяви 9710</c:v>
                </c:pt>
                <c:pt idx="2">
                  <c:v>в порядку виконання судових рішень 388</c:v>
                </c:pt>
                <c:pt idx="3">
                  <c:v>заяви про відн. втрачених матеріалів 36</c:v>
                </c:pt>
                <c:pt idx="4">
                  <c:v>клопотання прокурора про закриття 744</c:v>
                </c:pt>
                <c:pt idx="5">
                  <c:v>в порядку надання міжн. пр. допом. 12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2058</c:v>
                </c:pt>
                <c:pt idx="1">
                  <c:v>9710</c:v>
                </c:pt>
                <c:pt idx="2">
                  <c:v>388</c:v>
                </c:pt>
                <c:pt idx="3">
                  <c:v>36</c:v>
                </c:pt>
                <c:pt idx="4">
                  <c:v>744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AE7-44B7-B1E6-921B78665D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AE7-44B7-B1E6-921B78665D0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9AE7-44B7-B1E6-921B78665D0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AE7-44B7-B1E6-921B78665D0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9AE7-44B7-B1E6-921B78665D0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F480-47C4-9202-3FEE0F6AA500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F480-47C4-9202-3FEE0F6AA500}"/>
              </c:ext>
            </c:extLst>
          </c:dPt>
          <c:cat>
            <c:strRef>
              <c:f>Лист1!$A$2:$A$7</c:f>
              <c:strCache>
                <c:ptCount val="6"/>
                <c:pt idx="0">
                  <c:v>справи кр. провадження 2058</c:v>
                </c:pt>
                <c:pt idx="1">
                  <c:v>клопотання, скарги, заяви 9710</c:v>
                </c:pt>
                <c:pt idx="2">
                  <c:v>в порядку виконання судових рішень 388</c:v>
                </c:pt>
                <c:pt idx="3">
                  <c:v>заяви про відн. втрачених матеріалів 36</c:v>
                </c:pt>
                <c:pt idx="4">
                  <c:v>клопотання прокурора про закриття 744</c:v>
                </c:pt>
                <c:pt idx="5">
                  <c:v>в порядку надання міжн. пр. допом. 12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9-9AE7-44B7-B1E6-921B78665D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9AE7-44B7-B1E6-921B78665D0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AE7-44B7-B1E6-921B78665D0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9AE7-44B7-B1E6-921B78665D0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AE7-44B7-B1E6-921B78665D0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F480-47C4-9202-3FEE0F6AA500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F480-47C4-9202-3FEE0F6AA500}"/>
              </c:ext>
            </c:extLst>
          </c:dPt>
          <c:cat>
            <c:strRef>
              <c:f>Лист1!$A$2:$A$7</c:f>
              <c:strCache>
                <c:ptCount val="6"/>
                <c:pt idx="0">
                  <c:v>справи кр. провадження 2058</c:v>
                </c:pt>
                <c:pt idx="1">
                  <c:v>клопотання, скарги, заяви 9710</c:v>
                </c:pt>
                <c:pt idx="2">
                  <c:v>в порядку виконання судових рішень 388</c:v>
                </c:pt>
                <c:pt idx="3">
                  <c:v>заяви про відн. втрачених матеріалів 36</c:v>
                </c:pt>
                <c:pt idx="4">
                  <c:v>клопотання прокурора про закриття 744</c:v>
                </c:pt>
                <c:pt idx="5">
                  <c:v>в порядку надання міжн. пр. допом. 12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E-9AE7-44B7-B1E6-921B78665D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Надійшовші справи і матеріали цивільного судочинства  за звітний період</a:t>
            </a:r>
          </a:p>
        </c:rich>
      </c:tx>
      <c:layout>
        <c:manualLayout>
          <c:xMode val="edge"/>
          <c:yMode val="edge"/>
          <c:x val="0.42043981481481479"/>
          <c:y val="3.474484256243214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38263355062813"/>
          <c:y val="0.12254641909814322"/>
          <c:w val="0.46904055390702276"/>
          <c:h val="0.83854995579133507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9C2-47EF-BE6A-C38D893AC8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9C2-47EF-BE6A-C38D893AC8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9C2-47EF-BE6A-C38D893AC8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9C2-47EF-BE6A-C38D893AC8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9C2-47EF-BE6A-C38D893AC8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9C2-47EF-BE6A-C38D893AC8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06C-42B5-A2B3-90AD8228B5B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806C-42B5-A2B3-90AD8228B5B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806C-42B5-A2B3-90AD8228B5B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13970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C2-47EF-BE6A-C38D893AC8B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9C2-47EF-BE6A-C38D893AC8B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791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9C2-47EF-BE6A-C38D893AC8B8}"/>
                </c:ext>
              </c:extLst>
            </c:dLbl>
            <c:dLbl>
              <c:idx val="3"/>
              <c:layout>
                <c:manualLayout>
                  <c:x val="-1.3864818024263431E-2"/>
                  <c:y val="-3.05343511450381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1137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9C2-47EF-BE6A-C38D893AC8B8}"/>
                </c:ext>
              </c:extLst>
            </c:dLbl>
            <c:dLbl>
              <c:idx val="4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9-39C2-47EF-BE6A-C38D893AC8B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116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9C2-47EF-BE6A-C38D893AC8B8}"/>
                </c:ext>
              </c:extLst>
            </c:dLbl>
            <c:dLbl>
              <c:idx val="6"/>
              <c:layout>
                <c:manualLayout>
                  <c:x val="6.9324090121317154E-3"/>
                  <c:y val="7.124681933842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06C-42B5-A2B3-90AD8228B5B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06C-42B5-A2B3-90AD8228B5B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8"/>
                <c:pt idx="0">
                  <c:v>позовні заяви і матеріали (13970)</c:v>
                </c:pt>
                <c:pt idx="1">
                  <c:v>наказного провадження (507)</c:v>
                </c:pt>
                <c:pt idx="2">
                  <c:v>окреме провадження (791)</c:v>
                </c:pt>
                <c:pt idx="3">
                  <c:v>клопотання, заяви у порядку виконання (1137)</c:v>
                </c:pt>
                <c:pt idx="4">
                  <c:v>заяви  про перегляд заочного рішення (205)</c:v>
                </c:pt>
                <c:pt idx="5">
                  <c:v>скарги на дії, бездіяльність виконавця (58)</c:v>
                </c:pt>
                <c:pt idx="6">
                  <c:v>заяви про забезпечення доказів (116)</c:v>
                </c:pt>
                <c:pt idx="7">
                  <c:v>заяви про перегляд рішення за нововиявленими (2)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13970</c:v>
                </c:pt>
                <c:pt idx="1">
                  <c:v>507</c:v>
                </c:pt>
                <c:pt idx="2">
                  <c:v>791</c:v>
                </c:pt>
                <c:pt idx="3">
                  <c:v>1137</c:v>
                </c:pt>
                <c:pt idx="4">
                  <c:v>205</c:v>
                </c:pt>
                <c:pt idx="5">
                  <c:v>58</c:v>
                </c:pt>
                <c:pt idx="6">
                  <c:v>116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4C-495D-A48E-69CA3EE7369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Види  застосованих адміністративних стягнень</a:t>
            </a:r>
          </a:p>
          <a:p>
            <a:pPr>
              <a:defRPr/>
            </a:pP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0"/>
      <c:hPercent val="10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7243947858473E-2"/>
          <c:y val="0.16917293233082706"/>
          <c:w val="0.81564245810055869"/>
          <c:h val="0.60150375939849621"/>
        </c:manualLayout>
      </c:layout>
      <c:bar3DChart>
        <c:barDir val="bar"/>
        <c:grouping val="clustered"/>
        <c:varyColors val="0"/>
        <c:ser>
          <c:idx val="2"/>
          <c:order val="0"/>
          <c:tx>
            <c:v>штраф (4560)</c:v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Lit>
              <c:formatCode>General</c:formatCode>
              <c:ptCount val="1"/>
              <c:pt idx="0">
                <c:v>4560</c:v>
              </c:pt>
            </c:numLit>
          </c:val>
          <c:extLst>
            <c:ext xmlns:c16="http://schemas.microsoft.com/office/drawing/2014/chart" uri="{C3380CC4-5D6E-409C-BE32-E72D297353CC}">
              <c16:uniqueId val="{00000000-A2C1-4E01-9920-90B8789E2923}"/>
            </c:ext>
          </c:extLst>
        </c:ser>
        <c:ser>
          <c:idx val="0"/>
          <c:order val="1"/>
          <c:tx>
            <c:v>попередження (136)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4.01479133650290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37-4696-8D44-0CC2948786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Lit>
              <c:formatCode>General</c:formatCode>
              <c:ptCount val="1"/>
              <c:pt idx="0">
                <c:v>136</c:v>
              </c:pt>
            </c:numLit>
          </c:val>
          <c:extLst>
            <c:ext xmlns:c16="http://schemas.microsoft.com/office/drawing/2014/chart" uri="{C3380CC4-5D6E-409C-BE32-E72D297353CC}">
              <c16:uniqueId val="{00000001-A2C1-4E01-9920-90B8789E2923}"/>
            </c:ext>
          </c:extLst>
        </c:ser>
        <c:ser>
          <c:idx val="1"/>
          <c:order val="2"/>
          <c:tx>
            <c:v>громадськ роботи (10)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5.70522979397781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37-4696-8D44-0CC2948786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Lit>
              <c:formatCode>General</c:formatCode>
              <c:ptCount val="1"/>
              <c:pt idx="0">
                <c:v>10</c:v>
              </c:pt>
            </c:numLit>
          </c:val>
          <c:extLst>
            <c:ext xmlns:c16="http://schemas.microsoft.com/office/drawing/2014/chart" uri="{C3380CC4-5D6E-409C-BE32-E72D297353CC}">
              <c16:uniqueId val="{00000002-A2C1-4E01-9920-90B8789E2923}"/>
            </c:ext>
          </c:extLst>
        </c:ser>
        <c:ser>
          <c:idx val="3"/>
          <c:order val="3"/>
          <c:tx>
            <c:v>адміністративний арешт (6)</c:v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8.6634970945589015E-2"/>
                  <c:y val="1.1799410029498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37-4696-8D44-0CC2948786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Lit>
              <c:formatCode>General</c:formatCode>
              <c:ptCount val="1"/>
              <c:pt idx="0">
                <c:v>6</c:v>
              </c:pt>
            </c:numLit>
          </c:val>
          <c:extLst>
            <c:ext xmlns:c16="http://schemas.microsoft.com/office/drawing/2014/chart" uri="{C3380CC4-5D6E-409C-BE32-E72D297353CC}">
              <c16:uniqueId val="{00000003-A2C1-4E01-9920-90B8789E2923}"/>
            </c:ext>
          </c:extLst>
        </c:ser>
        <c:ser>
          <c:idx val="4"/>
          <c:order val="4"/>
          <c:tx>
            <c:v>позб.спец.права(тр. засіб)(1152)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Lit>
              <c:formatCode>General</c:formatCode>
              <c:ptCount val="1"/>
              <c:pt idx="0">
                <c:v>1152</c:v>
              </c:pt>
            </c:numLit>
          </c:val>
          <c:extLst>
            <c:ext xmlns:c16="http://schemas.microsoft.com/office/drawing/2014/chart" uri="{C3380CC4-5D6E-409C-BE32-E72D297353CC}">
              <c16:uniqueId val="{00000004-A2C1-4E01-9920-90B8789E2923}"/>
            </c:ext>
          </c:extLst>
        </c:ser>
        <c:ser>
          <c:idx val="5"/>
          <c:order val="5"/>
          <c:tx>
            <c:v>позбавлення спеціального права (17)</c:v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6.1278394083465401E-2"/>
                  <c:y val="-3.605333637669378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37-4696-8D44-0CC2948786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Lit>
              <c:formatCode>General</c:formatCode>
              <c:ptCount val="1"/>
              <c:pt idx="0">
                <c:v>17</c:v>
              </c:pt>
            </c:numLit>
          </c:val>
          <c:extLst>
            <c:ext xmlns:c16="http://schemas.microsoft.com/office/drawing/2014/chart" uri="{C3380CC4-5D6E-409C-BE32-E72D297353CC}">
              <c16:uniqueId val="{00000005-A2C1-4E01-9920-90B8789E2923}"/>
            </c:ext>
          </c:extLst>
        </c:ser>
        <c:ser>
          <c:idx val="6"/>
          <c:order val="6"/>
          <c:tx>
            <c:v>конфіскація предмета(174)</c:v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accent1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60000"/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Lit>
              <c:formatCode>General</c:formatCode>
              <c:ptCount val="1"/>
              <c:pt idx="0">
                <c:v>174</c:v>
              </c:pt>
            </c:numLit>
          </c:val>
          <c:extLst>
            <c:ext xmlns:c16="http://schemas.microsoft.com/office/drawing/2014/chart" uri="{C3380CC4-5D6E-409C-BE32-E72D297353CC}">
              <c16:uniqueId val="{00000000-DB6B-4DCB-AD09-909545E8507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ylinder"/>
        <c:axId val="163195088"/>
        <c:axId val="1"/>
        <c:axId val="0"/>
      </c:bar3DChart>
      <c:catAx>
        <c:axId val="163195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At val="1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3195088"/>
        <c:crosses val="autoZero"/>
        <c:crossBetween val="between"/>
        <c:minorUnit val="500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19559</Words>
  <Characters>11150</Characters>
  <Application>Microsoft Office Word</Application>
  <DocSecurity>0</DocSecurity>
  <Lines>92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2025-02-18T11:21:00Z</cp:lastPrinted>
  <dcterms:created xsi:type="dcterms:W3CDTF">2026-02-11T11:11:00Z</dcterms:created>
  <dcterms:modified xsi:type="dcterms:W3CDTF">2026-02-23T09:24:00Z</dcterms:modified>
</cp:coreProperties>
</file>