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>від 17</w:t>
      </w:r>
      <w:r>
        <w:rPr>
          <w:color w:val="FF0000"/>
          <w:lang w:val="uk-UA"/>
        </w:rPr>
        <w:t>.0</w:t>
      </w:r>
      <w:r>
        <w:rPr>
          <w:color w:val="FF3838"/>
          <w:lang w:val="uk-UA"/>
        </w:rPr>
        <w:t xml:space="preserve">4.2026  № </w:t>
      </w:r>
      <w:r>
        <w:rPr>
          <w:color w:val="FF3838"/>
          <w:lang w:val="uk-UA"/>
        </w:rPr>
        <w:t>74</w:t>
      </w:r>
    </w:p>
    <w:p>
      <w:pPr>
        <w:pStyle w:val="Normal"/>
        <w:ind w:firstLine="5103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  08.00 год. 17 квітня  2026 року до 17.00 год. 18 травня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18 травня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</w:t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>
          <w:lang w:val="uk-UA"/>
        </w:rPr>
      </w:pPr>
      <w:r>
        <w:rPr/>
        <w:t xml:space="preserve">досвід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4</Pages>
  <Words>919</Words>
  <Characters>6420</Characters>
  <CharactersWithSpaces>7394</CharactersWithSpaces>
  <Paragraphs>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MSI</dc:creator>
  <dc:description/>
  <dc:language>uk-UA</dc:language>
  <cp:lastModifiedBy/>
  <cp:lastPrinted>2026-03-09T11:30:21Z</cp:lastPrinted>
  <dcterms:modified xsi:type="dcterms:W3CDTF">2026-04-17T12:49:09Z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