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F400B">
        <w:rPr>
          <w:lang w:val="uk-UA"/>
        </w:rPr>
        <w:t>10</w:t>
      </w:r>
      <w:r w:rsidR="00020142" w:rsidRPr="0037573C">
        <w:rPr>
          <w:lang w:val="uk-UA"/>
        </w:rPr>
        <w:t>.0</w:t>
      </w:r>
      <w:r w:rsidR="002F400B">
        <w:rPr>
          <w:lang w:val="uk-UA"/>
        </w:rPr>
        <w:t>9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743A09">
        <w:rPr>
          <w:lang w:val="uk-UA"/>
        </w:rPr>
        <w:t>76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521389">
        <w:rPr>
          <w:b/>
          <w:lang w:val="uk-UA"/>
        </w:rPr>
        <w:t xml:space="preserve">заступника начальника відділу </w:t>
      </w:r>
      <w:proofErr w:type="spellStart"/>
      <w:r w:rsidR="00521389">
        <w:rPr>
          <w:b/>
          <w:lang w:val="uk-UA"/>
        </w:rPr>
        <w:t>оперативно</w:t>
      </w:r>
      <w:proofErr w:type="spellEnd"/>
      <w:r w:rsidR="00521389">
        <w:rPr>
          <w:b/>
          <w:lang w:val="uk-UA"/>
        </w:rPr>
        <w:t xml:space="preserve">-чергової служби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</w:t>
      </w:r>
      <w:r w:rsidR="00521389">
        <w:rPr>
          <w:b/>
          <w:lang w:val="uk-UA"/>
        </w:rPr>
        <w:t xml:space="preserve">заступника начальника відділу </w:t>
      </w:r>
      <w:proofErr w:type="spellStart"/>
      <w:r w:rsidR="00521389">
        <w:rPr>
          <w:b/>
          <w:lang w:val="uk-UA"/>
        </w:rPr>
        <w:t>оперативно</w:t>
      </w:r>
      <w:proofErr w:type="spellEnd"/>
      <w:r w:rsidR="00521389">
        <w:rPr>
          <w:b/>
          <w:lang w:val="uk-UA"/>
        </w:rPr>
        <w:t xml:space="preserve">-чергової служби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0205B" w:rsidRDefault="002571CA" w:rsidP="002571CA">
      <w:pPr>
        <w:spacing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521389" w:rsidRPr="00521389">
        <w:rPr>
          <w:rFonts w:eastAsia="Times New Roman" w:cs="Times New Roman"/>
          <w:szCs w:val="28"/>
          <w:lang w:val="uk-UA" w:eastAsia="ru-RU"/>
        </w:rPr>
        <w:t xml:space="preserve">Організовує, забезпечує та контролює виконання наказів і розпоряджень начальника </w:t>
      </w:r>
      <w:r w:rsidR="00521389">
        <w:rPr>
          <w:rFonts w:eastAsia="Times New Roman" w:cs="Times New Roman"/>
          <w:szCs w:val="28"/>
          <w:lang w:val="uk-UA" w:eastAsia="ru-RU"/>
        </w:rPr>
        <w:t xml:space="preserve">територіального управління Служби, </w:t>
      </w:r>
      <w:r w:rsidR="00D0205B">
        <w:rPr>
          <w:rFonts w:eastAsia="Times New Roman" w:cs="Times New Roman"/>
          <w:szCs w:val="28"/>
          <w:lang w:val="uk-UA" w:eastAsia="ru-RU"/>
        </w:rPr>
        <w:t xml:space="preserve">виконує доручення та вказівки начальника відділу </w:t>
      </w:r>
      <w:proofErr w:type="spellStart"/>
      <w:r w:rsidR="00D0205B">
        <w:rPr>
          <w:rFonts w:eastAsia="Times New Roman" w:cs="Times New Roman"/>
          <w:szCs w:val="28"/>
          <w:lang w:val="uk-UA" w:eastAsia="ru-RU"/>
        </w:rPr>
        <w:t>оперативно</w:t>
      </w:r>
      <w:proofErr w:type="spellEnd"/>
      <w:r w:rsidR="00D0205B">
        <w:rPr>
          <w:rFonts w:eastAsia="Times New Roman" w:cs="Times New Roman"/>
          <w:szCs w:val="28"/>
          <w:lang w:val="uk-UA" w:eastAsia="ru-RU"/>
        </w:rPr>
        <w:t>-чергової служби;</w:t>
      </w:r>
    </w:p>
    <w:p w:rsidR="00521389" w:rsidRDefault="00D0205B" w:rsidP="002571CA">
      <w:pPr>
        <w:spacing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2)  бере участь в координації роботи відділу з іншими структурними підрозділами, організовує спільну роботу при підготовці матеріалів з питань, які належать до компетенції відділу;</w:t>
      </w:r>
    </w:p>
    <w:p w:rsidR="00A141F4" w:rsidRDefault="00D0205B" w:rsidP="002571CA">
      <w:pPr>
        <w:spacing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3) забезпечує координацію діяльності структурних підрозділів територіального управління з питань реагування на зміни в обстановці, ініці</w:t>
      </w:r>
      <w:r w:rsidR="00A141F4">
        <w:rPr>
          <w:rFonts w:eastAsia="Times New Roman" w:cs="Times New Roman"/>
          <w:szCs w:val="28"/>
          <w:lang w:val="uk-UA" w:eastAsia="ru-RU"/>
        </w:rPr>
        <w:t>ює опрацювання необхідних керівних документів для дій в разі ускладнення обстановки, виникнення надзвичайних, кризових та інших нестандартних ситуацій;</w:t>
      </w:r>
    </w:p>
    <w:p w:rsidR="00A141F4" w:rsidRDefault="00A141F4" w:rsidP="002571CA">
      <w:pPr>
        <w:spacing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4)  у разі некомплекту штатних співробітників відділу </w:t>
      </w:r>
      <w:proofErr w:type="spellStart"/>
      <w:r>
        <w:rPr>
          <w:rFonts w:eastAsia="Times New Roman" w:cs="Times New Roman"/>
          <w:szCs w:val="28"/>
          <w:lang w:val="uk-UA" w:eastAsia="ru-RU"/>
        </w:rPr>
        <w:t>оперативно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-чергової служби територіального управління Служби, їх хвороби, відпустки чи відсутності з інших причин може призначатися до несення служби у складі чергової зміни </w:t>
      </w:r>
      <w:proofErr w:type="spellStart"/>
      <w:r>
        <w:rPr>
          <w:rFonts w:eastAsia="Times New Roman" w:cs="Times New Roman"/>
          <w:szCs w:val="28"/>
          <w:lang w:val="uk-UA" w:eastAsia="ru-RU"/>
        </w:rPr>
        <w:t>оперативно</w:t>
      </w:r>
      <w:proofErr w:type="spellEnd"/>
      <w:r>
        <w:rPr>
          <w:rFonts w:eastAsia="Times New Roman" w:cs="Times New Roman"/>
          <w:szCs w:val="28"/>
          <w:lang w:val="uk-UA" w:eastAsia="ru-RU"/>
        </w:rPr>
        <w:t>-чергової служби за графіком чергування;</w:t>
      </w:r>
    </w:p>
    <w:p w:rsidR="00D0205B" w:rsidRDefault="00A141F4" w:rsidP="002571CA">
      <w:pPr>
        <w:spacing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5)  здійснювати інформаційно-аналітичну роботу з питань діяльності територіального управління Служби;  </w:t>
      </w:r>
    </w:p>
    <w:p w:rsidR="00A141F4" w:rsidRDefault="00A141F4" w:rsidP="00A141F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6)  </w:t>
      </w:r>
      <w:r w:rsidRPr="00A141F4">
        <w:rPr>
          <w:rFonts w:eastAsia="Times New Roman" w:cs="Times New Roman"/>
          <w:szCs w:val="28"/>
          <w:lang w:val="uk-UA" w:eastAsia="ru-RU"/>
        </w:rPr>
        <w:t xml:space="preserve">приймає участь у розробленні проектів поточних планів діяльності </w:t>
      </w:r>
      <w:r w:rsidR="007C5206">
        <w:rPr>
          <w:rFonts w:eastAsia="Times New Roman" w:cs="Times New Roman"/>
          <w:szCs w:val="28"/>
          <w:lang w:val="uk-UA" w:eastAsia="ru-RU"/>
        </w:rPr>
        <w:t>територіального управління Служби</w:t>
      </w:r>
      <w:r w:rsidRPr="00A141F4">
        <w:rPr>
          <w:rFonts w:eastAsia="Times New Roman" w:cs="Times New Roman"/>
          <w:szCs w:val="28"/>
          <w:lang w:val="uk-UA" w:eastAsia="ru-RU"/>
        </w:rPr>
        <w:t>;</w:t>
      </w:r>
    </w:p>
    <w:p w:rsidR="00A141F4" w:rsidRDefault="00A141F4" w:rsidP="00A141F4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7)  </w:t>
      </w:r>
      <w:r w:rsidR="00CE44FB">
        <w:rPr>
          <w:rFonts w:eastAsia="Times New Roman" w:cs="Times New Roman"/>
          <w:szCs w:val="28"/>
          <w:lang w:val="uk-UA" w:eastAsia="ru-RU"/>
        </w:rPr>
        <w:t xml:space="preserve">у разі відсутності начальника відділу </w:t>
      </w:r>
      <w:proofErr w:type="spellStart"/>
      <w:r w:rsidR="00CE44FB">
        <w:rPr>
          <w:rFonts w:eastAsia="Times New Roman" w:cs="Times New Roman"/>
          <w:szCs w:val="28"/>
          <w:lang w:val="uk-UA" w:eastAsia="ru-RU"/>
        </w:rPr>
        <w:t>оперативно</w:t>
      </w:r>
      <w:proofErr w:type="spellEnd"/>
      <w:r w:rsidR="00CE44FB">
        <w:rPr>
          <w:rFonts w:eastAsia="Times New Roman" w:cs="Times New Roman"/>
          <w:szCs w:val="28"/>
          <w:lang w:val="uk-UA" w:eastAsia="ru-RU"/>
        </w:rPr>
        <w:t>-чергової служби здійснює безпосереднє керівництво відділом, забезпечує та організовує роботу</w:t>
      </w:r>
      <w:r w:rsidR="00CA7941">
        <w:rPr>
          <w:rFonts w:eastAsia="Times New Roman" w:cs="Times New Roman"/>
          <w:szCs w:val="28"/>
          <w:lang w:val="uk-UA" w:eastAsia="ru-RU"/>
        </w:rPr>
        <w:t xml:space="preserve"> </w:t>
      </w:r>
      <w:r w:rsidR="00CE44FB">
        <w:rPr>
          <w:rFonts w:eastAsia="Times New Roman" w:cs="Times New Roman"/>
          <w:szCs w:val="28"/>
          <w:lang w:val="uk-UA" w:eastAsia="ru-RU"/>
        </w:rPr>
        <w:t>співробітників відділу</w:t>
      </w:r>
      <w:r w:rsidR="00CA7941">
        <w:rPr>
          <w:rFonts w:eastAsia="Times New Roman" w:cs="Times New Roman"/>
          <w:szCs w:val="28"/>
          <w:lang w:val="uk-UA" w:eastAsia="ru-RU"/>
        </w:rPr>
        <w:t xml:space="preserve">, їх взаємодію, здійснює розподіл </w:t>
      </w:r>
      <w:r w:rsidR="007C5206">
        <w:rPr>
          <w:rFonts w:eastAsia="Times New Roman" w:cs="Times New Roman"/>
          <w:szCs w:val="28"/>
          <w:lang w:val="uk-UA" w:eastAsia="ru-RU"/>
        </w:rPr>
        <w:t>обов</w:t>
      </w:r>
      <w:r w:rsidR="007C5206" w:rsidRPr="007C5206">
        <w:rPr>
          <w:rFonts w:eastAsia="Times New Roman" w:cs="Times New Roman"/>
          <w:szCs w:val="28"/>
          <w:lang w:val="uk-UA" w:eastAsia="ru-RU"/>
        </w:rPr>
        <w:t>’я</w:t>
      </w:r>
      <w:r w:rsidR="007C5206">
        <w:rPr>
          <w:rFonts w:eastAsia="Times New Roman" w:cs="Times New Roman"/>
          <w:szCs w:val="28"/>
          <w:lang w:val="uk-UA" w:eastAsia="ru-RU"/>
        </w:rPr>
        <w:t>зків між співробітниками відділу та доручає їм розгляд конкретних матеріалів, виконання доручень зі службових питань, контролює їх роботу веде оперативний облік руху матеріалів ресурсів, наявності невикористаних запасів;</w:t>
      </w:r>
    </w:p>
    <w:p w:rsidR="007C5206" w:rsidRPr="007C5206" w:rsidRDefault="007C5206" w:rsidP="007C5206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8)  з</w:t>
      </w:r>
      <w:r w:rsidRPr="007C5206">
        <w:rPr>
          <w:rFonts w:eastAsia="Times New Roman" w:cs="Times New Roman"/>
          <w:szCs w:val="28"/>
          <w:lang w:val="uk-UA" w:eastAsia="ru-RU"/>
        </w:rPr>
        <w:t xml:space="preserve">абезпечує організацію засідань, нарад, зустрічей, інших офіційних заходів в межах </w:t>
      </w:r>
      <w:r>
        <w:rPr>
          <w:rFonts w:eastAsia="Times New Roman" w:cs="Times New Roman"/>
          <w:szCs w:val="28"/>
          <w:lang w:val="uk-UA" w:eastAsia="ru-RU"/>
        </w:rPr>
        <w:t xml:space="preserve">територіального управління Служби. </w:t>
      </w:r>
      <w:r w:rsidRPr="007C5206">
        <w:rPr>
          <w:rFonts w:eastAsia="Times New Roman" w:cs="Times New Roman"/>
          <w:szCs w:val="28"/>
          <w:lang w:val="uk-UA" w:eastAsia="ru-RU"/>
        </w:rPr>
        <w:t>Відповідає за організацію роботи щодо забезпечення пожежної безпеки та охорони праці в</w:t>
      </w:r>
      <w:r>
        <w:rPr>
          <w:rFonts w:eastAsia="Times New Roman" w:cs="Times New Roman"/>
          <w:szCs w:val="28"/>
          <w:lang w:val="uk-UA" w:eastAsia="ru-RU"/>
        </w:rPr>
        <w:t xml:space="preserve"> територіальному управлінні Служби.</w:t>
      </w:r>
    </w:p>
    <w:p w:rsidR="00A138B3" w:rsidRPr="00D606F6" w:rsidRDefault="007C5206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</w:t>
      </w:r>
      <w:r w:rsidR="007C5206">
        <w:rPr>
          <w:lang w:val="uk-UA"/>
        </w:rPr>
        <w:t>7750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6E39CD" w:rsidRDefault="006E39CD" w:rsidP="00A55596">
      <w:pPr>
        <w:ind w:firstLine="851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б</w:t>
      </w:r>
      <w:r w:rsidRPr="006E39CD">
        <w:rPr>
          <w:rFonts w:cs="Times New Roman"/>
          <w:szCs w:val="28"/>
          <w:lang w:val="uk-UA"/>
        </w:rPr>
        <w:t>езстроково</w:t>
      </w:r>
      <w:r>
        <w:rPr>
          <w:rFonts w:cs="Times New Roman"/>
          <w:szCs w:val="28"/>
          <w:lang w:val="uk-UA"/>
        </w:rPr>
        <w:t>.</w:t>
      </w:r>
    </w:p>
    <w:p w:rsidR="006E39CD" w:rsidRPr="00287FFC" w:rsidRDefault="006E39CD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</w:t>
      </w:r>
      <w:r w:rsidR="006E39CD">
        <w:rPr>
          <w:lang w:val="uk-UA"/>
        </w:rPr>
        <w:t xml:space="preserve"> та копія ідентифікаційного коду</w:t>
      </w:r>
      <w:r w:rsidRPr="00ED42CD">
        <w:rPr>
          <w:lang w:val="uk-UA"/>
        </w:rPr>
        <w:t>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</w:t>
      </w:r>
      <w:r w:rsidR="00F7741E">
        <w:rPr>
          <w:lang w:val="uk-UA"/>
        </w:rPr>
        <w:t xml:space="preserve"> (</w:t>
      </w:r>
      <w:r w:rsidR="00F7741E" w:rsidRPr="00F7741E">
        <w:rPr>
          <w:b/>
          <w:bCs/>
          <w:u w:val="single"/>
          <w:lang w:val="uk-UA"/>
        </w:rPr>
        <w:t>подати роздрукований примірник із сайту Національного агентства з питань запобігання корупції)</w:t>
      </w:r>
      <w:r w:rsidRPr="00F7741E">
        <w:rPr>
          <w:b/>
          <w:bCs/>
          <w:u w:val="single"/>
          <w:lang w:val="uk-UA"/>
        </w:rPr>
        <w:t>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lastRenderedPageBreak/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A00652" w:rsidRPr="00ED42CD" w:rsidRDefault="00A00652" w:rsidP="00A00652">
      <w:pPr>
        <w:ind w:firstLine="851"/>
        <w:jc w:val="both"/>
        <w:rPr>
          <w:lang w:val="uk-UA"/>
        </w:rPr>
      </w:pPr>
      <w:bookmarkStart w:id="0" w:name="_Hlk208396589"/>
      <w:r>
        <w:rPr>
          <w:lang w:val="uk-UA"/>
        </w:rPr>
        <w:t>9) державний сертифікат про рівень володіння державною мовою;</w:t>
      </w:r>
    </w:p>
    <w:bookmarkEnd w:id="0"/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1E0164">
        <w:rPr>
          <w:b/>
          <w:lang w:val="uk-UA"/>
        </w:rPr>
        <w:t>10</w:t>
      </w:r>
      <w:r w:rsidR="003B655A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22</w:t>
      </w:r>
      <w:r w:rsidR="0037573C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</w:t>
      </w:r>
      <w:r w:rsidR="005114A8">
        <w:rPr>
          <w:lang w:val="uk-UA"/>
        </w:rPr>
        <w:t xml:space="preserve">заступника начальника відділу </w:t>
      </w:r>
      <w:proofErr w:type="spellStart"/>
      <w:r w:rsidR="005114A8">
        <w:rPr>
          <w:lang w:val="uk-UA"/>
        </w:rPr>
        <w:t>оперативно</w:t>
      </w:r>
      <w:proofErr w:type="spellEnd"/>
      <w:r w:rsidR="005114A8">
        <w:rPr>
          <w:lang w:val="uk-UA"/>
        </w:rPr>
        <w:t xml:space="preserve">-чергової служби </w:t>
      </w:r>
      <w:r w:rsidR="00226F09">
        <w:rPr>
          <w:lang w:val="uk-UA"/>
        </w:rPr>
        <w:t>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E0164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вересня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="00C32036" w:rsidRPr="00C32036">
        <w:rPr>
          <w:rFonts w:eastAsia="Calibri" w:cs="Times New Roman"/>
        </w:rPr>
        <w:t>@</w:t>
      </w:r>
      <w:bookmarkStart w:id="1" w:name="_GoBack"/>
      <w:bookmarkEnd w:id="1"/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lastRenderedPageBreak/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6B561A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</w:t>
      </w:r>
      <w:r w:rsidR="000E213B">
        <w:rPr>
          <w:rFonts w:eastAsia="Calibri" w:cs="Times New Roman"/>
          <w:szCs w:val="28"/>
          <w:lang w:val="uk-UA" w:eastAsia="ru-RU"/>
        </w:rPr>
        <w:t>ища, ступень вищої освіти – магістр (спеціаліст)</w:t>
      </w:r>
      <w:r w:rsidR="00432736" w:rsidRPr="00432736">
        <w:rPr>
          <w:rFonts w:eastAsia="Calibri" w:cs="Times New Roman"/>
          <w:szCs w:val="28"/>
          <w:lang w:val="uk-UA" w:eastAsia="ru-RU"/>
        </w:rPr>
        <w:t>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011537" w:rsidP="00011537">
      <w:pPr>
        <w:ind w:left="6" w:firstLine="702"/>
        <w:contextualSpacing/>
        <w:jc w:val="both"/>
      </w:pPr>
      <w:proofErr w:type="spellStart"/>
      <w:r w:rsidRPr="006F0AF8">
        <w:t>досвід</w:t>
      </w:r>
      <w:proofErr w:type="spellEnd"/>
      <w:r w:rsidRPr="006F0AF8">
        <w:t xml:space="preserve">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середнього складу співробітників – не менше ніж два роки.    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C32036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C32036" w:rsidTr="005114A8">
        <w:tc>
          <w:tcPr>
            <w:tcW w:w="3741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 xml:space="preserve"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</w:t>
            </w:r>
            <w:r w:rsidRPr="00ED42CD">
              <w:rPr>
                <w:rFonts w:eastAsia="Calibri" w:cs="Times New Roman"/>
                <w:szCs w:val="28"/>
                <w:lang w:val="uk-UA"/>
              </w:rPr>
              <w:lastRenderedPageBreak/>
              <w:t>кодекс України.</w:t>
            </w:r>
          </w:p>
        </w:tc>
      </w:tr>
      <w:tr w:rsidR="00024874" w:rsidRPr="00C32036" w:rsidTr="005114A8">
        <w:tc>
          <w:tcPr>
            <w:tcW w:w="3741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11537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E213B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942EA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14A8"/>
    <w:rsid w:val="005147FE"/>
    <w:rsid w:val="00517C26"/>
    <w:rsid w:val="00521389"/>
    <w:rsid w:val="005240F9"/>
    <w:rsid w:val="005318EA"/>
    <w:rsid w:val="005438CB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A1B01"/>
    <w:rsid w:val="006A33A0"/>
    <w:rsid w:val="006B54C3"/>
    <w:rsid w:val="006B561A"/>
    <w:rsid w:val="006B67FD"/>
    <w:rsid w:val="006C68D7"/>
    <w:rsid w:val="006E01E3"/>
    <w:rsid w:val="006E39CD"/>
    <w:rsid w:val="006F3784"/>
    <w:rsid w:val="006F6B83"/>
    <w:rsid w:val="00704FBA"/>
    <w:rsid w:val="00711DEC"/>
    <w:rsid w:val="00717BA0"/>
    <w:rsid w:val="00743A09"/>
    <w:rsid w:val="00757D43"/>
    <w:rsid w:val="00764B24"/>
    <w:rsid w:val="00792074"/>
    <w:rsid w:val="007A1BBE"/>
    <w:rsid w:val="007B3D25"/>
    <w:rsid w:val="007B4902"/>
    <w:rsid w:val="007C0F50"/>
    <w:rsid w:val="007C2D0D"/>
    <w:rsid w:val="007C5206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00652"/>
    <w:rsid w:val="00A12783"/>
    <w:rsid w:val="00A136FC"/>
    <w:rsid w:val="00A138B3"/>
    <w:rsid w:val="00A141F4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32036"/>
    <w:rsid w:val="00C41BE6"/>
    <w:rsid w:val="00C41C53"/>
    <w:rsid w:val="00C45944"/>
    <w:rsid w:val="00C46A83"/>
    <w:rsid w:val="00C63C7F"/>
    <w:rsid w:val="00C673C8"/>
    <w:rsid w:val="00C729F7"/>
    <w:rsid w:val="00C81436"/>
    <w:rsid w:val="00C817C3"/>
    <w:rsid w:val="00CA50D0"/>
    <w:rsid w:val="00CA7941"/>
    <w:rsid w:val="00CC6B69"/>
    <w:rsid w:val="00CC722E"/>
    <w:rsid w:val="00CE44FB"/>
    <w:rsid w:val="00CE634E"/>
    <w:rsid w:val="00D0205B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7741E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57CD-6722-4F0D-A59C-FDAC2186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5158</Words>
  <Characters>2941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17</cp:revision>
  <cp:lastPrinted>2025-05-07T05:42:00Z</cp:lastPrinted>
  <dcterms:created xsi:type="dcterms:W3CDTF">2025-09-09T12:48:00Z</dcterms:created>
  <dcterms:modified xsi:type="dcterms:W3CDTF">2025-09-10T08:43:00Z</dcterms:modified>
</cp:coreProperties>
</file>