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AD45D3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566486">
        <w:rPr>
          <w:rFonts w:ascii="Times New Roman" w:hAnsi="Times New Roman"/>
          <w:sz w:val="24"/>
          <w:szCs w:val="24"/>
        </w:rPr>
        <w:t>10</w:t>
      </w:r>
      <w:r w:rsidRPr="005C48D5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5C48D5">
        <w:rPr>
          <w:rFonts w:ascii="Times New Roman" w:hAnsi="Times New Roman"/>
          <w:sz w:val="24"/>
          <w:szCs w:val="24"/>
          <w:lang w:val="ru-RU"/>
        </w:rPr>
        <w:t>0</w:t>
      </w:r>
      <w:r w:rsidR="007765C1">
        <w:rPr>
          <w:rFonts w:ascii="Times New Roman" w:hAnsi="Times New Roman"/>
          <w:sz w:val="24"/>
          <w:szCs w:val="24"/>
          <w:lang w:val="ru-RU"/>
        </w:rPr>
        <w:t>9</w:t>
      </w:r>
      <w:r w:rsidRPr="005C48D5">
        <w:rPr>
          <w:rFonts w:ascii="Times New Roman" w:hAnsi="Times New Roman"/>
          <w:sz w:val="24"/>
          <w:szCs w:val="24"/>
          <w:lang w:val="ru-RU"/>
        </w:rPr>
        <w:t>.202</w:t>
      </w:r>
      <w:r w:rsidR="00E91C09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</w:rPr>
        <w:t xml:space="preserve"> №</w:t>
      </w:r>
      <w:r w:rsidR="00FF31DD">
        <w:rPr>
          <w:rFonts w:ascii="Times New Roman" w:hAnsi="Times New Roman"/>
          <w:sz w:val="24"/>
          <w:szCs w:val="24"/>
        </w:rPr>
        <w:t xml:space="preserve"> </w:t>
      </w:r>
      <w:r w:rsidR="00676538">
        <w:rPr>
          <w:rFonts w:ascii="Times New Roman" w:hAnsi="Times New Roman"/>
          <w:sz w:val="24"/>
          <w:szCs w:val="24"/>
        </w:rPr>
        <w:t>169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1C1B68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234310" w:rsidRDefault="00234310" w:rsidP="0023431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234310" w:rsidRDefault="00234310" w:rsidP="0023431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забезпечення безпеки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територіального </w:t>
            </w:r>
          </w:p>
          <w:p w:rsidR="00234310" w:rsidRPr="00E75862" w:rsidRDefault="00234310" w:rsidP="0023431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управління Служби судової охорони у Полтавській області</w:t>
            </w:r>
          </w:p>
          <w:p w:rsidR="00234310" w:rsidRDefault="00234310" w:rsidP="0023431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34310" w:rsidRPr="00A84D44" w:rsidRDefault="00234310" w:rsidP="0023431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Загальні умови </w:t>
            </w:r>
          </w:p>
          <w:tbl>
            <w:tblPr>
              <w:tblW w:w="976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3668"/>
              <w:gridCol w:w="6100"/>
            </w:tblGrid>
            <w:tr w:rsidR="00234310" w:rsidRPr="00E75862" w:rsidTr="0068715F">
              <w:trPr>
                <w:trHeight w:val="408"/>
              </w:trPr>
              <w:tc>
                <w:tcPr>
                  <w:tcW w:w="9768" w:type="dxa"/>
                  <w:gridSpan w:val="2"/>
                  <w:hideMark/>
                </w:tcPr>
                <w:p w:rsidR="00234310" w:rsidRPr="00E75862" w:rsidRDefault="00234310" w:rsidP="00234310">
                  <w:pPr>
                    <w:suppressAutoHyphens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1. 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Основні повноваження ко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нтролера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категорії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взвод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у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забезпечення безпеки 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територіального управління Служби судової охорони у Полтавській області:</w:t>
                  </w:r>
                </w:p>
              </w:tc>
            </w:tr>
            <w:tr w:rsidR="00234310" w:rsidRPr="003F402F" w:rsidTr="0068715F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234310" w:rsidRDefault="00234310" w:rsidP="00234310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брати безпосередню участь у заходах із забезпечення особистої охорони особи, щодо якої здійснюється державне забезпечення особистої безпеки та підтримання громадського порядку в судових установах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34310" w:rsidRPr="006C7AB3" w:rsidRDefault="00234310" w:rsidP="00234310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C7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рийма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</w:t>
                  </w:r>
                  <w:r w:rsidRPr="006C7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участь, у межах компетенції, у заходах по виявленню, запобіганню, та нейтралізації загроз особистій безпеці суддів, членів їх сімей, працівників апарату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34310" w:rsidRPr="003F402F" w:rsidRDefault="00234310" w:rsidP="00234310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підтримувати високий рівень професійних навичок та правових знань, спеціальної та фізичної підготовки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34310" w:rsidRPr="003F402F" w:rsidRDefault="00234310" w:rsidP="00234310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увати безпеку особи, щодо якої здійснюється державне забезпечення особистої безпеки, у внутрішньому, середньому та за необхідністю, зовнішньому периметрах безпеки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34310" w:rsidRPr="003F402F" w:rsidRDefault="00234310" w:rsidP="00234310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 забезпечувати надійний захист особи, щодо якої здійснюється державне забезпечення особистої безпеки, при виникненні екстремальних ситуацій та надзвичайних ситуацій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34310" w:rsidRDefault="00234310" w:rsidP="00234310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 інформує старшого наряду про зміни в несенні служби, що можуть призвести до ускладнення обстановки з охорони об'єкта</w:t>
                  </w:r>
                  <w:r w:rsidRPr="003F40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приміщень суду, органу й установи системи правосуддя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34310" w:rsidRDefault="00234310" w:rsidP="00234310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7) здійснення супроводження особи, щодо якої здійснюється державне забезпечення особистої безпеки, постійно тримати її в полі зору, тримаючи відстань від неї, яка забезпечує негайне реагування в разі виникнення загроз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34310" w:rsidRPr="005E1E9C" w:rsidRDefault="00234310" w:rsidP="00234310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8) вміти вправно керувати автотранспортними засобами, задіяними у охоронному заході. Мати навички безпечного екстремального керування автомобілем та бути готовим до їхнього застосування, в разі необхідності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34310" w:rsidRPr="005E1E9C" w:rsidRDefault="00234310" w:rsidP="00234310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9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9) 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з</w:t>
                  </w:r>
                  <w:proofErr w:type="spellStart"/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нати</w:t>
                  </w:r>
                  <w:proofErr w:type="spellEnd"/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вміти застосовувати на практиці порядок оперативно-технічного огляду автомобіля та приміщень. Брати безпосередню участь у оперативно-технічному огляді автотранспортних засобів, залучених до охоронного заходу;</w:t>
                  </w:r>
                </w:p>
                <w:p w:rsidR="00234310" w:rsidRPr="005E1E9C" w:rsidRDefault="00234310" w:rsidP="00234310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5E1E9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10)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нати основи ведення зовнішнього спостереження та прийомів його виявлення. Брати участь у заходах з </w:t>
                  </w:r>
                  <w:proofErr w:type="spellStart"/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контрспостереження</w:t>
                  </w:r>
                  <w:proofErr w:type="spellEnd"/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стосовно наряду охорони Взводу, який охороняє особу, щодо якої здійснюється державне забезпечення особистої безпеки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 Умови оплати праці: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60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="00A03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 гривень;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надбавки, доплати, які мають постійний характер), премії та одноразових додаткових видів грошового забезпечення.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Безстроково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Перелік документів, необхідних для участі в конкурсі, та строк їх подання: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копія паспорта громадянина України;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копії документа (документів) про освіту;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заповнена особова картка визначеного зразка, автобіографія, фотокартка розміром 30 х 40 мм;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 декларація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уповноваженої на виконання функцій держави або місцевого самоврядування за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      </w:r>
                </w:p>
                <w:p w:rsidR="00234310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      </w:r>
                </w:p>
                <w:p w:rsidR="00234310" w:rsidRPr="005C5C8C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копія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військово-облікового документа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відміткою про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взяття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військовий облік</w:t>
                  </w:r>
                  <w:r w:rsidRPr="005C5C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34310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EA02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</w:t>
                  </w:r>
                  <w:r w:rsidR="00CF68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F6806" w:rsidRDefault="00CF6806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10) копія посвідчення водія. 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      </w:r>
                </w:p>
                <w:p w:rsidR="00234310" w:rsidRDefault="00234310" w:rsidP="00234310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      </w:r>
                </w:p>
                <w:p w:rsidR="00234310" w:rsidRPr="003F402F" w:rsidRDefault="00234310" w:rsidP="00234310">
                  <w:pPr>
                    <w:spacing w:after="0" w:line="260" w:lineRule="exact"/>
                    <w:ind w:right="40" w:firstLine="4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  <w:p w:rsidR="00234310" w:rsidRPr="00134E99" w:rsidRDefault="00234310" w:rsidP="00234310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Документи приймаються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-00 год.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12 вересня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26 вересня 2025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року за </w:t>
                  </w:r>
                  <w:proofErr w:type="spellStart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адресою</w:t>
                  </w:r>
                  <w:proofErr w:type="spellEnd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вул.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Соборності, 17, м.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Полтава, територіальне управління Служби судової охорони у Полтавській області.</w:t>
                  </w:r>
                </w:p>
                <w:p w:rsidR="00234310" w:rsidRPr="00134E99" w:rsidRDefault="00234310" w:rsidP="00234310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контролера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категорії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p w:rsidR="00234310" w:rsidRPr="00134E99" w:rsidRDefault="00234310" w:rsidP="00234310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 Місце, дата та час початку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4310" w:rsidRPr="00134E99" w:rsidRDefault="00234310" w:rsidP="00234310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вул. Соборності, 17, м. Полтава, територіальне управління Служби судової охорони у Полтавській області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30 вересня 2025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року з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09.00 год.</w:t>
                  </w:r>
                </w:p>
                <w:p w:rsidR="00234310" w:rsidRPr="00134E99" w:rsidRDefault="00234310" w:rsidP="00234310">
                  <w:pPr>
                    <w:spacing w:after="0" w:line="260" w:lineRule="exact"/>
                    <w:ind w:right="4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34310" w:rsidRPr="00F5760C" w:rsidRDefault="00234310" w:rsidP="00234310">
                  <w:pPr>
                    <w:spacing w:after="0" w:line="260" w:lineRule="exact"/>
                    <w:ind w:right="40" w:firstLine="743"/>
                    <w:jc w:val="both"/>
                    <w:rPr>
                      <w:rStyle w:val="a8"/>
                      <w:rFonts w:ascii="Times New Roman" w:eastAsia="Calibri" w:hAnsi="Times New Roman" w:cs="Times New Roman"/>
                      <w:color w:val="auto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Неменуща Лілія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Сергіївна</w:t>
                  </w:r>
                  <w:proofErr w:type="spellEnd"/>
                  <w:r w:rsidRPr="00574B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295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91-63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(0532) 641422, </w:t>
                  </w:r>
                  <w:hyperlink r:id="rId8" w:history="1">
                    <w:r w:rsidRPr="00134E99">
                      <w:rPr>
                        <w:rStyle w:val="a8"/>
                        <w:rFonts w:ascii="Times New Roman" w:eastAsia="Calibri" w:hAnsi="Times New Roman" w:cs="Times New Roman"/>
                        <w:color w:val="auto"/>
                        <w:sz w:val="24"/>
                        <w:szCs w:val="24"/>
                      </w:rPr>
                      <w:t>vrp.pl@sso.gov.ua</w:t>
                    </w:r>
                  </w:hyperlink>
                </w:p>
                <w:p w:rsidR="00234310" w:rsidRPr="003F402F" w:rsidRDefault="00234310" w:rsidP="00234310">
                  <w:pPr>
                    <w:suppressAutoHyphens/>
                    <w:spacing w:after="0" w:line="260" w:lineRule="exac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234310" w:rsidRPr="00E75862" w:rsidRDefault="00234310" w:rsidP="00234310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Кваліфікаційні вимоги</w:t>
                  </w:r>
                </w:p>
                <w:p w:rsidR="00234310" w:rsidRPr="00E75862" w:rsidRDefault="00234310" w:rsidP="00234310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4310" w:rsidRPr="009F01F3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9F01F3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Освіта</w:t>
                  </w:r>
                </w:p>
              </w:tc>
              <w:tc>
                <w:tcPr>
                  <w:tcW w:w="6100" w:type="dxa"/>
                </w:tcPr>
                <w:p w:rsidR="00234310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234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овна загальна середня освіта. </w:t>
                  </w:r>
                </w:p>
                <w:p w:rsidR="00234310" w:rsidRPr="00234310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34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Посвідчення водія категорії «В»</w:t>
                  </w:r>
                </w:p>
              </w:tc>
            </w:tr>
            <w:tr w:rsidR="00234310" w:rsidRPr="0031675F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31675F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6100" w:type="dxa"/>
                </w:tcPr>
                <w:p w:rsidR="00234310" w:rsidRPr="00234310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4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посадах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234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державних органах влади, органах системи правосуддя, правоохоронних органах чи військових формування, підприємств, установ, організацій незалежно від форми власності – не менше ніж один рік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Default="00234310" w:rsidP="00234310">
                  <w:pPr>
                    <w:spacing w:after="0" w:line="260" w:lineRule="exact"/>
                    <w:ind w:righ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4310" w:rsidRPr="00E75862" w:rsidRDefault="00234310" w:rsidP="00234310">
                  <w:pPr>
                    <w:spacing w:after="0" w:line="260" w:lineRule="exact"/>
                    <w:ind w:righ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6100" w:type="dxa"/>
                </w:tcPr>
                <w:p w:rsidR="00234310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4310" w:rsidRPr="00E75862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234310" w:rsidRDefault="00234310" w:rsidP="00234310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34310" w:rsidRPr="00E75862" w:rsidRDefault="00234310" w:rsidP="00234310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Вимоги до компетентності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E75862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234310" w:rsidRPr="00E75862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встановлення цілей, пріоритетів 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орієнтирів;</w:t>
                  </w:r>
                </w:p>
                <w:p w:rsidR="00234310" w:rsidRPr="00E75862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стратегічне планування;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багатофункціональність;</w:t>
                  </w:r>
                </w:p>
                <w:p w:rsidR="00234310" w:rsidRPr="00E75862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ведення ділових переговорів;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досягнення кінцевих результатів.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E75862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234310" w:rsidRPr="00E75862" w:rsidRDefault="00234310" w:rsidP="00234310">
                  <w:pPr>
                    <w:shd w:val="clear" w:color="auto" w:fill="FFFFFF"/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уміння швидко включатися в роботу,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високий рівень гнучкості, уміння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переключатися з одного виду діяльності 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інший. 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E75862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Комунікація та взаємодія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234310" w:rsidRPr="00E75862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вміння здійснювати ефективну комунікацію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та проводити публічні виступи;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E75862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 Особистісні компетенції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234310" w:rsidRPr="00E75862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принциповість, рішучість і вимогливість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 час прийняття рішень;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системність;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самоорганізація та саморозвиток;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3668" w:type="dxa"/>
                  <w:shd w:val="clear" w:color="auto" w:fill="FFFFFF"/>
                </w:tcPr>
                <w:p w:rsidR="00234310" w:rsidRPr="00E75862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Забезпечення громадського</w:t>
                  </w:r>
                </w:p>
                <w:p w:rsidR="00234310" w:rsidRPr="00E75862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порядку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234310" w:rsidRPr="00E75862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законодавства, яке регулює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діяльність судових та правоохоронних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системи правоохоронних органів,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розмежування їх компетенції, порядок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забезпечення їх співпраці.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E75862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6. Робота з інформацією </w:t>
                  </w:r>
                </w:p>
              </w:tc>
              <w:tc>
                <w:tcPr>
                  <w:tcW w:w="6100" w:type="dxa"/>
                </w:tcPr>
                <w:p w:rsidR="00234310" w:rsidRPr="00E75862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основ законодавства про інформацію.</w:t>
                  </w:r>
                </w:p>
              </w:tc>
            </w:tr>
            <w:tr w:rsidR="00234310" w:rsidRPr="00E75862" w:rsidTr="0068715F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234310" w:rsidRPr="00E75862" w:rsidRDefault="00234310" w:rsidP="00234310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Професійні знання</w:t>
                  </w:r>
                </w:p>
              </w:tc>
            </w:tr>
            <w:tr w:rsidR="00234310" w:rsidRPr="002C4BC8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2C4BC8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6100" w:type="dxa"/>
                </w:tcPr>
                <w:p w:rsidR="00234310" w:rsidRPr="002C4BC8" w:rsidRDefault="00234310" w:rsidP="00234310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51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 державний захист працівників суду і правоохоронних органів».</w:t>
                  </w:r>
                </w:p>
              </w:tc>
            </w:tr>
            <w:tr w:rsidR="00234310" w:rsidRPr="002C4BC8" w:rsidTr="0068715F">
              <w:trPr>
                <w:trHeight w:val="408"/>
              </w:trPr>
              <w:tc>
                <w:tcPr>
                  <w:tcW w:w="3668" w:type="dxa"/>
                </w:tcPr>
                <w:p w:rsidR="00234310" w:rsidRPr="002C4BC8" w:rsidRDefault="00234310" w:rsidP="00234310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2. Знання спеціального законодавства </w:t>
                  </w:r>
                </w:p>
                <w:p w:rsidR="00234310" w:rsidRPr="002C4BC8" w:rsidRDefault="00234310" w:rsidP="00234310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4310" w:rsidRPr="002C4BC8" w:rsidRDefault="00234310" w:rsidP="00234310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4310" w:rsidRPr="002C4BC8" w:rsidRDefault="00234310" w:rsidP="00234310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4310" w:rsidRPr="002C4BC8" w:rsidRDefault="00234310" w:rsidP="00234310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4310" w:rsidRPr="002C4BC8" w:rsidRDefault="00234310" w:rsidP="00234310">
                  <w:pPr>
                    <w:spacing w:line="26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234310" w:rsidRPr="002C4BC8" w:rsidRDefault="00234310" w:rsidP="00234310">
                  <w:pPr>
                    <w:spacing w:after="0" w:line="260" w:lineRule="exact"/>
                    <w:ind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:rsidR="00234310" w:rsidRDefault="00234310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34310" w:rsidRDefault="00234310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664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забезпечення безпеки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територіального </w:t>
            </w:r>
          </w:p>
          <w:p w:rsidR="009924FA" w:rsidRPr="00E75862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управління Служби судової охорони у Полтавській області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774B" w:rsidRPr="00A84D44" w:rsidRDefault="00CC774B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Загальні умови </w:t>
            </w:r>
          </w:p>
          <w:tbl>
            <w:tblPr>
              <w:tblW w:w="976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3668"/>
              <w:gridCol w:w="6100"/>
            </w:tblGrid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  <w:hideMark/>
                </w:tcPr>
                <w:p w:rsidR="009924FA" w:rsidRPr="00E75862" w:rsidRDefault="009924FA" w:rsidP="009924FA">
                  <w:pPr>
                    <w:suppressAutoHyphens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1. 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Основні повноваження ко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нтролера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категорії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взвод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у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5664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забезпечення безпеки 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територіального управління Служби судової охорони у Полтавській області:</w:t>
                  </w:r>
                </w:p>
              </w:tc>
            </w:tr>
            <w:tr w:rsidR="009924FA" w:rsidRPr="003F402F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1) </w:t>
                  </w:r>
                  <w:r w:rsidR="00F37866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брати безпосередню участь у заходах із забезпечення особистої охорони особи, щодо якої здійснюється державне забезпечення особистої безпеки та підтримання громадського порядку в судових установах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6C7AB3" w:rsidRPr="006C7AB3" w:rsidRDefault="006C7AB3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C7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рийма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</w:t>
                  </w:r>
                  <w:r w:rsidRPr="006C7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участь, у межах компетенції, у заходах по виявленню, запобіганню, та нейтралізації загроз особистій безпеці суддів, членів їх сімей, працівників апарату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924FA" w:rsidRPr="003F402F" w:rsidRDefault="006C7AB3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9924FA"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r w:rsidR="006B612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підтримувати високий рівень професійних навичок та правових знань, спеціальної та фізичної підготовки</w:t>
                  </w:r>
                  <w:r w:rsidR="009924FA"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24FA" w:rsidRPr="003F402F" w:rsidRDefault="006C7AB3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n1897"/>
                  <w:bookmarkEnd w:id="2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9924FA"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9924FA"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</w:t>
                  </w:r>
                  <w:r w:rsidR="006B612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увати безпеку особи, щодо якої здійснюється державне забезпечення особистої безпеки, у внутрішньому, середньому та за необхідністю, зовнішньому периметрах безпеки</w:t>
                  </w:r>
                  <w:r w:rsidR="009924FA"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24FA" w:rsidRPr="003F402F" w:rsidRDefault="006C7AB3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n1898"/>
                  <w:bookmarkEnd w:id="3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9924FA"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B612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забезпечувати надійний захист особи, щодо якої здійснюється державне забезпечення особистої безпеки, при виникненні екстремальних ситуацій та надзвичайних ситуацій</w:t>
                  </w:r>
                  <w:r w:rsidR="009924FA"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24FA" w:rsidRDefault="006C7AB3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9924FA"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 інформує старшого наряду про зміни в несенні служби, що можуть призвести до ускладнення обстановки з охорони об'єкта</w:t>
                  </w:r>
                  <w:r w:rsidR="009924FA" w:rsidRPr="003F40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приміщень суду, органу й установи системи правосуддя</w:t>
                  </w:r>
                  <w:r w:rsidR="005E1E9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6C7AB3" w:rsidRDefault="006C7AB3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A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7) здійснення супроводження особи, щодо якої здійснюється державне забезпечення особистої безпеки, постійно тримати її в полі зору, тримаючи відстань від неї, яка забезпечує негайне реагування в разі виникнення загроз</w:t>
                  </w:r>
                  <w:r w:rsid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E1E9C" w:rsidRPr="005E1E9C" w:rsidRDefault="005E1E9C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8) вміти вправно керувати автотранспортними засобами, задіяними у охоронному заході. Мати навички безпечного екстремального керування автомобілем та бути готовим до їхнього застосування, в разі необхідності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E1E9C" w:rsidRPr="005E1E9C" w:rsidRDefault="005E1E9C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E9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9) 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>з</w:t>
                  </w:r>
                  <w:proofErr w:type="spellStart"/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нати</w:t>
                  </w:r>
                  <w:proofErr w:type="spellEnd"/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вміти застосовувати на практиці порядок оперативно-технічного огляду автомобіля та приміщень. Брати безпосередню участь у оперативно-технічному огляді автотранспортних засобів, залучених до охоронного заходу;</w:t>
                  </w:r>
                </w:p>
                <w:p w:rsidR="005E1E9C" w:rsidRPr="005E1E9C" w:rsidRDefault="005E1E9C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5E1E9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10)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нати основи ведення зовнішнього спостереження та прийомів його виявлення. Брати участь у заходах з </w:t>
                  </w:r>
                  <w:proofErr w:type="spellStart"/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контрспостереження</w:t>
                  </w:r>
                  <w:proofErr w:type="spellEnd"/>
                  <w:r w:rsidRPr="005E1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стосовно наряду охорони Взводу, який охороняє особу, щодо якої здійснюється державне забезпечення особистої безпеки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 Умови оплати праці: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60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 гривень;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Безстроково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Перелік документів, необхідних для участі в конкурсі, та строк їх подання: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копія паспорта громадянина України;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копії документа (документів) про освіту;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заповнена особова картка визначеного зразка, автобіографія, фотокартка розміром 30 х 40 мм;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 декларація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уповноваженої на виконання функцій держави або місцевого самоврядування за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визначена Законом України «Про запобігання корупції». Тип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декларації «Кандидата на посаду» (роздрукований примірник із сайту Національного агентства з питань запобігання корупції);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      </w:r>
                </w:p>
                <w:p w:rsidR="009924FA" w:rsidRPr="005C5C8C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копія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військово-облікового документа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відміткою про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взяття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військовий облік</w:t>
                  </w:r>
                  <w:r w:rsidRPr="005C5C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EA02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Документи приймаються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-00 год. </w:t>
                  </w:r>
                  <w:r w:rsidR="00CB33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  <w:r w:rsidR="007765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вересня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CB33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год. </w:t>
                  </w:r>
                  <w:r w:rsidR="00CB33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  <w:r w:rsidR="007765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вересня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року за </w:t>
                  </w:r>
                  <w:proofErr w:type="spellStart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адресою</w:t>
                  </w:r>
                  <w:proofErr w:type="spellEnd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вул.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Соборності, 17, м.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Полтава, територіальне управління Служби судової охорони у Полтавській області.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контролера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категорії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 Місце, дата та час початку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вул. Соборності, 17, м. Полтава, територіальне управління Служби судової охорони у Полтавській області </w:t>
                  </w:r>
                  <w:r w:rsidR="00CB33F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="007765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вересня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року з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09.00 год.</w:t>
                  </w:r>
                </w:p>
                <w:p w:rsidR="00710263" w:rsidRPr="00134E99" w:rsidRDefault="00710263" w:rsidP="00710263">
                  <w:pPr>
                    <w:spacing w:after="0" w:line="260" w:lineRule="exact"/>
                    <w:ind w:right="4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10263" w:rsidRPr="00F5760C" w:rsidRDefault="00710263" w:rsidP="00710263">
                  <w:pPr>
                    <w:spacing w:after="0" w:line="260" w:lineRule="exact"/>
                    <w:ind w:right="40" w:firstLine="743"/>
                    <w:jc w:val="both"/>
                    <w:rPr>
                      <w:rStyle w:val="a8"/>
                      <w:rFonts w:ascii="Times New Roman" w:eastAsia="Calibri" w:hAnsi="Times New Roman" w:cs="Times New Roman"/>
                      <w:color w:val="auto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Неменуща Лілія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Сергіївна</w:t>
                  </w:r>
                  <w:proofErr w:type="spellEnd"/>
                  <w:r w:rsidRPr="00574B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295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91-63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(0532) 641422, </w:t>
                  </w:r>
                  <w:hyperlink r:id="rId9" w:history="1">
                    <w:r w:rsidRPr="00134E99">
                      <w:rPr>
                        <w:rStyle w:val="a8"/>
                        <w:rFonts w:ascii="Times New Roman" w:eastAsia="Calibri" w:hAnsi="Times New Roman" w:cs="Times New Roman"/>
                        <w:color w:val="auto"/>
                        <w:sz w:val="24"/>
                        <w:szCs w:val="24"/>
                      </w:rPr>
                      <w:t>vrp.pl@sso.gov.ua</w:t>
                    </w:r>
                  </w:hyperlink>
                </w:p>
                <w:p w:rsidR="009924FA" w:rsidRPr="003F402F" w:rsidRDefault="009924FA" w:rsidP="009924FA">
                  <w:pPr>
                    <w:suppressAutoHyphens/>
                    <w:spacing w:after="0" w:line="260" w:lineRule="exac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Кваліфікаційні вимоги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4FA" w:rsidRPr="009F01F3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Освіта</w:t>
                  </w:r>
                </w:p>
              </w:tc>
              <w:tc>
                <w:tcPr>
                  <w:tcW w:w="6100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повна загальна середня освіта;</w:t>
                  </w:r>
                </w:p>
              </w:tc>
            </w:tr>
            <w:tr w:rsidR="009924FA" w:rsidRPr="0031675F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6100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без досвіду роботи</w:t>
                  </w: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ind w:righ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Вимоги до компетентності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встановлення цілей, пріоритетів 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орієнтирів;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стратегічне планування;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багатофункціональність;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ведення ділових переговорів;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досягнення кінцевих результатів.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hd w:val="clear" w:color="auto" w:fill="FFFFFF"/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уміння швидко включатися в роботу,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високий рівень гнучкості, уміння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переключатися з одного виду діяльності 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інший. 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Комунікація та взаємодія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вміння здійснювати ефективну комунікацію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та проводити публічні виступи;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 Особистісні компетенції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принциповість, рішучість і вимогливість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 час прийняття рішень;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системність;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самоорганізація та саморозвиток;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Забезпечення громадського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порядку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законодавства, яке регулює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діяльність судових та правоохоронних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системи правоохоронних органів,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розмежування їх компетенції, порядок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забезпечення їх співпраці.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6. Робота з інформацією 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основ законодавства про інформацію.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Професійні знання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51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 державний захист працівників суду і правоохоронних органів».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2. Знання спеціального законодавства </w:t>
                  </w: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ind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924FA" w:rsidRDefault="007765C1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Т.в.о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FF1D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відділу по роботі з персоналом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територіального управління Служби судової 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охорони у Полтавській області  </w:t>
            </w:r>
          </w:p>
          <w:p w:rsidR="006E77F5" w:rsidRPr="001A5C8F" w:rsidRDefault="007765C1" w:rsidP="00CC774B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майор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Служби судової охорони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Лілія НЕМЕНУЩА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D74A6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64C" w:rsidRDefault="0043264C" w:rsidP="009924F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F0" w:rsidRDefault="00480DF0" w:rsidP="00AE1D94">
      <w:pPr>
        <w:spacing w:after="0" w:line="240" w:lineRule="auto"/>
      </w:pPr>
      <w:r>
        <w:separator/>
      </w:r>
    </w:p>
  </w:endnote>
  <w:endnote w:type="continuationSeparator" w:id="0">
    <w:p w:rsidR="00480DF0" w:rsidRDefault="00480DF0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F0" w:rsidRDefault="00480DF0" w:rsidP="00AE1D94">
      <w:pPr>
        <w:spacing w:after="0" w:line="240" w:lineRule="auto"/>
      </w:pPr>
      <w:r>
        <w:separator/>
      </w:r>
    </w:p>
  </w:footnote>
  <w:footnote w:type="continuationSeparator" w:id="0">
    <w:p w:rsidR="00480DF0" w:rsidRDefault="00480DF0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16789"/>
    <w:multiLevelType w:val="hybridMultilevel"/>
    <w:tmpl w:val="12F0F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407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B7D10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303"/>
    <w:rsid w:val="00135BB4"/>
    <w:rsid w:val="00135C56"/>
    <w:rsid w:val="00136869"/>
    <w:rsid w:val="00141D0E"/>
    <w:rsid w:val="0014450E"/>
    <w:rsid w:val="00144AAF"/>
    <w:rsid w:val="00154B96"/>
    <w:rsid w:val="00155D50"/>
    <w:rsid w:val="00157C1A"/>
    <w:rsid w:val="0016047A"/>
    <w:rsid w:val="00170C12"/>
    <w:rsid w:val="001727C3"/>
    <w:rsid w:val="00172D4F"/>
    <w:rsid w:val="00173B91"/>
    <w:rsid w:val="00176E15"/>
    <w:rsid w:val="001803A0"/>
    <w:rsid w:val="00180D52"/>
    <w:rsid w:val="00190D9B"/>
    <w:rsid w:val="001975FD"/>
    <w:rsid w:val="001A035E"/>
    <w:rsid w:val="001A5160"/>
    <w:rsid w:val="001A5E2B"/>
    <w:rsid w:val="001A6F18"/>
    <w:rsid w:val="001B08DB"/>
    <w:rsid w:val="001B3E88"/>
    <w:rsid w:val="001B5108"/>
    <w:rsid w:val="001B577B"/>
    <w:rsid w:val="001C1B68"/>
    <w:rsid w:val="001C1C59"/>
    <w:rsid w:val="001C4786"/>
    <w:rsid w:val="001C5FB2"/>
    <w:rsid w:val="001D0055"/>
    <w:rsid w:val="001D3C4D"/>
    <w:rsid w:val="001D5744"/>
    <w:rsid w:val="001D6972"/>
    <w:rsid w:val="001E1A0D"/>
    <w:rsid w:val="001E1B74"/>
    <w:rsid w:val="001E5FF4"/>
    <w:rsid w:val="001F0C78"/>
    <w:rsid w:val="001F2B4C"/>
    <w:rsid w:val="001F2DEB"/>
    <w:rsid w:val="001F5CBA"/>
    <w:rsid w:val="00200880"/>
    <w:rsid w:val="00204C61"/>
    <w:rsid w:val="002139B4"/>
    <w:rsid w:val="0021755E"/>
    <w:rsid w:val="00217FC2"/>
    <w:rsid w:val="002238C7"/>
    <w:rsid w:val="00225977"/>
    <w:rsid w:val="00226654"/>
    <w:rsid w:val="00234310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6105D"/>
    <w:rsid w:val="00271468"/>
    <w:rsid w:val="00285B5E"/>
    <w:rsid w:val="0028755A"/>
    <w:rsid w:val="00294D95"/>
    <w:rsid w:val="002963F1"/>
    <w:rsid w:val="00297F17"/>
    <w:rsid w:val="002A222F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1DA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6728"/>
    <w:rsid w:val="003D7824"/>
    <w:rsid w:val="003E147D"/>
    <w:rsid w:val="003E38A6"/>
    <w:rsid w:val="003E5371"/>
    <w:rsid w:val="003E5479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0DF0"/>
    <w:rsid w:val="00482634"/>
    <w:rsid w:val="00490EEF"/>
    <w:rsid w:val="00493634"/>
    <w:rsid w:val="00493AF5"/>
    <w:rsid w:val="004973AE"/>
    <w:rsid w:val="004A4532"/>
    <w:rsid w:val="004A52F9"/>
    <w:rsid w:val="004B3770"/>
    <w:rsid w:val="004B3CC1"/>
    <w:rsid w:val="004B55F4"/>
    <w:rsid w:val="004C0962"/>
    <w:rsid w:val="004C1FA9"/>
    <w:rsid w:val="004C6DA4"/>
    <w:rsid w:val="004D4EC0"/>
    <w:rsid w:val="004D58C6"/>
    <w:rsid w:val="004D71A8"/>
    <w:rsid w:val="004D73CC"/>
    <w:rsid w:val="004E10E1"/>
    <w:rsid w:val="004E2C13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14EF"/>
    <w:rsid w:val="00562400"/>
    <w:rsid w:val="00566486"/>
    <w:rsid w:val="00567C95"/>
    <w:rsid w:val="00570332"/>
    <w:rsid w:val="00570BD3"/>
    <w:rsid w:val="00572836"/>
    <w:rsid w:val="00572D32"/>
    <w:rsid w:val="005872B5"/>
    <w:rsid w:val="00592074"/>
    <w:rsid w:val="005A2CDF"/>
    <w:rsid w:val="005A6E46"/>
    <w:rsid w:val="005B17C7"/>
    <w:rsid w:val="005B6486"/>
    <w:rsid w:val="005C0E7D"/>
    <w:rsid w:val="005C4476"/>
    <w:rsid w:val="005C48D5"/>
    <w:rsid w:val="005C7CB9"/>
    <w:rsid w:val="005D04E7"/>
    <w:rsid w:val="005D19CC"/>
    <w:rsid w:val="005D211D"/>
    <w:rsid w:val="005D3298"/>
    <w:rsid w:val="005D4213"/>
    <w:rsid w:val="005D546D"/>
    <w:rsid w:val="005D7226"/>
    <w:rsid w:val="005E1E9C"/>
    <w:rsid w:val="005E1F4A"/>
    <w:rsid w:val="005E2609"/>
    <w:rsid w:val="005F6F21"/>
    <w:rsid w:val="00600C9A"/>
    <w:rsid w:val="006109C3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185D"/>
    <w:rsid w:val="00655D5D"/>
    <w:rsid w:val="006623CF"/>
    <w:rsid w:val="00662F4E"/>
    <w:rsid w:val="00664844"/>
    <w:rsid w:val="00672B55"/>
    <w:rsid w:val="00676538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12C"/>
    <w:rsid w:val="006B6D91"/>
    <w:rsid w:val="006C0A99"/>
    <w:rsid w:val="006C30F5"/>
    <w:rsid w:val="006C31D1"/>
    <w:rsid w:val="006C5F1C"/>
    <w:rsid w:val="006C72F7"/>
    <w:rsid w:val="006C7AB3"/>
    <w:rsid w:val="006D109E"/>
    <w:rsid w:val="006D635D"/>
    <w:rsid w:val="006D6CB1"/>
    <w:rsid w:val="006E0962"/>
    <w:rsid w:val="006E0B46"/>
    <w:rsid w:val="006E0D26"/>
    <w:rsid w:val="006E77F5"/>
    <w:rsid w:val="006E79B0"/>
    <w:rsid w:val="006F16FE"/>
    <w:rsid w:val="006F4DFA"/>
    <w:rsid w:val="006F53D2"/>
    <w:rsid w:val="00700593"/>
    <w:rsid w:val="00702FC5"/>
    <w:rsid w:val="007100A2"/>
    <w:rsid w:val="00710263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765C1"/>
    <w:rsid w:val="0078150F"/>
    <w:rsid w:val="00782978"/>
    <w:rsid w:val="0078574F"/>
    <w:rsid w:val="00787AF8"/>
    <w:rsid w:val="00792EEB"/>
    <w:rsid w:val="00795F7A"/>
    <w:rsid w:val="007964AF"/>
    <w:rsid w:val="007A12CF"/>
    <w:rsid w:val="007A27B2"/>
    <w:rsid w:val="007A2C9E"/>
    <w:rsid w:val="007A48B9"/>
    <w:rsid w:val="007A62A2"/>
    <w:rsid w:val="007B0465"/>
    <w:rsid w:val="007B3216"/>
    <w:rsid w:val="007B52D5"/>
    <w:rsid w:val="007C23B9"/>
    <w:rsid w:val="007C72E4"/>
    <w:rsid w:val="007D0DCA"/>
    <w:rsid w:val="007D3582"/>
    <w:rsid w:val="007D6503"/>
    <w:rsid w:val="007E14C5"/>
    <w:rsid w:val="007E3245"/>
    <w:rsid w:val="007E38A0"/>
    <w:rsid w:val="007E4C2B"/>
    <w:rsid w:val="007E4E46"/>
    <w:rsid w:val="007E5117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21DF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35E7"/>
    <w:rsid w:val="00895E85"/>
    <w:rsid w:val="00896835"/>
    <w:rsid w:val="00897962"/>
    <w:rsid w:val="008A2D74"/>
    <w:rsid w:val="008A5821"/>
    <w:rsid w:val="008A76DE"/>
    <w:rsid w:val="008B0E35"/>
    <w:rsid w:val="008B59E7"/>
    <w:rsid w:val="008B5D15"/>
    <w:rsid w:val="008D1991"/>
    <w:rsid w:val="008D7000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07E70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24FA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3E65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3792E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C6454"/>
    <w:rsid w:val="00AD0388"/>
    <w:rsid w:val="00AD234A"/>
    <w:rsid w:val="00AD41DF"/>
    <w:rsid w:val="00AD45D3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04B0"/>
    <w:rsid w:val="00B11904"/>
    <w:rsid w:val="00B16568"/>
    <w:rsid w:val="00B17772"/>
    <w:rsid w:val="00B214B7"/>
    <w:rsid w:val="00B31A7C"/>
    <w:rsid w:val="00B35434"/>
    <w:rsid w:val="00B4133E"/>
    <w:rsid w:val="00B443AB"/>
    <w:rsid w:val="00B50551"/>
    <w:rsid w:val="00B50915"/>
    <w:rsid w:val="00B51E57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C01A5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0E"/>
    <w:rsid w:val="00C23BCF"/>
    <w:rsid w:val="00C240E4"/>
    <w:rsid w:val="00C32D1C"/>
    <w:rsid w:val="00C36A5A"/>
    <w:rsid w:val="00C40437"/>
    <w:rsid w:val="00C40CD9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3F2"/>
    <w:rsid w:val="00CB3E1D"/>
    <w:rsid w:val="00CB457A"/>
    <w:rsid w:val="00CC047F"/>
    <w:rsid w:val="00CC2780"/>
    <w:rsid w:val="00CC5269"/>
    <w:rsid w:val="00CC5A6C"/>
    <w:rsid w:val="00CC774B"/>
    <w:rsid w:val="00CC77E6"/>
    <w:rsid w:val="00CD5BE6"/>
    <w:rsid w:val="00CD6CD1"/>
    <w:rsid w:val="00CE3816"/>
    <w:rsid w:val="00CE6D41"/>
    <w:rsid w:val="00CE7A96"/>
    <w:rsid w:val="00CF11B7"/>
    <w:rsid w:val="00CF20CC"/>
    <w:rsid w:val="00CF3244"/>
    <w:rsid w:val="00CF494E"/>
    <w:rsid w:val="00CF58CD"/>
    <w:rsid w:val="00CF6426"/>
    <w:rsid w:val="00CF6806"/>
    <w:rsid w:val="00CF7594"/>
    <w:rsid w:val="00D03D5B"/>
    <w:rsid w:val="00D06F03"/>
    <w:rsid w:val="00D157FA"/>
    <w:rsid w:val="00D158E7"/>
    <w:rsid w:val="00D24012"/>
    <w:rsid w:val="00D30E1C"/>
    <w:rsid w:val="00D334D4"/>
    <w:rsid w:val="00D408BC"/>
    <w:rsid w:val="00D40E50"/>
    <w:rsid w:val="00D42F1A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4A6B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27E63"/>
    <w:rsid w:val="00E30B9B"/>
    <w:rsid w:val="00E326A8"/>
    <w:rsid w:val="00E33CEA"/>
    <w:rsid w:val="00E33E56"/>
    <w:rsid w:val="00E37B10"/>
    <w:rsid w:val="00E4145C"/>
    <w:rsid w:val="00E44E82"/>
    <w:rsid w:val="00E46562"/>
    <w:rsid w:val="00E503BF"/>
    <w:rsid w:val="00E53C13"/>
    <w:rsid w:val="00E542E8"/>
    <w:rsid w:val="00E563DF"/>
    <w:rsid w:val="00E57A19"/>
    <w:rsid w:val="00E61D80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B7A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C5AB2"/>
    <w:rsid w:val="00ED080B"/>
    <w:rsid w:val="00ED6FF0"/>
    <w:rsid w:val="00EE135B"/>
    <w:rsid w:val="00EE1FD3"/>
    <w:rsid w:val="00EE4865"/>
    <w:rsid w:val="00EF2788"/>
    <w:rsid w:val="00EF44C6"/>
    <w:rsid w:val="00F039DB"/>
    <w:rsid w:val="00F04362"/>
    <w:rsid w:val="00F0509F"/>
    <w:rsid w:val="00F07C94"/>
    <w:rsid w:val="00F10743"/>
    <w:rsid w:val="00F1116A"/>
    <w:rsid w:val="00F1181A"/>
    <w:rsid w:val="00F15761"/>
    <w:rsid w:val="00F15B11"/>
    <w:rsid w:val="00F17C6F"/>
    <w:rsid w:val="00F27FFE"/>
    <w:rsid w:val="00F32F01"/>
    <w:rsid w:val="00F3413A"/>
    <w:rsid w:val="00F34448"/>
    <w:rsid w:val="00F34753"/>
    <w:rsid w:val="00F348D0"/>
    <w:rsid w:val="00F35E16"/>
    <w:rsid w:val="00F37866"/>
    <w:rsid w:val="00F37892"/>
    <w:rsid w:val="00F47C7B"/>
    <w:rsid w:val="00F5760C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5ACB"/>
    <w:rsid w:val="00FC7D45"/>
    <w:rsid w:val="00FD34FF"/>
    <w:rsid w:val="00FD386C"/>
    <w:rsid w:val="00FD3FB7"/>
    <w:rsid w:val="00FD76F3"/>
    <w:rsid w:val="00FE0882"/>
    <w:rsid w:val="00FF0C60"/>
    <w:rsid w:val="00FF170F"/>
    <w:rsid w:val="00FF1DAE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F314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33C4-1F37-4B94-AFEB-D6CF6C81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11157</Words>
  <Characters>6361</Characters>
  <Application>Microsoft Office Word</Application>
  <DocSecurity>0</DocSecurity>
  <Lines>53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13</cp:revision>
  <cp:lastPrinted>2025-02-25T10:39:00Z</cp:lastPrinted>
  <dcterms:created xsi:type="dcterms:W3CDTF">2025-09-10T11:40:00Z</dcterms:created>
  <dcterms:modified xsi:type="dcterms:W3CDTF">2025-09-11T05:08:00Z</dcterms:modified>
</cp:coreProperties>
</file>