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9E0" w:rsidRPr="006441BD" w:rsidRDefault="005069E0" w:rsidP="00506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9E0" w:rsidRPr="006441BD" w:rsidRDefault="005069E0" w:rsidP="00506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9E0" w:rsidRPr="006441BD" w:rsidRDefault="005069E0" w:rsidP="00506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0F6" w:rsidRPr="006441BD" w:rsidRDefault="00E330F6" w:rsidP="00506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0F6" w:rsidRPr="006441BD" w:rsidRDefault="00E330F6" w:rsidP="00506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0F6" w:rsidRPr="006441BD" w:rsidRDefault="00E330F6" w:rsidP="00506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0F6" w:rsidRPr="006441BD" w:rsidRDefault="00E330F6" w:rsidP="00506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9E0" w:rsidRPr="006441BD" w:rsidRDefault="005069E0" w:rsidP="00506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9E0" w:rsidRPr="006441BD" w:rsidRDefault="005069E0" w:rsidP="00506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9E0" w:rsidRPr="006441BD" w:rsidRDefault="005069E0" w:rsidP="006441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9E0" w:rsidRPr="006441BD" w:rsidRDefault="005069E0" w:rsidP="006441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0F6" w:rsidRPr="006441BD" w:rsidRDefault="00E330F6" w:rsidP="006441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F9A" w:rsidRDefault="004B3F9A" w:rsidP="006441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F9A" w:rsidRDefault="004B3F9A" w:rsidP="006441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F9A" w:rsidRDefault="004B3F9A" w:rsidP="006441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0F6" w:rsidRPr="006441BD" w:rsidRDefault="0024514E" w:rsidP="006441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Узагальнений о</w:t>
      </w:r>
      <w:r w:rsidR="005069E0" w:rsidRPr="006441BD">
        <w:rPr>
          <w:rFonts w:ascii="Times New Roman" w:hAnsi="Times New Roman" w:cs="Times New Roman"/>
          <w:b/>
          <w:sz w:val="28"/>
          <w:szCs w:val="28"/>
        </w:rPr>
        <w:t xml:space="preserve">гляд даних </w:t>
      </w:r>
    </w:p>
    <w:p w:rsidR="00E330F6" w:rsidRPr="006441BD" w:rsidRDefault="005069E0" w:rsidP="006441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1BD">
        <w:rPr>
          <w:rFonts w:ascii="Times New Roman" w:hAnsi="Times New Roman" w:cs="Times New Roman"/>
          <w:b/>
          <w:sz w:val="28"/>
          <w:szCs w:val="28"/>
        </w:rPr>
        <w:t xml:space="preserve">про стан здійснення правосуддя місцевими </w:t>
      </w:r>
      <w:r w:rsidR="00531F20">
        <w:rPr>
          <w:rFonts w:ascii="Times New Roman" w:hAnsi="Times New Roman" w:cs="Times New Roman"/>
          <w:b/>
          <w:sz w:val="28"/>
          <w:szCs w:val="28"/>
        </w:rPr>
        <w:t xml:space="preserve">загальними </w:t>
      </w:r>
      <w:r w:rsidRPr="006441BD">
        <w:rPr>
          <w:rFonts w:ascii="Times New Roman" w:hAnsi="Times New Roman" w:cs="Times New Roman"/>
          <w:b/>
          <w:sz w:val="28"/>
          <w:szCs w:val="28"/>
        </w:rPr>
        <w:t>судами</w:t>
      </w:r>
    </w:p>
    <w:p w:rsidR="001460F8" w:rsidRPr="006441BD" w:rsidRDefault="005069E0" w:rsidP="006441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1BD">
        <w:rPr>
          <w:rFonts w:ascii="Times New Roman" w:hAnsi="Times New Roman" w:cs="Times New Roman"/>
          <w:b/>
          <w:sz w:val="28"/>
          <w:szCs w:val="28"/>
        </w:rPr>
        <w:t xml:space="preserve"> Івано-Франківської області</w:t>
      </w:r>
    </w:p>
    <w:p w:rsidR="001460F8" w:rsidRPr="006441BD" w:rsidRDefault="001460F8" w:rsidP="009F4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0F8" w:rsidRPr="006441BD" w:rsidRDefault="001460F8" w:rsidP="009F4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6441BD" w:rsidRDefault="001460F8" w:rsidP="009F4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644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644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644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644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644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644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644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644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644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644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644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644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644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644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644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644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644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644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735" w:rsidRPr="006441BD" w:rsidRDefault="00956735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735" w:rsidRPr="006441BD" w:rsidRDefault="00956735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30F6" w:rsidRPr="006441BD" w:rsidRDefault="00E330F6" w:rsidP="00E330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0B8" w:rsidRPr="006441BD" w:rsidRDefault="00AC10B8" w:rsidP="00E330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E59" w:rsidRDefault="00107E59" w:rsidP="00E330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CCA" w:rsidRDefault="007C3CCA" w:rsidP="00E330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9E0" w:rsidRPr="006441BD" w:rsidRDefault="005069E0" w:rsidP="00E330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1B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069E0" w:rsidRPr="006441BD" w:rsidRDefault="00D76C4F" w:rsidP="00D76C4F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069E0" w:rsidRPr="006441BD">
        <w:rPr>
          <w:rFonts w:ascii="Times New Roman" w:hAnsi="Times New Roman" w:cs="Times New Roman"/>
          <w:sz w:val="28"/>
          <w:szCs w:val="28"/>
        </w:rPr>
        <w:t>оказники надходження та розгляду справ і матеріалів усіх категорій.</w:t>
      </w:r>
    </w:p>
    <w:p w:rsidR="005069E0" w:rsidRPr="006441BD" w:rsidRDefault="00B57DE9" w:rsidP="00D76C4F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1BD">
        <w:rPr>
          <w:rFonts w:ascii="Times New Roman" w:hAnsi="Times New Roman" w:cs="Times New Roman"/>
          <w:sz w:val="28"/>
          <w:szCs w:val="28"/>
        </w:rPr>
        <w:t xml:space="preserve">Показники надходження та </w:t>
      </w:r>
      <w:r w:rsidRPr="006441B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069E0" w:rsidRPr="006441B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озгляд</w:t>
      </w:r>
      <w:r w:rsidR="00D76C4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069E0" w:rsidRPr="00644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судових справ кримінального </w:t>
      </w:r>
      <w:r w:rsidR="00850F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судочинства</w:t>
      </w:r>
      <w:r w:rsidR="005069E0" w:rsidRPr="006441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69E0" w:rsidRPr="006441BD" w:rsidRDefault="00B57DE9" w:rsidP="00D76C4F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1BD">
        <w:rPr>
          <w:rFonts w:ascii="Times New Roman" w:hAnsi="Times New Roman" w:cs="Times New Roman"/>
          <w:sz w:val="28"/>
          <w:szCs w:val="28"/>
        </w:rPr>
        <w:t xml:space="preserve">Показники надходження та </w:t>
      </w:r>
      <w:r w:rsidRPr="006441B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</w:t>
      </w:r>
      <w:r w:rsidR="00D76C4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44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судових</w:t>
      </w:r>
      <w:r w:rsidR="005620F2" w:rsidRPr="00644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</w:t>
      </w:r>
      <w:r w:rsidRPr="00644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9E0" w:rsidRPr="00644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цивільного </w:t>
      </w:r>
      <w:r w:rsidR="00850F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судочинства</w:t>
      </w:r>
      <w:r w:rsidR="005069E0" w:rsidRPr="006441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69E0" w:rsidRPr="006441BD" w:rsidRDefault="00B57DE9" w:rsidP="00D76C4F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1BD">
        <w:rPr>
          <w:rFonts w:ascii="Times New Roman" w:hAnsi="Times New Roman" w:cs="Times New Roman"/>
          <w:sz w:val="28"/>
          <w:szCs w:val="28"/>
        </w:rPr>
        <w:t xml:space="preserve">Показники надходження та </w:t>
      </w:r>
      <w:r w:rsidRPr="006441B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</w:t>
      </w:r>
      <w:r w:rsidR="00C11CA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44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судових </w:t>
      </w:r>
      <w:r w:rsidR="00956735" w:rsidRPr="00644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 адміністративного </w:t>
      </w:r>
      <w:r w:rsidR="00850F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судочинства</w:t>
      </w:r>
      <w:r w:rsidR="00956735" w:rsidRPr="006441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6735" w:rsidRPr="006441BD" w:rsidRDefault="00B57DE9" w:rsidP="00D76C4F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1BD">
        <w:rPr>
          <w:rFonts w:ascii="Times New Roman" w:hAnsi="Times New Roman" w:cs="Times New Roman"/>
          <w:sz w:val="28"/>
          <w:szCs w:val="28"/>
        </w:rPr>
        <w:t xml:space="preserve">Показники надходження та </w:t>
      </w:r>
      <w:r w:rsidRPr="006441B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</w:t>
      </w:r>
      <w:r w:rsidR="00D76C4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44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судових </w:t>
      </w:r>
      <w:r w:rsidR="00956735" w:rsidRPr="006441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 про адміністративні правопорушення.</w:t>
      </w:r>
    </w:p>
    <w:p w:rsidR="00956735" w:rsidRPr="006441BD" w:rsidRDefault="00956735" w:rsidP="00D76C4F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1B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Висновок.</w:t>
      </w:r>
    </w:p>
    <w:p w:rsidR="001460F8" w:rsidRPr="00644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644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644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644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644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0F8" w:rsidRPr="006441BD" w:rsidRDefault="001460F8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735" w:rsidRPr="006441BD" w:rsidRDefault="00956735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735" w:rsidRPr="006441BD" w:rsidRDefault="00956735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735" w:rsidRPr="006441BD" w:rsidRDefault="00956735" w:rsidP="00146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735" w:rsidRPr="006441BD" w:rsidRDefault="006441BD" w:rsidP="00644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66AD8" w:rsidRDefault="00C66AD8" w:rsidP="00E37FD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BC0" w:rsidRPr="00624D56" w:rsidRDefault="001460F8" w:rsidP="00E37FD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D56">
        <w:rPr>
          <w:rFonts w:ascii="Times New Roman" w:hAnsi="Times New Roman" w:cs="Times New Roman"/>
          <w:b/>
          <w:sz w:val="28"/>
          <w:szCs w:val="28"/>
        </w:rPr>
        <w:t>Загальні показники надходження та розгляду справ і матеріалів усіх</w:t>
      </w:r>
      <w:r w:rsidR="00DD5BC0" w:rsidRPr="00624D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D56">
        <w:rPr>
          <w:rFonts w:ascii="Times New Roman" w:hAnsi="Times New Roman" w:cs="Times New Roman"/>
          <w:b/>
          <w:sz w:val="28"/>
          <w:szCs w:val="28"/>
        </w:rPr>
        <w:t>категорій</w:t>
      </w:r>
      <w:r w:rsidR="008B65AF" w:rsidRPr="00624D56">
        <w:rPr>
          <w:rFonts w:ascii="Times New Roman" w:hAnsi="Times New Roman" w:cs="Times New Roman"/>
          <w:b/>
          <w:sz w:val="28"/>
          <w:szCs w:val="28"/>
        </w:rPr>
        <w:t>.</w:t>
      </w:r>
    </w:p>
    <w:p w:rsidR="004A2AC8" w:rsidRPr="00624D56" w:rsidRDefault="004A2AC8" w:rsidP="006441BD">
      <w:p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D56">
        <w:rPr>
          <w:rFonts w:ascii="Times New Roman" w:hAnsi="Times New Roman" w:cs="Times New Roman"/>
          <w:sz w:val="28"/>
          <w:szCs w:val="28"/>
        </w:rPr>
        <w:t xml:space="preserve">Завданням </w:t>
      </w:r>
      <w:proofErr w:type="spellStart"/>
      <w:r w:rsidRPr="00624D56">
        <w:rPr>
          <w:rFonts w:ascii="Times New Roman" w:hAnsi="Times New Roman" w:cs="Times New Roman"/>
          <w:sz w:val="28"/>
          <w:szCs w:val="28"/>
        </w:rPr>
        <w:t>cу</w:t>
      </w:r>
      <w:r w:rsidR="005867B7" w:rsidRPr="00624D56">
        <w:rPr>
          <w:rFonts w:ascii="Times New Roman" w:hAnsi="Times New Roman" w:cs="Times New Roman"/>
          <w:sz w:val="28"/>
          <w:szCs w:val="28"/>
        </w:rPr>
        <w:t>д</w:t>
      </w:r>
      <w:r w:rsidRPr="00624D56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624D56">
        <w:rPr>
          <w:rFonts w:ascii="Times New Roman" w:hAnsi="Times New Roman" w:cs="Times New Roman"/>
          <w:sz w:val="28"/>
          <w:szCs w:val="28"/>
        </w:rPr>
        <w:t xml:space="preserve"> є здійснення правосуддя на засадах верховенства права, забезпечуючи кожному право на справедливий суд та повагу до інших прав і свобод, гарантованих Конституцією і законами України. </w:t>
      </w:r>
    </w:p>
    <w:p w:rsidR="004A2AC8" w:rsidRPr="00624D56" w:rsidRDefault="004A2AC8" w:rsidP="006441BD">
      <w:p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D56">
        <w:rPr>
          <w:rFonts w:ascii="Times New Roman" w:hAnsi="Times New Roman" w:cs="Times New Roman"/>
          <w:sz w:val="28"/>
          <w:szCs w:val="28"/>
          <w:lang w:eastAsia="ar-SA"/>
        </w:rPr>
        <w:t xml:space="preserve">Місцеві </w:t>
      </w:r>
      <w:r w:rsidR="004A3234" w:rsidRPr="00624D56">
        <w:rPr>
          <w:rFonts w:ascii="Times New Roman" w:hAnsi="Times New Roman" w:cs="Times New Roman"/>
          <w:sz w:val="28"/>
          <w:szCs w:val="28"/>
          <w:lang w:eastAsia="ar-SA"/>
        </w:rPr>
        <w:t xml:space="preserve">загальні </w:t>
      </w:r>
      <w:r w:rsidRPr="00624D56">
        <w:rPr>
          <w:rFonts w:ascii="Times New Roman" w:hAnsi="Times New Roman" w:cs="Times New Roman"/>
          <w:sz w:val="28"/>
          <w:szCs w:val="28"/>
          <w:lang w:eastAsia="ar-SA"/>
        </w:rPr>
        <w:t xml:space="preserve">суди Івано-Франківської області </w:t>
      </w:r>
      <w:r w:rsidRPr="00624D56">
        <w:rPr>
          <w:rFonts w:ascii="Times New Roman" w:hAnsi="Times New Roman" w:cs="Times New Roman"/>
          <w:sz w:val="28"/>
          <w:szCs w:val="28"/>
        </w:rPr>
        <w:t>є судами першої інстанції, які розглядають цивільні, кримінальні, адміністративні справи, а також справи про адміністративні правопорушення у випадках та порядку, передбачених процесуальним законодавством.</w:t>
      </w:r>
    </w:p>
    <w:p w:rsidR="00DB66B5" w:rsidRPr="00624D56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Періодами статистичного спостереження здійснення правосуддя місцевими загальними</w:t>
      </w:r>
      <w:r w:rsidRPr="00624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судами Івано-Франківської області (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далі суди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) є 20</w:t>
      </w:r>
      <w:r w:rsidR="00DB58F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31EC8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20</w:t>
      </w:r>
      <w:r w:rsidR="004A2AC8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31EC8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роки.</w:t>
      </w:r>
    </w:p>
    <w:p w:rsidR="005A6760" w:rsidRPr="00624D56" w:rsidRDefault="005A6760" w:rsidP="005A67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202</w:t>
      </w:r>
      <w:r w:rsidR="00F5012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загальна штатна чисельність суддів Івано-Франківської області становить 104 судді, фактична чисельність</w:t>
      </w:r>
      <w:r w:rsidR="00894EB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судів, які здійснюють правосуддя</w:t>
      </w:r>
      <w:r w:rsidR="00F5012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91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3311C" w:rsidRPr="00624D56" w:rsidRDefault="00391F87" w:rsidP="005867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даними статистичних звітів </w:t>
      </w:r>
      <w:r w:rsidR="00DB66B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судів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фор</w:t>
      </w:r>
      <w:r w:rsidR="00DA37B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№ 1-к,</w:t>
      </w:r>
      <w:r w:rsidR="0023767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1-ц,</w:t>
      </w:r>
      <w:r w:rsidR="0023767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1-а,</w:t>
      </w:r>
      <w:r w:rsidR="0023767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1-п, </w:t>
      </w:r>
      <w:r w:rsidR="00DA37B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1-мзс,</w:t>
      </w:r>
      <w:r w:rsidR="0023767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FD1023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ЛТ</w:t>
      </w:r>
      <w:r w:rsidR="000D42D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, 1-</w:t>
      </w:r>
      <w:r w:rsidR="00FD1023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ЄЗ</w:t>
      </w:r>
      <w:r w:rsidR="00DB66B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усього</w:t>
      </w:r>
      <w:r w:rsidR="000857C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5012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</w:t>
      </w:r>
      <w:r w:rsidR="00DB66B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надійшло </w:t>
      </w:r>
      <w:r w:rsidR="000D42D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5012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4143</w:t>
      </w:r>
      <w:r w:rsidR="0002656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6B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</w:t>
      </w:r>
      <w:r w:rsidR="00F5012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B66B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матеріал</w:t>
      </w:r>
      <w:r w:rsidR="00F5012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B66B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7B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DB66B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B66B5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DB58F6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F50129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DB66B5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</w:t>
      </w:r>
      <w:r w:rsidR="00DB66B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5012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76940</w:t>
      </w:r>
      <w:r w:rsidR="00DB66B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). За даний період спостерігається т</w:t>
      </w:r>
      <w:r w:rsidR="004F0E6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енденція до </w:t>
      </w:r>
      <w:r w:rsidR="000D42D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5012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r w:rsidR="004F0E6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</w:t>
      </w:r>
      <w:r w:rsidR="002852C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F0E6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на </w:t>
      </w:r>
      <w:r w:rsidR="001565A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012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797</w:t>
      </w:r>
      <w:r w:rsidR="00405C1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</w:t>
      </w:r>
      <w:r w:rsidR="00DB66B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Динаміку цих надходжень відображають показники, наведені в </w:t>
      </w:r>
      <w:r w:rsidR="006441BD" w:rsidRPr="00624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DB66B5" w:rsidRPr="00624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аблиці №1.</w:t>
      </w:r>
    </w:p>
    <w:p w:rsidR="00DB66B5" w:rsidRPr="00624D56" w:rsidRDefault="00DB66B5" w:rsidP="0033311C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Таблиця №1</w:t>
      </w:r>
    </w:p>
    <w:tbl>
      <w:tblPr>
        <w:tblW w:w="5000" w:type="pct"/>
        <w:tblLook w:val="01E0"/>
      </w:tblPr>
      <w:tblGrid>
        <w:gridCol w:w="748"/>
        <w:gridCol w:w="3731"/>
        <w:gridCol w:w="1194"/>
        <w:gridCol w:w="1045"/>
        <w:gridCol w:w="1045"/>
        <w:gridCol w:w="2091"/>
      </w:tblGrid>
      <w:tr w:rsidR="008B77D4" w:rsidRPr="00624D56" w:rsidTr="00C410F6">
        <w:trPr>
          <w:trHeight w:val="1469"/>
          <w:tblHeader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6B5" w:rsidRPr="00624D56" w:rsidRDefault="00DB66B5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6B5" w:rsidRPr="00624D56" w:rsidRDefault="005734FA" w:rsidP="005734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Надходження справ </w:t>
            </w:r>
            <w:r w:rsidR="0041132C" w:rsidRPr="00624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і матеріалів </w:t>
            </w:r>
            <w:r w:rsidRPr="00624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 місцевих загальних судів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CA" w:rsidRPr="00624D56" w:rsidRDefault="001B34E1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</w:p>
          <w:p w:rsidR="00DB66B5" w:rsidRPr="00624D56" w:rsidRDefault="00B26BE7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рік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6B5" w:rsidRPr="00624D56" w:rsidRDefault="00B26BE7" w:rsidP="001B34E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1B34E1" w:rsidRPr="00624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624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рік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6B5" w:rsidRPr="00624D56" w:rsidRDefault="00DB66B5" w:rsidP="001B34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B26BE7" w:rsidRPr="00624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1B34E1" w:rsidRPr="00624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624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рік у порівнянні до  20</w:t>
            </w:r>
            <w:r w:rsidR="00162662" w:rsidRPr="00624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1B34E1" w:rsidRPr="00624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17026E" w:rsidRPr="00624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24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року</w:t>
            </w:r>
          </w:p>
        </w:tc>
      </w:tr>
      <w:tr w:rsidR="005867B7" w:rsidRPr="00624D56" w:rsidTr="00C410F6">
        <w:trPr>
          <w:trHeight w:val="555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CA" w:rsidRPr="00624D56" w:rsidRDefault="00E24ACA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CA" w:rsidRPr="00624D56" w:rsidRDefault="00E24ACA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Кримінальн</w:t>
            </w:r>
            <w:r w:rsidR="0041132C" w:rsidRPr="0062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судочинство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CA" w:rsidRPr="00624D56" w:rsidRDefault="00E24ACA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Усього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CA" w:rsidRPr="00624D56" w:rsidRDefault="00984A9F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22969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CA" w:rsidRPr="00624D56" w:rsidRDefault="00984A9F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22840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CA" w:rsidRPr="00624D56" w:rsidRDefault="00913105" w:rsidP="00984A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  <w:r w:rsidR="00984A9F" w:rsidRPr="00624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129</w:t>
            </w:r>
          </w:p>
        </w:tc>
      </w:tr>
      <w:tr w:rsidR="005867B7" w:rsidRPr="00624D56" w:rsidTr="00C410F6">
        <w:trPr>
          <w:trHeight w:val="810"/>
        </w:trPr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ACA" w:rsidRPr="00624D56" w:rsidRDefault="00E24ACA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ACA" w:rsidRPr="00624D56" w:rsidRDefault="00E24ACA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CA" w:rsidRPr="00624D56" w:rsidRDefault="00E24ACA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 тому числі справ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CA" w:rsidRPr="00624D56" w:rsidRDefault="00984A9F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CA" w:rsidRPr="00624D56" w:rsidRDefault="00984A9F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CA" w:rsidRPr="00624D56" w:rsidRDefault="00984A9F" w:rsidP="006441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-20</w:t>
            </w:r>
          </w:p>
        </w:tc>
      </w:tr>
      <w:tr w:rsidR="008B77D4" w:rsidRPr="00624D56" w:rsidTr="00C410F6">
        <w:trPr>
          <w:trHeight w:val="300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CA" w:rsidRPr="00624D56" w:rsidRDefault="00E24ACA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0F6" w:rsidRPr="00624D56" w:rsidRDefault="00E24ACA" w:rsidP="00C410F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Цивільн</w:t>
            </w:r>
            <w:r w:rsidR="0041132C" w:rsidRPr="0062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2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1132C" w:rsidRPr="0062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судочинство</w:t>
            </w:r>
          </w:p>
          <w:p w:rsidR="00E24ACA" w:rsidRPr="00624D56" w:rsidRDefault="00E24ACA" w:rsidP="00C410F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CA" w:rsidRPr="00624D56" w:rsidRDefault="00E24ACA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Усього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CA" w:rsidRPr="00624D56" w:rsidRDefault="00913105" w:rsidP="00984A9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984A9F" w:rsidRPr="0062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CA" w:rsidRPr="00624D56" w:rsidRDefault="00984A9F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29742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CA" w:rsidRPr="00624D56" w:rsidRDefault="00984A9F" w:rsidP="006441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-441</w:t>
            </w:r>
          </w:p>
        </w:tc>
      </w:tr>
      <w:tr w:rsidR="008B77D4" w:rsidRPr="00624D56" w:rsidTr="00C410F6">
        <w:trPr>
          <w:trHeight w:val="240"/>
        </w:trPr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ACA" w:rsidRPr="00624D56" w:rsidRDefault="00E24ACA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ACA" w:rsidRPr="00624D56" w:rsidRDefault="00E24ACA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CA" w:rsidRPr="00624D56" w:rsidRDefault="00E24ACA" w:rsidP="0033311C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У тому числі </w:t>
            </w:r>
            <w:r w:rsidRPr="00624D5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справ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CA" w:rsidRPr="00624D56" w:rsidRDefault="00984A9F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19630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CA" w:rsidRPr="00624D56" w:rsidRDefault="00984A9F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15919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CA" w:rsidRPr="00624D56" w:rsidRDefault="00913105" w:rsidP="00984A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  <w:r w:rsidR="00984A9F" w:rsidRPr="00624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3711</w:t>
            </w:r>
          </w:p>
        </w:tc>
      </w:tr>
      <w:tr w:rsidR="008B77D4" w:rsidRPr="00624D56" w:rsidTr="00C410F6">
        <w:trPr>
          <w:trHeight w:val="360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EE" w:rsidRPr="00624D56" w:rsidRDefault="009F2AEE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EE" w:rsidRPr="00624D56" w:rsidRDefault="009F2AEE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Адміністративн</w:t>
            </w:r>
            <w:r w:rsidR="0041132C" w:rsidRPr="0062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судочинство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EE" w:rsidRPr="00624D56" w:rsidRDefault="009F2AEE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Усього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EE" w:rsidRPr="00624D56" w:rsidRDefault="00984A9F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EE" w:rsidRPr="00624D56" w:rsidRDefault="00984A9F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EE" w:rsidRPr="00624D56" w:rsidRDefault="00984A9F" w:rsidP="006441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-115</w:t>
            </w:r>
          </w:p>
        </w:tc>
      </w:tr>
      <w:tr w:rsidR="008B77D4" w:rsidRPr="00624D56" w:rsidTr="00C410F6">
        <w:trPr>
          <w:trHeight w:val="180"/>
        </w:trPr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ACA" w:rsidRPr="00624D56" w:rsidRDefault="00E24ACA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ACA" w:rsidRPr="00624D56" w:rsidRDefault="00E24ACA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CA" w:rsidRPr="00624D56" w:rsidRDefault="00E24ACA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 тому числі справ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CA" w:rsidRPr="00624D56" w:rsidRDefault="00984A9F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CA" w:rsidRPr="00624D56" w:rsidRDefault="00800190" w:rsidP="00984A9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84A9F" w:rsidRPr="0062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CA" w:rsidRPr="00624D56" w:rsidRDefault="00984A9F" w:rsidP="006441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-83</w:t>
            </w:r>
          </w:p>
        </w:tc>
      </w:tr>
      <w:tr w:rsidR="008B77D4" w:rsidRPr="00624D56" w:rsidTr="00C410F6">
        <w:trPr>
          <w:trHeight w:val="450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CA" w:rsidRPr="00624D56" w:rsidRDefault="00E24ACA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CA" w:rsidRPr="00624D56" w:rsidRDefault="00E24ACA" w:rsidP="0012100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Справи про адміністративні правопорушення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CA" w:rsidRPr="00624D56" w:rsidRDefault="00E24ACA" w:rsidP="00644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Усього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CA" w:rsidRPr="00624D56" w:rsidRDefault="00984A9F" w:rsidP="00984A9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21354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CA" w:rsidRPr="00624D56" w:rsidRDefault="00984A9F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23724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CA" w:rsidRPr="00624D56" w:rsidRDefault="00984A9F" w:rsidP="006441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-2370</w:t>
            </w:r>
          </w:p>
        </w:tc>
      </w:tr>
      <w:tr w:rsidR="008B77D4" w:rsidRPr="00624D56" w:rsidTr="00C410F6">
        <w:trPr>
          <w:trHeight w:val="1268"/>
        </w:trPr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ACA" w:rsidRPr="00624D56" w:rsidRDefault="00E24ACA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ACA" w:rsidRPr="00624D56" w:rsidRDefault="00E24ACA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CA" w:rsidRPr="00624D56" w:rsidRDefault="00E24ACA" w:rsidP="006441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 тому числі справ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CA" w:rsidRPr="00624D56" w:rsidRDefault="00984A9F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21044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CA" w:rsidRPr="00624D56" w:rsidRDefault="00984A9F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23477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ACA" w:rsidRPr="00624D56" w:rsidRDefault="00984A9F" w:rsidP="006441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-2433</w:t>
            </w:r>
          </w:p>
        </w:tc>
      </w:tr>
      <w:tr w:rsidR="008B77D4" w:rsidRPr="00624D56" w:rsidTr="00C410F6">
        <w:trPr>
          <w:trHeight w:val="422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EE" w:rsidRPr="00624D56" w:rsidRDefault="0041132C" w:rsidP="006441B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AEE" w:rsidRPr="00624D56" w:rsidRDefault="009F2AEE" w:rsidP="006441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AEE" w:rsidRPr="00624D56" w:rsidRDefault="009F2AEE" w:rsidP="006441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AEE" w:rsidRPr="00624D56" w:rsidRDefault="00984A9F" w:rsidP="006441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74143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AEE" w:rsidRPr="00624D56" w:rsidRDefault="00984A9F" w:rsidP="006441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76940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AEE" w:rsidRPr="00624D56" w:rsidRDefault="00984A9F" w:rsidP="006441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-2797</w:t>
            </w:r>
          </w:p>
        </w:tc>
      </w:tr>
    </w:tbl>
    <w:p w:rsidR="0033311C" w:rsidRPr="00624D56" w:rsidRDefault="0033311C" w:rsidP="00E37FD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2A84" w:rsidRPr="00624D56" w:rsidRDefault="004454C8" w:rsidP="00E37F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hAnsi="Times New Roman" w:cs="Times New Roman"/>
          <w:b/>
          <w:sz w:val="28"/>
          <w:szCs w:val="28"/>
        </w:rPr>
        <w:t>2.</w:t>
      </w:r>
      <w:r w:rsidR="00111B1C" w:rsidRPr="00624D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2A84" w:rsidRPr="00624D56">
        <w:rPr>
          <w:rFonts w:ascii="Times New Roman" w:hAnsi="Times New Roman" w:cs="Times New Roman"/>
          <w:b/>
          <w:sz w:val="28"/>
          <w:szCs w:val="28"/>
        </w:rPr>
        <w:t xml:space="preserve">Показники надходження та </w:t>
      </w:r>
      <w:r w:rsidR="00B52A84" w:rsidRPr="00624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розгляд</w:t>
      </w:r>
      <w:r w:rsidR="00237675" w:rsidRPr="00624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B52A84" w:rsidRPr="00624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судових справ кримінального </w:t>
      </w:r>
      <w:r w:rsidR="00783ADC" w:rsidRPr="00624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судочинства</w:t>
      </w:r>
      <w:r w:rsidR="00B52A8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66B5" w:rsidRPr="00624D56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провадженні судів першої інстанції у звітному періоді знаходилось на розгляді </w:t>
      </w:r>
      <w:r w:rsidR="002B5E9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5461</w:t>
      </w:r>
      <w:r w:rsidR="004F787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</w:t>
      </w:r>
      <w:r w:rsidR="002B5E9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провадж</w:t>
      </w:r>
      <w:r w:rsidR="000B3B3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2B5E9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нового процесуального кодексу України. За старим КПК у судах перебувало </w:t>
      </w:r>
      <w:r w:rsidR="002B5E9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кримінальних </w:t>
      </w:r>
      <w:r w:rsidR="0087598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B66B5" w:rsidRPr="00624D56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Отже, протягом 20</w:t>
      </w:r>
      <w:r w:rsidR="004D17C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D3DE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D17C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у провадженні судів перебувало (з урахуванням залишку на початку року) </w:t>
      </w:r>
      <w:r w:rsidR="00A45F96" w:rsidRPr="00624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D3DEB" w:rsidRPr="00624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470</w:t>
      </w:r>
      <w:r w:rsidRPr="00624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кримінальн</w:t>
      </w:r>
      <w:r w:rsidR="00D006A1" w:rsidRPr="00624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</w:t>
      </w:r>
      <w:r w:rsidRPr="00624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справ, проваджень.</w:t>
      </w:r>
    </w:p>
    <w:p w:rsidR="00DB66B5" w:rsidRPr="00624D56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20</w:t>
      </w:r>
      <w:r w:rsidR="004D17C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D3DE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9765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закінчено </w:t>
      </w:r>
      <w:r w:rsidR="001D3DE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3038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</w:t>
      </w:r>
      <w:r w:rsidR="000F05E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0B3B3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проваджен</w:t>
      </w:r>
      <w:r w:rsidR="000F05E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яких </w:t>
      </w:r>
      <w:r w:rsidR="001D3DE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2076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 </w:t>
      </w:r>
      <w:r w:rsidR="001D3DE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="00444B6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3DE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F4D1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% розг</w:t>
      </w:r>
      <w:r w:rsidR="0033777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лянуто з постановленням вироку</w:t>
      </w:r>
      <w:r w:rsidR="00C4528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3777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02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937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 </w:t>
      </w:r>
      <w:r w:rsidR="007B702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B2300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B702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F4D1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із закриттям провадження, </w:t>
      </w:r>
      <w:r w:rsidR="00CD3E71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або </w:t>
      </w:r>
      <w:r w:rsidR="00D563B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0,2 % – </w:t>
      </w:r>
      <w:r w:rsidR="00B50A4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r w:rsidR="00CD3E71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застосування примусових заходів медичного характеру, 3 </w:t>
      </w:r>
      <w:r w:rsidR="00D563B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 0,09 % – </w:t>
      </w:r>
      <w:r w:rsidR="00B50A4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r w:rsidR="00CD3E71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застосування примусових заходів виховного характеру, 1</w:t>
      </w:r>
      <w:r w:rsidR="0032040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D3E71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3B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 0,4 % – </w:t>
      </w:r>
      <w:r w:rsidR="0032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CD3E71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r w:rsidR="0032040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підсудності</w:t>
      </w:r>
      <w:r w:rsidR="00CD3E71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 відображено в </w:t>
      </w:r>
      <w:r w:rsidR="005867B7" w:rsidRPr="00624D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</w:t>
      </w:r>
      <w:r w:rsidRPr="00624D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іаграмі № 1.</w:t>
      </w:r>
    </w:p>
    <w:p w:rsidR="00E83970" w:rsidRPr="00624D56" w:rsidRDefault="00E83970" w:rsidP="006441BD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35EB7" w:rsidRPr="00624D56" w:rsidRDefault="00A35EB7" w:rsidP="006441BD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35EB7" w:rsidRPr="00624D56" w:rsidRDefault="00A35EB7" w:rsidP="006441BD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10F6" w:rsidRPr="00624D56" w:rsidRDefault="00C410F6" w:rsidP="006441BD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311C" w:rsidRPr="00624D56" w:rsidRDefault="0033311C" w:rsidP="006441BD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B66B5" w:rsidRPr="00624D56" w:rsidRDefault="00DB66B5" w:rsidP="006441BD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Діаграма №1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2100B" w:rsidRPr="00624D56" w:rsidRDefault="002A4FD3" w:rsidP="006B4CBA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Кількість р</w:t>
      </w:r>
      <w:r w:rsidR="00DB66B5"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озгля</w:t>
      </w:r>
      <w:r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нутих</w:t>
      </w:r>
      <w:r w:rsidR="00DB66B5"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кримінальних </w:t>
      </w:r>
      <w:r w:rsidR="00AB365F"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проваджень</w:t>
      </w:r>
      <w:r w:rsidR="0012100B" w:rsidRPr="00624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C0B14" w:rsidRPr="00624D56" w:rsidRDefault="00146248" w:rsidP="006B4CBA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76835</wp:posOffset>
            </wp:positionV>
            <wp:extent cx="6057900" cy="4670425"/>
            <wp:effectExtent l="19050" t="0" r="19050" b="0"/>
            <wp:wrapTopAndBottom/>
            <wp:docPr id="1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DB66B5" w:rsidRPr="00624D56" w:rsidRDefault="000F52D0" w:rsidP="007C3C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9C7C4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У структурі розглянутих кримінальних проваджень переважують злочини проти життя та здоров'я особи, які становлять 815 (818 –</w:t>
      </w:r>
      <w:r w:rsidR="009C7C4B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2023 рік</w:t>
      </w:r>
      <w:r w:rsidR="009C7C4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проваджень або 26,8 % </w:t>
      </w:r>
      <w:r w:rsidR="009C7C4B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(26 % </w:t>
      </w:r>
      <w:r w:rsidR="009C7C4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C7C4B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2023 рік)</w:t>
      </w:r>
      <w:r w:rsidR="009C7C4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загальної кількості справ, провадження яких закінчено. Більша половина злочинів проти життя та здоров'я особи </w:t>
      </w:r>
      <w:r w:rsidR="007C3CC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C4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C3CC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C4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558 проваджень або 68,4 % – це умисне легке тілесне ушкодження</w:t>
      </w:r>
      <w:r w:rsidR="00DB66B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11C" w:rsidRPr="00624D56" w:rsidRDefault="00DB66B5" w:rsidP="009C7C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Значну кількість кримінальних проваджень, які розглянуто, становлять</w:t>
      </w:r>
      <w:r w:rsidR="0059218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злочини проти життя та здоров’я особи – </w:t>
      </w:r>
      <w:r w:rsidR="002200D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="00BC134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218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81B2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BC134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,8</w:t>
      </w:r>
      <w:r w:rsidR="002222E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18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%),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 власності –</w:t>
      </w:r>
      <w:r w:rsidR="000F4D1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EF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BC134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638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C134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2222E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</w:t>
      </w:r>
      <w:r w:rsidR="00745311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 безпеки руху та експлуатації транспорту 2</w:t>
      </w:r>
      <w:r w:rsidR="009233D3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C134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45311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</w:t>
      </w:r>
      <w:r w:rsidR="00BC134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7,9 </w:t>
      </w:r>
      <w:r w:rsidR="00745311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у сфері наркотичних засобів</w:t>
      </w:r>
      <w:r w:rsidR="008F6731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C134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403</w:t>
      </w:r>
      <w:r w:rsidR="008F6731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E3943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2222E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E3943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134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731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%),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731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</w:t>
      </w:r>
      <w:r w:rsidR="00A45F9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 національної</w:t>
      </w:r>
      <w:r w:rsidR="008F6731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безпеки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3B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r w:rsidR="009C1FA8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720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222E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28F1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0720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828F1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C6DF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28F1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40720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 відображено в </w:t>
      </w:r>
      <w:r w:rsidR="00E16129" w:rsidRPr="00624D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</w:t>
      </w:r>
      <w:r w:rsidRPr="00624D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іаграмі № 2</w:t>
      </w:r>
      <w:r w:rsidRPr="00624D5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1162A0" w:rsidRPr="00624D56" w:rsidRDefault="001162A0" w:rsidP="009C7C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6248" w:rsidRPr="00624D56" w:rsidRDefault="00146248" w:rsidP="006441BD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6248" w:rsidRPr="00624D56" w:rsidRDefault="00146248" w:rsidP="006441BD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B66B5" w:rsidRPr="00624D56" w:rsidRDefault="00DB66B5" w:rsidP="006441BD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Діаграма №2</w:t>
      </w:r>
    </w:p>
    <w:p w:rsidR="00DB66B5" w:rsidRPr="00624D56" w:rsidRDefault="00404FAB" w:rsidP="00955AED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Стан</w:t>
      </w:r>
      <w:r w:rsidR="00CD4F6E"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955AED"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="00DB66B5"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озгля</w:t>
      </w:r>
      <w:r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ду</w:t>
      </w:r>
      <w:r w:rsidR="00DB66B5"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кримінальних </w:t>
      </w:r>
      <w:r w:rsidR="00531F20"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проваджень</w:t>
      </w:r>
      <w:r w:rsidR="00DB66B5"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BF062C" w:rsidRPr="00624D56" w:rsidRDefault="009B3353" w:rsidP="0012100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307340</wp:posOffset>
            </wp:positionV>
            <wp:extent cx="6120130" cy="2917825"/>
            <wp:effectExtent l="19050" t="0" r="13970" b="0"/>
            <wp:wrapTopAndBottom/>
            <wp:docPr id="1909411717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DB66B5" w:rsidRPr="00624D56" w:rsidRDefault="00DB66B5" w:rsidP="006441B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CB0" w:rsidRPr="00624D56" w:rsidRDefault="00D513B2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F6108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</w:t>
      </w:r>
      <w:r w:rsidR="00F50CB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судів надійшло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6108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F50CB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F50CB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проваджен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F50CB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 основ національної безпеки України. Із них</w:t>
      </w:r>
      <w:r w:rsidR="00444D8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6108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444D8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EC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44D8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посягання територіальн</w:t>
      </w:r>
      <w:r w:rsidR="00C9672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444D8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</w:t>
      </w:r>
      <w:r w:rsidR="00C9672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ість</w:t>
      </w:r>
      <w:r w:rsidR="00444D8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недоторка</w:t>
      </w:r>
      <w:r w:rsidR="00643FE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9672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ість </w:t>
      </w:r>
      <w:r w:rsidR="00444D8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України,</w:t>
      </w:r>
      <w:r w:rsidR="005A676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08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61AD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EC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50CB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1AD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дії спрямовані на насильницьку зміну чи повалення конституційного ладу або на захоплення державної влади, </w:t>
      </w:r>
      <w:r w:rsidR="00544BC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F6108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F50CB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державна зрада</w:t>
      </w:r>
      <w:r w:rsidR="00961AD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108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961AD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EC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61AD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61AD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колабораційна</w:t>
      </w:r>
      <w:proofErr w:type="spellEnd"/>
      <w:r w:rsidR="00961AD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діяльність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3C78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–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пособництво державі</w:t>
      </w:r>
      <w:r w:rsidR="00CF7E2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агресора</w:t>
      </w:r>
      <w:r w:rsidR="00D93C78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7450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C78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93C78" w:rsidRPr="00624D56">
        <w:t xml:space="preserve"> </w:t>
      </w:r>
      <w:r w:rsidR="00D93C78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фінансування дій, вчинених з метою насильницької зміни чи повалення конституційного ладу або захоплення державної влади</w:t>
      </w:r>
      <w:r w:rsidR="00E420F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зміни меж території або державного кордону України</w:t>
      </w:r>
      <w:r w:rsidR="00D93C78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93C78" w:rsidRPr="00624D56">
        <w:t xml:space="preserve">  </w:t>
      </w:r>
      <w:r w:rsidR="00CF7E2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12 – перешкоджання законній діяльності Збройних Сил України та інших військових формувань,</w:t>
      </w:r>
      <w:r w:rsidR="00CF7E2F" w:rsidRPr="00624D56">
        <w:t xml:space="preserve"> </w:t>
      </w:r>
      <w:r w:rsidR="00543A9B" w:rsidRPr="00624D56">
        <w:t xml:space="preserve">                                      </w:t>
      </w:r>
      <w:r w:rsidR="00CF7E2F" w:rsidRPr="00624D56">
        <w:rPr>
          <w:rFonts w:ascii="Times New Roman" w:hAnsi="Times New Roman" w:cs="Times New Roman"/>
          <w:sz w:val="28"/>
          <w:szCs w:val="28"/>
        </w:rPr>
        <w:t xml:space="preserve">1 </w:t>
      </w:r>
      <w:r w:rsidR="00CF7E2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F7E2F" w:rsidRPr="00624D56">
        <w:t xml:space="preserve"> </w:t>
      </w:r>
      <w:r w:rsidR="00CF7E2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несанкціоноване поширення інформації про направлення, переміщення зброї, озброєння, боєприпасів в Україну, рух, переміщення або розміщення ЗСУ чи інших утворених відповідно до ЗУ військових формувань, вчинене в умовах воєнного або надзвичайного</w:t>
      </w:r>
      <w:r w:rsidR="00D11521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</w:t>
      </w:r>
      <w:r w:rsidR="00CF7E2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3FD" w:rsidRPr="00624D56" w:rsidRDefault="00F50CB0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Значну кількість</w:t>
      </w:r>
      <w:r w:rsidR="00E1457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проваджень,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57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що знаходились на розгляді в 202</w:t>
      </w:r>
      <w:r w:rsidR="00C809C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1457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із урахування залишку 202</w:t>
      </w:r>
      <w:r w:rsidR="00C809C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1457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року,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становлять провадження проти встановленого порядку</w:t>
      </w:r>
      <w:r w:rsidR="00E1457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несення військової служби </w:t>
      </w:r>
      <w:r w:rsidR="006E7EC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9C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245</w:t>
      </w:r>
      <w:r w:rsidR="00444D8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. У 202</w:t>
      </w:r>
      <w:r w:rsidR="004A271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44D8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</w:t>
      </w:r>
      <w:r w:rsidR="006E7EC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44D8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9C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148</w:t>
      </w:r>
      <w:r w:rsidR="00444D8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проваджень. Ухилення від військової служби становить </w:t>
      </w:r>
      <w:r w:rsidR="008B707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809C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2028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809C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44D8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проваджен</w:t>
      </w:r>
      <w:r w:rsidR="00C809C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444D8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, із них:</w:t>
      </w:r>
      <w:r w:rsidR="004A46F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BC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C809C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216</w:t>
      </w:r>
      <w:r w:rsidR="006E7EC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444D8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самовільне залишення військової частини</w:t>
      </w:r>
      <w:r w:rsidR="00E420F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 місця служби</w:t>
      </w:r>
      <w:r w:rsidR="00444D8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44BC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C809C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4A46F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EC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7450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D8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дезертирство. </w:t>
      </w:r>
    </w:p>
    <w:p w:rsidR="00DC1C1D" w:rsidRPr="00624D56" w:rsidRDefault="00DC1C1D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81A" w:rsidRPr="00624D56" w:rsidRDefault="00444D8D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Кримінальні пр</w:t>
      </w:r>
      <w:r w:rsidR="006564C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авопорушення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 миру, безпеки людства та міжнародного правопорядку</w:t>
      </w:r>
      <w:r w:rsidR="00BB181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F276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1262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B181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, із них</w:t>
      </w:r>
      <w:r w:rsidR="002459D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2 – </w:t>
      </w:r>
      <w:r w:rsidR="00BB181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виготовлення, поширення комуністичної, нацистської</w:t>
      </w:r>
      <w:r w:rsidR="0063256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символіки та пропаганди комуністичного та націонал</w:t>
      </w:r>
      <w:r w:rsidR="001112D3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3256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соціалістичного тоталітарних режимів</w:t>
      </w:r>
      <w:r w:rsidR="002B4C0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459D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– </w:t>
      </w:r>
      <w:proofErr w:type="spellStart"/>
      <w:r w:rsidR="002B4C0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виправдовування</w:t>
      </w:r>
      <w:proofErr w:type="spellEnd"/>
      <w:r w:rsidR="002B4C0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визнання правомірною, заперечення збройної агресії </w:t>
      </w:r>
      <w:r w:rsidR="00955AE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B4C0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осійської </w:t>
      </w:r>
      <w:r w:rsidR="00955AE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B4C0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едерації проти України, </w:t>
      </w:r>
      <w:proofErr w:type="spellStart"/>
      <w:r w:rsidR="002B4C0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глорифікація</w:t>
      </w:r>
      <w:proofErr w:type="spellEnd"/>
      <w:r w:rsidR="002B4C0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її учасників</w:t>
      </w:r>
      <w:r w:rsidR="002459D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66B5" w:rsidRPr="00624D56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20</w:t>
      </w:r>
      <w:r w:rsidR="004D17C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2E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 розгляді в судах перебувал</w:t>
      </w:r>
      <w:r w:rsidR="000857C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2E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кримінальних проваджень </w:t>
      </w:r>
      <w:r w:rsidR="009A61A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злочини щодо легалізації (відмивання) доходів</w:t>
      </w:r>
      <w:r w:rsidR="006C1768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(ВК)</w:t>
      </w:r>
      <w:r w:rsidR="009A61A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одержаних злочинним шляхом, фінансування тероризму</w:t>
      </w:r>
      <w:r w:rsidR="006C1768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(ФТ)</w:t>
      </w:r>
      <w:r w:rsidR="009A61A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розповсюдження зброї масового знищення </w:t>
      </w:r>
      <w:r w:rsidR="00761EF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 20</w:t>
      </w:r>
      <w:r w:rsidR="00836EE5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B502E5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році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F276B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27</w:t>
      </w:r>
      <w:r w:rsidR="00761EF0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. Із них</w:t>
      </w:r>
      <w:r w:rsidR="006C1768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502E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BC6B9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E8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проваджень щодо </w:t>
      </w:r>
      <w:r w:rsidR="00D9086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BC6B9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="00BC6B9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A74F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</w:t>
      </w:r>
      <w:r w:rsidR="002A74F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ють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залишку станом на </w:t>
      </w:r>
      <w:r w:rsidR="00761EF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січня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9765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6B9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9765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46B7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46B7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66B5" w:rsidRPr="00624D56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У 20</w:t>
      </w:r>
      <w:r w:rsidR="004D17C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6B9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в судах перебувало на розгляді </w:t>
      </w:r>
      <w:r w:rsidR="00BC6B9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</w:t>
      </w:r>
      <w:r w:rsidR="00E641C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проваджен</w:t>
      </w:r>
      <w:r w:rsidR="00917F0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</w:t>
      </w:r>
      <w:r w:rsidR="00BC6B9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164</w:t>
      </w:r>
      <w:r w:rsidR="00761EF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осіб, які скоїли злочини у складі організованої групи. Розглянуто</w:t>
      </w:r>
      <w:r w:rsidR="006C784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11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BC6B9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кримінальних проваджень</w:t>
      </w:r>
      <w:r w:rsidR="004C4E3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76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C6B9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осіб визнано такими, що скоїли злочини у складі організованої групи.</w:t>
      </w:r>
    </w:p>
    <w:p w:rsidR="00DB66B5" w:rsidRPr="00624D56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вироками, що набрали і не набрали на кінець звітного періоду законної сили, засуджено (з урахуванням статей 69,</w:t>
      </w:r>
      <w:r w:rsidR="00FC16A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70,</w:t>
      </w:r>
      <w:r w:rsidR="00FC16A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71 КК України) до різних видів покарання </w:t>
      </w:r>
      <w:r w:rsidR="00AF276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6B9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BC6B92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2285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</w:t>
      </w:r>
      <w:r w:rsidR="00836EE5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BC6B92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="0077702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Загальна кількість виправданих становить </w:t>
      </w:r>
      <w:r w:rsidR="00790B1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C6B9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</w:t>
      </w:r>
      <w:r w:rsidR="004C4E3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</w:p>
    <w:p w:rsidR="00DB66B5" w:rsidRPr="00624D56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результатами судового розгляду кримінальних проваджень звільнено з-під варти із залу судового засідання </w:t>
      </w:r>
      <w:r w:rsidR="001730A3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взято під варту </w:t>
      </w:r>
      <w:r w:rsidR="00AF276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</w:t>
      </w:r>
      <w:r w:rsidR="00AF276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</w:p>
    <w:p w:rsidR="00DB66B5" w:rsidRPr="00624D56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Станом на 1 січня 20</w:t>
      </w:r>
      <w:r w:rsidR="0049765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730A3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залишилося нерозглянутими </w:t>
      </w:r>
      <w:r w:rsidR="00CD1BE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730A3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432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836EE5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1730A3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214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</w:t>
      </w:r>
      <w:r w:rsidR="00836EE5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1730A3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кримінальних проваджень від загального числа тих, що перебували в провадженні судів упродовж звітного періоду.</w:t>
      </w:r>
    </w:p>
    <w:p w:rsidR="007E03E6" w:rsidRPr="00624D56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Слід зазначити, що не розглянуто проваджень понад 6 місяців до 1 року – </w:t>
      </w:r>
      <w:r w:rsidR="001730A3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понад 1 рік до 2 років – </w:t>
      </w:r>
      <w:r w:rsidR="001730A3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246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понад 2 роки – </w:t>
      </w:r>
      <w:r w:rsidR="00AF276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730A3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1E9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783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</w:t>
      </w:r>
      <w:r w:rsidR="009A1A9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проваджен</w:t>
      </w:r>
      <w:r w:rsidR="009A1A9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зупинено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20</w:t>
      </w:r>
      <w:r w:rsidR="0006185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FD1E9F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році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D1E9F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568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E1612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іаграмі № 3.</w:t>
      </w:r>
    </w:p>
    <w:p w:rsidR="009B3353" w:rsidRPr="00624D56" w:rsidRDefault="009B3353" w:rsidP="006441BD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B3353" w:rsidRPr="00624D56" w:rsidRDefault="009B3353" w:rsidP="006441BD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B3353" w:rsidRPr="00624D56" w:rsidRDefault="009B3353" w:rsidP="006441BD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311C" w:rsidRPr="00624D56" w:rsidRDefault="0033311C" w:rsidP="006441BD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311C" w:rsidRPr="00624D56" w:rsidRDefault="0033311C" w:rsidP="006441BD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B66B5" w:rsidRPr="00624D56" w:rsidRDefault="00DB66B5" w:rsidP="006441BD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Діаграма №3</w:t>
      </w:r>
    </w:p>
    <w:p w:rsidR="004454C8" w:rsidRPr="00624D56" w:rsidRDefault="009B3353" w:rsidP="006441BD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561975</wp:posOffset>
            </wp:positionV>
            <wp:extent cx="6126480" cy="2987675"/>
            <wp:effectExtent l="19050" t="0" r="26670" b="3175"/>
            <wp:wrapTopAndBottom/>
            <wp:docPr id="1309531531" name="Діагра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6A2CE5"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</w:t>
      </w:r>
      <w:r w:rsidR="00DB66B5"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Кількість не розглянутих </w:t>
      </w:r>
      <w:r w:rsidR="00AB365F"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проваджень</w:t>
      </w:r>
      <w:r w:rsidR="00DB66B5"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 кінець </w:t>
      </w:r>
      <w:r w:rsidR="00F4335F"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звітного</w:t>
      </w:r>
      <w:r w:rsidR="00DB66B5"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періоду</w:t>
      </w:r>
    </w:p>
    <w:p w:rsidR="004454C8" w:rsidRPr="00624D56" w:rsidRDefault="004454C8" w:rsidP="00E16129">
      <w:pPr>
        <w:tabs>
          <w:tab w:val="left" w:pos="414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A84" w:rsidRPr="00624D56" w:rsidRDefault="004454C8" w:rsidP="00E37F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D56">
        <w:rPr>
          <w:rFonts w:ascii="Times New Roman" w:hAnsi="Times New Roman" w:cs="Times New Roman"/>
          <w:b/>
          <w:sz w:val="28"/>
          <w:szCs w:val="28"/>
        </w:rPr>
        <w:t>3.</w:t>
      </w:r>
      <w:r w:rsidR="00B52A84" w:rsidRPr="00624D56">
        <w:rPr>
          <w:rFonts w:ascii="Times New Roman" w:hAnsi="Times New Roman" w:cs="Times New Roman"/>
          <w:sz w:val="28"/>
          <w:szCs w:val="28"/>
        </w:rPr>
        <w:t xml:space="preserve"> </w:t>
      </w:r>
      <w:r w:rsidR="00B52A84" w:rsidRPr="00624D56">
        <w:rPr>
          <w:rFonts w:ascii="Times New Roman" w:hAnsi="Times New Roman" w:cs="Times New Roman"/>
          <w:b/>
          <w:sz w:val="28"/>
          <w:szCs w:val="28"/>
        </w:rPr>
        <w:t xml:space="preserve">Показники надходження та </w:t>
      </w:r>
      <w:r w:rsidR="00B52A84" w:rsidRPr="00624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розгляд</w:t>
      </w:r>
      <w:r w:rsidR="00FC16AB" w:rsidRPr="00624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B52A84" w:rsidRPr="00624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судових </w:t>
      </w:r>
      <w:r w:rsidR="00955AED" w:rsidRPr="00624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034DE1" w:rsidRPr="00624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 </w:t>
      </w:r>
      <w:r w:rsidR="00B52A84" w:rsidRPr="00624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цивільного </w:t>
      </w:r>
      <w:r w:rsidR="00B56E9F" w:rsidRPr="00624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судочинства</w:t>
      </w:r>
      <w:r w:rsidR="00B52A84" w:rsidRPr="00624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91907" w:rsidRPr="00624D56" w:rsidRDefault="00A84A70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У 202</w:t>
      </w:r>
      <w:r w:rsidR="00F23EF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в </w:t>
      </w:r>
      <w:r w:rsidR="005D3C5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місцевих судах </w:t>
      </w:r>
      <w:r w:rsidR="00FC16A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розглянуто</w:t>
      </w:r>
      <w:r w:rsidR="005D3C5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EF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734</w:t>
      </w:r>
      <w:r w:rsidR="00E641C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E3A2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23EF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11095</w:t>
      </w:r>
      <w:r w:rsidR="003E7F71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E3A2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23EF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E3A2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рік)</w:t>
      </w:r>
      <w:r w:rsidR="005D3C5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 про видачу судового наказу. </w:t>
      </w:r>
      <w:r w:rsidR="001D535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r w:rsidR="005D3C5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</w:t>
      </w:r>
      <w:r w:rsidR="001D535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D3C5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35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5280 </w:t>
      </w:r>
      <w:r w:rsidR="005D3C5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видано судових наказів, </w:t>
      </w:r>
      <w:r w:rsidR="001D535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2003 – </w:t>
      </w:r>
      <w:r w:rsidR="005D3C5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відмовлено у видачі судового наказу</w:t>
      </w:r>
      <w:r w:rsidR="007062A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64 – </w:t>
      </w:r>
      <w:r w:rsidR="0048660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повернуто</w:t>
      </w:r>
      <w:r w:rsidR="005D3C5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190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Сума грошових коштів, яка пред’явлена для стягнення складає </w:t>
      </w:r>
      <w:r w:rsidR="00F23EF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96826635</w:t>
      </w:r>
      <w:r w:rsidR="0049190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грн., а підлягає стягненню </w:t>
      </w:r>
      <w:r w:rsidR="00F23EF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78328540</w:t>
      </w:r>
      <w:r w:rsidR="0049190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 </w:t>
      </w:r>
    </w:p>
    <w:p w:rsidR="005D3C5C" w:rsidRPr="00624D56" w:rsidRDefault="00491907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Найбільшу кількість становлять: стягнення заборгованості за оплату житлово-комунальних послуг, телекомунікаційних послуг, послуг телебачення та радіомовлення з урахуванням індексу інфляції та трьох</w:t>
      </w:r>
      <w:r w:rsidR="005D3C5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відсотків річних </w:t>
      </w:r>
      <w:r w:rsidR="00980B6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перерахованих заявником на суму заборгованості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D7BD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22181772</w:t>
      </w:r>
      <w:r w:rsidR="009E3A2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D7BD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48873881</w:t>
      </w:r>
      <w:r w:rsidR="00A0174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828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0174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E3A2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D7BD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E3A2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рік)</w:t>
      </w:r>
      <w:r w:rsidR="008C0121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3C5C" w:rsidRPr="00624D56" w:rsidRDefault="005D3C5C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 розглянутих судових заяв про скасування судового</w:t>
      </w:r>
      <w:r w:rsidR="0031417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</w:t>
      </w:r>
      <w:r w:rsidR="002920B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4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316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90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1404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49190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B1404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них:</w:t>
      </w:r>
      <w:r w:rsidR="0049190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4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9190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 заяви повер</w:t>
      </w:r>
      <w:r w:rsidR="007658C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F3453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r w:rsidR="006F73B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9190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4024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267</w:t>
      </w:r>
      <w:r w:rsidR="007062A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судових наказів скасовано, 7 залишено без роз</w:t>
      </w:r>
      <w:r w:rsidR="003133F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062A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ляду</w:t>
      </w:r>
      <w:r w:rsidR="0049190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B66B5" w:rsidRPr="00624D56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У 20</w:t>
      </w:r>
      <w:r w:rsidR="004D17C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A02B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368D1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році в провадженні судів перебувало </w:t>
      </w:r>
      <w:r w:rsidR="000A02B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19060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A02BD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15778</w:t>
      </w:r>
      <w:r w:rsidR="00045828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</w:t>
      </w:r>
      <w:r w:rsidR="0006185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0A02BD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B26F19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рік )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 </w:t>
      </w:r>
      <w:r w:rsidRPr="00624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позовного провадження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на</w:t>
      </w:r>
      <w:r w:rsidR="004D6C8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7C3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3282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CE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="0085233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ше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, ніж у попередньому періоді.</w:t>
      </w:r>
    </w:p>
    <w:p w:rsidR="00DC1C1D" w:rsidRPr="00624D56" w:rsidRDefault="00DC1C1D" w:rsidP="00FD0BF6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E4E" w:rsidRPr="00624D56" w:rsidRDefault="00DB66B5" w:rsidP="00FD0BF6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Загальна кількість справ, провадження яких закінчено, склала </w:t>
      </w:r>
      <w:r w:rsidR="003546C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E5723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3825</w:t>
      </w:r>
      <w:r w:rsidR="00B6229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723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3E5723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11721</w:t>
      </w:r>
      <w:r w:rsidR="00546614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E246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06185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3E5723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яких: </w:t>
      </w:r>
      <w:r w:rsidR="006A79E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E5723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2099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3E5723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10194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</w:t>
      </w:r>
      <w:r w:rsidR="0006185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3E5723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розглянуто </w:t>
      </w:r>
      <w:r w:rsidR="00802A7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ухваленням рішення, (із них </w:t>
      </w:r>
      <w:r w:rsidR="00E6676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задоволенням позову – </w:t>
      </w:r>
      <w:r w:rsidR="003E5723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11438</w:t>
      </w:r>
      <w:r w:rsidR="00AD085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D0852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9576 </w:t>
      </w:r>
      <w:r w:rsidR="00AD085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D0852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2023 рік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8020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76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3E5723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635</w:t>
      </w:r>
      <w:r w:rsidR="00E6676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E5723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511</w:t>
      </w:r>
      <w:r w:rsidR="00045828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45828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06185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3E5723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F308E1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рік)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76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закриттям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</w:t>
      </w:r>
      <w:r w:rsidR="00E6676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ня у справі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6A79E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E5723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3E5723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933</w:t>
      </w:r>
      <w:r w:rsidR="00045828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</w:t>
      </w:r>
      <w:r w:rsidR="0006185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3E5723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із залишенням заяви без розгляду; </w:t>
      </w:r>
      <w:r w:rsidR="00B6229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723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109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3E5723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79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</w:t>
      </w:r>
      <w:r w:rsidR="0006185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3E5723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6A79EC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рік) </w:t>
      </w:r>
      <w:r w:rsidR="0013491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</w:t>
      </w:r>
      <w:r w:rsidR="0064655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передано за підсудністю в інші суди, </w:t>
      </w:r>
      <w:r w:rsidR="00103823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C7D9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D95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(4 </w:t>
      </w:r>
      <w:r w:rsidR="00103823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="004C7D95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2023 рік)</w:t>
      </w:r>
      <w:r w:rsidR="004C7D9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3823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інше;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 відображено в </w:t>
      </w:r>
      <w:r w:rsidR="006441BD" w:rsidRPr="00624D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</w:t>
      </w:r>
      <w:r w:rsidRPr="00624D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іаграмі № 4</w:t>
      </w:r>
      <w:r w:rsidR="00E37FD7" w:rsidRPr="00624D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F87658" w:rsidRPr="00624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13981" w:rsidRDefault="00D13981" w:rsidP="00CA3E4E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3E4E" w:rsidRPr="00624D56" w:rsidRDefault="00CA3E4E" w:rsidP="00CA3E4E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Діаграма №4</w:t>
      </w:r>
    </w:p>
    <w:p w:rsidR="00CA3E4E" w:rsidRPr="00624D56" w:rsidRDefault="00CA3E4E" w:rsidP="00CA3E4E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Кількість розглянутих проваджень на кінець звітного періоду</w:t>
      </w:r>
    </w:p>
    <w:p w:rsidR="00CC0B14" w:rsidRPr="00624D56" w:rsidRDefault="00DB1640" w:rsidP="00B62296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681902" cy="3024161"/>
            <wp:effectExtent l="19050" t="0" r="14048" b="4789"/>
            <wp:docPr id="3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125B4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100C75" w:rsidRPr="00624D56" w:rsidRDefault="00DB66B5" w:rsidP="00B62296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 розглянутих у 20</w:t>
      </w:r>
      <w:r w:rsidR="00034DE1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7DD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– </w:t>
      </w:r>
      <w:r w:rsidR="00017DD2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13825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r w:rsidR="00017DD2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11721</w:t>
      </w:r>
      <w:r w:rsidR="00B62296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</w:t>
      </w:r>
      <w:r w:rsidR="0006185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017DD2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578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</w:t>
      </w:r>
      <w:r w:rsidR="00AC591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найбільшу кількість становлять спори</w:t>
      </w:r>
      <w:r w:rsidR="005D65B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виникають із сімейних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відносин – </w:t>
      </w:r>
      <w:r w:rsidR="00D5533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017DD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5533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017DD2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6034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229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06185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017DD2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; із право</w:t>
      </w:r>
      <w:r w:rsidR="004D6C8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чинів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17DD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4739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D5533B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980B6F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2F1ADF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87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06185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2F1ADF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4D6C8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із відносин спадкування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F1AD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1158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2F1ADF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961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06185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2F1ADF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відображено в </w:t>
      </w:r>
      <w:r w:rsidR="00554FA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Діаграмі 5.</w:t>
      </w:r>
    </w:p>
    <w:p w:rsidR="00147AD5" w:rsidRPr="00624D56" w:rsidRDefault="00147AD5" w:rsidP="00170969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AD5" w:rsidRPr="00624D56" w:rsidRDefault="00147AD5" w:rsidP="00170969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AD5" w:rsidRPr="00624D56" w:rsidRDefault="00147AD5" w:rsidP="00170969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AD5" w:rsidRPr="00624D56" w:rsidRDefault="00147AD5" w:rsidP="00170969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AD5" w:rsidRPr="00624D56" w:rsidRDefault="00147AD5" w:rsidP="00170969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AD5" w:rsidRPr="00624D56" w:rsidRDefault="00147AD5" w:rsidP="00170969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AD5" w:rsidRPr="00624D56" w:rsidRDefault="00147AD5" w:rsidP="00170969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0B14" w:rsidRPr="00624D56" w:rsidRDefault="00CC0B14" w:rsidP="00170969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00C75" w:rsidRPr="00624D56" w:rsidRDefault="00DB66B5" w:rsidP="00170969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Діаграма №5</w:t>
      </w:r>
    </w:p>
    <w:p w:rsidR="00100C75" w:rsidRPr="00624D56" w:rsidRDefault="00170969" w:rsidP="00100C75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Кількість розглянутих справ позовного провадження</w:t>
      </w:r>
      <w:r w:rsidR="00100C75" w:rsidRPr="00624D56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344330</wp:posOffset>
            </wp:positionV>
            <wp:extent cx="6120765" cy="3288665"/>
            <wp:effectExtent l="19050" t="0" r="13335" b="6985"/>
            <wp:wrapTopAndBottom/>
            <wp:docPr id="1808032373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CC0B14" w:rsidRPr="00624D56" w:rsidRDefault="00CC0B14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726" w:rsidRPr="00624D56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20</w:t>
      </w:r>
      <w:r w:rsidR="004D17C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758F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в судах перебувало </w:t>
      </w:r>
      <w:r w:rsidR="0054661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758F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3058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</w:t>
      </w:r>
      <w:r w:rsidR="005758FD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2398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06185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5758FD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400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 </w:t>
      </w:r>
      <w:r w:rsidRPr="00624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окремого провадження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. Із них розглянуто</w:t>
      </w:r>
      <w:r w:rsidR="0054661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758F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2139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0400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</w:t>
      </w:r>
      <w:r w:rsidR="000E251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ухваленням рішення </w:t>
      </w:r>
      <w:r w:rsidR="0054661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0055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758F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810</w:t>
      </w:r>
      <w:r w:rsidR="000E251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020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60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</w:t>
      </w:r>
      <w:r w:rsidR="00B0400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задоволенням </w:t>
      </w:r>
      <w:r w:rsidR="000E251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 </w:t>
      </w:r>
      <w:r w:rsidR="0054661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758F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1748</w:t>
      </w:r>
      <w:r w:rsidR="00167DF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7AD5" w:rsidRPr="00624D56">
        <w:t xml:space="preserve"> </w:t>
      </w:r>
      <w:r w:rsidR="00147AD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передано в інші суди – 6, із закриттям провадження у справі – 27, із залишенням заяви без розгляду – 295,</w:t>
      </w:r>
      <w:r w:rsidR="00167DF2" w:rsidRPr="00624D56">
        <w:t xml:space="preserve"> </w:t>
      </w:r>
      <w:r w:rsidR="00A63D69" w:rsidRPr="00624D56">
        <w:rPr>
          <w:rFonts w:ascii="Times New Roman" w:hAnsi="Times New Roman" w:cs="Times New Roman"/>
          <w:sz w:val="28"/>
          <w:szCs w:val="28"/>
        </w:rPr>
        <w:t xml:space="preserve">інше </w:t>
      </w:r>
      <w:r w:rsidR="00A63D6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–1, Н</w:t>
      </w:r>
      <w:r w:rsidR="00167DF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ерозглянутих справ на кінець звітного періоду – 919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B66B5" w:rsidRPr="00624D56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 окремого провадження судами у звітному періоді розглянуто </w:t>
      </w:r>
      <w:r w:rsidR="0054661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1763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2139</w:t>
      </w:r>
      <w:r w:rsidR="00A8020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проваджен</w:t>
      </w:r>
      <w:r w:rsidR="000A783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9358A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06185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51763B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867</w:t>
      </w:r>
      <w:r w:rsidR="0049765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</w:t>
      </w:r>
      <w:r w:rsidR="0006185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51763B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Із них найбільшу кількість становлять справи про встановлення фактів, що мають юридичне значення – </w:t>
      </w:r>
      <w:r w:rsidR="00753AC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1763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231</w:t>
      </w:r>
      <w:r w:rsidR="00F308E1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51763B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1085</w:t>
      </w:r>
      <w:r w:rsidR="0049765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</w:t>
      </w:r>
      <w:r w:rsidR="0006185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51763B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 </w:t>
      </w:r>
      <w:r w:rsidR="00B3149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1763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7,5</w:t>
      </w:r>
      <w:r w:rsidR="00F308E1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  <w:r w:rsidR="00B6229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28B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обмеження цивільної дієздатності фізичної особи, визнання фізичної особи недієздатною та поновлення цивільної дієздатності фізичної особи – </w:t>
      </w:r>
      <w:r w:rsidR="0051763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515</w:t>
      </w:r>
      <w:r w:rsidR="002828B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28BB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51763B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381</w:t>
      </w:r>
      <w:r w:rsidR="002828BB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828B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828BB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</w:t>
      </w:r>
      <w:r w:rsidR="0051763B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2828BB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</w:t>
      </w:r>
      <w:r w:rsidR="002828B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 </w:t>
      </w:r>
      <w:r w:rsidR="00B3149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1763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828B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%; справи про </w:t>
      </w:r>
      <w:r w:rsidR="0002061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усиновлення</w:t>
      </w:r>
      <w:r w:rsidR="002828B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51763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160</w:t>
      </w:r>
      <w:r w:rsidR="002828B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 </w:t>
      </w:r>
      <w:r w:rsidR="0051763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7,4</w:t>
      </w:r>
      <w:r w:rsidR="002828B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2828BB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51763B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158</w:t>
      </w:r>
      <w:r w:rsidR="002828B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828BB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</w:t>
      </w:r>
      <w:r w:rsidR="0051763B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9922D6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828BB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рік)</w:t>
      </w:r>
      <w:r w:rsidR="00955AED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справи, що виникають із сімейних </w:t>
      </w:r>
      <w:r w:rsidR="001454F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</w:t>
      </w:r>
      <w:r w:rsidR="003936A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ідн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осин – </w:t>
      </w:r>
      <w:r w:rsidR="0051763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465004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51763B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</w:t>
      </w:r>
      <w:r w:rsidR="0006185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51763B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рік)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 </w:t>
      </w:r>
      <w:r w:rsidR="0051763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 w:rsidR="002828B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753AC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справи про надання </w:t>
      </w:r>
      <w:r w:rsidR="00B1404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особі </w:t>
      </w:r>
      <w:r w:rsidR="00753AC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психіатричної допомоги у примусовому порядку – </w:t>
      </w:r>
      <w:r w:rsidR="0051763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753AC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3ACF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51763B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52</w:t>
      </w:r>
      <w:r w:rsidR="00753ACF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53AC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53ACF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</w:t>
      </w:r>
      <w:r w:rsidR="0051763B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 </w:t>
      </w:r>
      <w:r w:rsidR="00753ACF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рік) </w:t>
      </w:r>
      <w:r w:rsidR="00753AC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r w:rsidR="00B3149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63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2,2</w:t>
      </w:r>
      <w:r w:rsidR="00753AC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DB66B5" w:rsidRPr="00624D56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Судами розглянуто </w:t>
      </w:r>
      <w:r w:rsidR="0046500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160</w:t>
      </w:r>
      <w:r w:rsidR="00C0249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61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</w:t>
      </w:r>
      <w:r w:rsidR="0046500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усиновлення дітей, в тому числі із ухваленням рішення – </w:t>
      </w:r>
      <w:r w:rsidR="00753AC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51763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них </w:t>
      </w:r>
      <w:r w:rsidR="007F56F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53AC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46500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задоволено. Із числа задоволених рішень по усиновленню </w:t>
      </w:r>
      <w:r w:rsidR="0051763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204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F34AC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итини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3A5A9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B1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тому числі </w:t>
      </w:r>
      <w:r w:rsidR="0051763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91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</w:t>
      </w:r>
      <w:r w:rsidR="009D07C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1763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31B1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3CCA" w:rsidRPr="00624D56" w:rsidRDefault="007C3CCA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6B5" w:rsidRPr="00624D56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справах </w:t>
      </w:r>
      <w:r w:rsidR="005A08C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цивільного судочинства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відкладено </w:t>
      </w:r>
      <w:r w:rsidR="00AA12A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розгляд та не закінчено провадження на кінець звітного періоду </w:t>
      </w:r>
      <w:r w:rsidR="00FD0BF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C53C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254</w:t>
      </w:r>
      <w:r w:rsidR="00B82C9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753ACF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8C53C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812</w:t>
      </w:r>
      <w:r w:rsidR="00623400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</w:t>
      </w:r>
      <w:r w:rsidR="0006185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8C53C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61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проваджень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Із них найбільшу кількість становлять: через неявку </w:t>
      </w:r>
      <w:r w:rsidR="00C0249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з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 процесу</w:t>
      </w:r>
      <w:r w:rsidR="00B1404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беруть участь у справі</w:t>
      </w:r>
      <w:r w:rsidR="007F56F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C53C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753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8C53C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479</w:t>
      </w:r>
      <w:r w:rsidR="007F56F7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</w:t>
      </w:r>
      <w:r w:rsidR="0006185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8C53C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4D17CD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рік) в тому числі: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невручення судових повісток – </w:t>
      </w:r>
      <w:r w:rsidR="008C53C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82C9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8C53C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72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06185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8C53C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рік),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</w:t>
      </w:r>
      <w:r w:rsidR="00674ED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підстав</w:t>
      </w:r>
      <w:r w:rsidR="00674ED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E714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C6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53C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666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8C53C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407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2340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06185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8C53C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</w:t>
      </w:r>
      <w:r w:rsidR="004F0E6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D31D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інших учасників процесу – </w:t>
      </w:r>
      <w:r w:rsidR="008C53C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2A71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8C53C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</w:t>
      </w:r>
      <w:r w:rsidR="0006185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8C53C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4C7D95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рік),</w:t>
      </w:r>
      <w:r w:rsidR="00DE2E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C7D9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 причини</w:t>
      </w:r>
      <w:r w:rsidR="004C7D95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C7D9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13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1792 (</w:t>
      </w:r>
      <w:r w:rsidR="00FD2EE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1327 –</w:t>
      </w:r>
      <w:r w:rsidR="00D13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D9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2023 рік).</w:t>
      </w:r>
    </w:p>
    <w:p w:rsidR="00DB66B5" w:rsidRPr="00624D56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20</w:t>
      </w:r>
      <w:r w:rsidR="004D17C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0314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кількість справ, які відкладено понад 6 місяців до </w:t>
      </w:r>
      <w:r w:rsidR="00B6229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року становить </w:t>
      </w:r>
      <w:r w:rsidR="0054661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B631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0314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503149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308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</w:t>
      </w:r>
      <w:r w:rsidR="0006185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503149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61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</w:t>
      </w:r>
      <w:r w:rsidR="00AD0C0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понад 1 рік до 2 років – </w:t>
      </w:r>
      <w:r w:rsidR="0050314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204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503149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96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20</w:t>
      </w:r>
      <w:r w:rsidR="0006185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F2427C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61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проваджень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понад 2 роки – </w:t>
      </w:r>
      <w:r w:rsidR="00CB631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F2427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F2427C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167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20</w:t>
      </w:r>
      <w:r w:rsidR="0006185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F2427C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AC54A2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рік)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61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</w:t>
      </w:r>
      <w:r w:rsidR="00AD0C0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3981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кінець звітного періоду залишились нерозглянутими </w:t>
      </w:r>
      <w:r w:rsidR="00EC5EB8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6154</w:t>
      </w:r>
      <w:r w:rsidR="006214E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61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</w:t>
      </w:r>
      <w:r w:rsidR="000A783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позовного та окремого (без урахування клопотань) або </w:t>
      </w:r>
      <w:r w:rsidR="00C765B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5EB8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7,8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від усіх, що перебували в провадженні протягом 20</w:t>
      </w:r>
      <w:r w:rsidR="0013734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5EB8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20</w:t>
      </w:r>
      <w:r w:rsidR="0006185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EC5EB8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06185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році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E63D2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650969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EC5EB8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650969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FE63D2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%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0C53" w:rsidRPr="00624D56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Слід зазначити, що </w:t>
      </w:r>
      <w:r w:rsidR="00EC5EB8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178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61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</w:t>
      </w:r>
      <w:r w:rsidR="004E2383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 </w:t>
      </w:r>
      <w:r w:rsidR="00C36A5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розглянуто</w:t>
      </w:r>
      <w:r w:rsidR="0082227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яких порушено терміни розгляду, встановлені ЦПК України.</w:t>
      </w:r>
    </w:p>
    <w:p w:rsidR="00CC0B14" w:rsidRPr="00624D56" w:rsidRDefault="00CC0B14" w:rsidP="00E37FD7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6B5" w:rsidRPr="00624D56" w:rsidRDefault="00956735" w:rsidP="00E37FD7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B52A84" w:rsidRPr="00624D56">
        <w:rPr>
          <w:rFonts w:ascii="Times New Roman" w:hAnsi="Times New Roman" w:cs="Times New Roman"/>
          <w:sz w:val="28"/>
          <w:szCs w:val="28"/>
        </w:rPr>
        <w:t xml:space="preserve"> </w:t>
      </w:r>
      <w:r w:rsidR="00B52A84" w:rsidRPr="00624D56">
        <w:rPr>
          <w:rFonts w:ascii="Times New Roman" w:hAnsi="Times New Roman" w:cs="Times New Roman"/>
          <w:b/>
          <w:sz w:val="28"/>
          <w:szCs w:val="28"/>
        </w:rPr>
        <w:t xml:space="preserve">Показники надходження та </w:t>
      </w:r>
      <w:r w:rsidR="00B52A84" w:rsidRPr="00624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розгляд</w:t>
      </w:r>
      <w:r w:rsidR="00955AED" w:rsidRPr="00624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B52A84" w:rsidRPr="00624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судових справ адміністративного </w:t>
      </w:r>
      <w:r w:rsidR="00B62296" w:rsidRPr="00624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судочинства</w:t>
      </w:r>
      <w:r w:rsidR="00B52A84" w:rsidRPr="00624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36215F" w:rsidRPr="00624D56" w:rsidRDefault="00DB66B5" w:rsidP="0036215F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20</w:t>
      </w:r>
      <w:r w:rsidR="0013734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F52E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у судах перебувало </w:t>
      </w:r>
      <w:r w:rsidR="00BF52E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489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6839B9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BF52EC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86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20</w:t>
      </w:r>
      <w:r w:rsidR="0006185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BF52EC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адміністративни</w:t>
      </w:r>
      <w:r w:rsidR="00955AED" w:rsidRPr="00624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Pr="00624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позов</w:t>
      </w:r>
      <w:r w:rsidR="00955AED" w:rsidRPr="00624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Із них розглянуто – </w:t>
      </w:r>
      <w:r w:rsidR="00BF52E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475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повернуто –</w:t>
      </w:r>
      <w:r w:rsidR="009E246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52E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відмовлено у відкритті провадження – </w:t>
      </w:r>
      <w:r w:rsidR="00BF52E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відкрито провадження </w:t>
      </w:r>
      <w:r w:rsidR="009F3C0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F218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52E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398</w:t>
      </w:r>
      <w:r w:rsidR="00A85D3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F3C0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інше –</w:t>
      </w:r>
      <w:r w:rsidR="00806111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3C0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20. З</w:t>
      </w:r>
      <w:r w:rsidR="00A85D3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алишок адміністративних позовів</w:t>
      </w:r>
      <w:r w:rsidR="00F34AC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14</w:t>
      </w:r>
      <w:r w:rsidR="001E016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відображено в</w:t>
      </w:r>
      <w:r w:rsidR="005566B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5566B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Діаграм</w:t>
      </w:r>
      <w:r w:rsidR="001E016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і №</w:t>
      </w:r>
      <w:r w:rsidR="005566B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</w:t>
      </w:r>
    </w:p>
    <w:p w:rsidR="00CC0B14" w:rsidRPr="00624D56" w:rsidRDefault="00CC0B14" w:rsidP="0017096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0B14" w:rsidRPr="00624D56" w:rsidRDefault="00CC0B14" w:rsidP="0017096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0B14" w:rsidRPr="00624D56" w:rsidRDefault="00CC0B14" w:rsidP="0017096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0B14" w:rsidRPr="00624D56" w:rsidRDefault="00CC0B14" w:rsidP="0017096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0B14" w:rsidRPr="00624D56" w:rsidRDefault="00CC0B14" w:rsidP="0017096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0B14" w:rsidRPr="00624D56" w:rsidRDefault="00CC0B14" w:rsidP="0017096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0B14" w:rsidRPr="00624D56" w:rsidRDefault="00CC0B14" w:rsidP="0017096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0B14" w:rsidRPr="00624D56" w:rsidRDefault="00CC0B14" w:rsidP="0017096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0B14" w:rsidRPr="00624D56" w:rsidRDefault="00CC0B14" w:rsidP="0017096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00C75" w:rsidRPr="00624D56" w:rsidRDefault="0036215F" w:rsidP="0017096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Діаграма №6</w:t>
      </w:r>
    </w:p>
    <w:p w:rsidR="00170969" w:rsidRPr="00624D56" w:rsidRDefault="00100C75" w:rsidP="0017096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324485</wp:posOffset>
            </wp:positionV>
            <wp:extent cx="6126480" cy="3362325"/>
            <wp:effectExtent l="19050" t="0" r="26670" b="0"/>
            <wp:wrapTopAndBottom/>
            <wp:docPr id="681306806" name="Діагра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F84C82" w:rsidRPr="00624D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Кількість </w:t>
      </w:r>
      <w:r w:rsidR="00170969" w:rsidRPr="00624D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розгля</w:t>
      </w:r>
      <w:r w:rsidR="00F84C82" w:rsidRPr="00624D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нутих</w:t>
      </w:r>
      <w:r w:rsidR="00170969" w:rsidRPr="00624D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адміністративних позовних заяв</w:t>
      </w:r>
    </w:p>
    <w:p w:rsidR="006B6935" w:rsidRPr="00624D56" w:rsidRDefault="006B6935" w:rsidP="00363C30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750" w:rsidRPr="00624D56" w:rsidRDefault="00DB66B5" w:rsidP="00363C30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Протягом року на розгляді в судах перебувало </w:t>
      </w:r>
      <w:r w:rsidR="00B42AD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6783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88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адміністративних </w:t>
      </w:r>
      <w:r w:rsidR="0054661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</w:t>
      </w:r>
      <w:r w:rsidR="00A3116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із них розглянуто – </w:t>
      </w:r>
      <w:r w:rsidR="002B797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6783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61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</w:t>
      </w:r>
      <w:r w:rsidR="0056783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404106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56783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64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673A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1071D1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56783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рік). </w:t>
      </w:r>
      <w:r w:rsidR="000E2F23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 нерозглянутих на кінець звітного періоду – 99 проваджень</w:t>
      </w:r>
      <w:r w:rsidR="0071775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3D3C" w:rsidRPr="00624D56" w:rsidRDefault="00DB66B5" w:rsidP="00363C30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Найбільшу кількість </w:t>
      </w:r>
      <w:r w:rsidR="0071775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розглянутих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становлять: </w:t>
      </w:r>
      <w:r w:rsidR="00F8288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397</w:t>
      </w:r>
      <w:r w:rsidR="001A710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 </w:t>
      </w:r>
      <w:r w:rsidR="00CB2C6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="00F8288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2C6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36A5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56783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419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</w:t>
      </w:r>
      <w:r w:rsidR="001071D1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56783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C69A8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проваджень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спорів з приводу забезпечення громадського порядку та безпеки;</w:t>
      </w:r>
      <w:r w:rsidR="005B268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національної безпеки</w:t>
      </w:r>
      <w:r w:rsidR="00B51FE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268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C6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457C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 </w:t>
      </w:r>
      <w:r w:rsidR="00CB2C6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783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2C6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457C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3457CB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404106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B51FE4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3457CB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457C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457CB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</w:t>
      </w:r>
      <w:r w:rsidR="0037548F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3457CB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 </w:t>
      </w:r>
      <w:r w:rsidR="003457C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проваджень</w:t>
      </w:r>
      <w:r w:rsidR="00CB2C6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захисту політичних (крім виборчих) та громадянських прав</w:t>
      </w:r>
      <w:r w:rsidR="003457C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2C6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 </w:t>
      </w:r>
      <w:r w:rsidR="00CB2C6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1,6</w:t>
      </w:r>
      <w:r w:rsidR="00FF24C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FC308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04106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B51FE4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- 20</w:t>
      </w:r>
      <w:r w:rsidR="001071D1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AB75E9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C69A8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</w:t>
      </w:r>
      <w:r w:rsidR="004E2383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5545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C6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з приводу регулюванню містобудівної діяльності та землекористування</w:t>
      </w:r>
      <w:r w:rsidR="00B51FE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3C3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D0DEF" w:rsidRPr="00624D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</w:t>
      </w:r>
      <w:r w:rsidRPr="00624D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іаграм</w:t>
      </w:r>
      <w:r w:rsidR="001E016F" w:rsidRPr="00624D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і</w:t>
      </w:r>
      <w:r w:rsidRPr="00624D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№</w:t>
      </w:r>
      <w:r w:rsidR="005566B4" w:rsidRPr="00624D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</w:t>
      </w:r>
      <w:r w:rsidRPr="00624D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33311C" w:rsidRPr="00624D56" w:rsidRDefault="0033311C" w:rsidP="006441BD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311C" w:rsidRPr="00624D56" w:rsidRDefault="0033311C" w:rsidP="006441BD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311C" w:rsidRPr="00624D56" w:rsidRDefault="0033311C" w:rsidP="006441BD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311C" w:rsidRPr="00624D56" w:rsidRDefault="0033311C" w:rsidP="006441BD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311C" w:rsidRPr="00624D56" w:rsidRDefault="0033311C" w:rsidP="006441BD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0B14" w:rsidRPr="00624D56" w:rsidRDefault="00CC0B14" w:rsidP="006441BD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0B14" w:rsidRPr="00624D56" w:rsidRDefault="00CC0B14" w:rsidP="006441BD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0B14" w:rsidRPr="00624D56" w:rsidRDefault="00CC0B14" w:rsidP="006441BD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0B14" w:rsidRPr="00624D56" w:rsidRDefault="00CC0B14" w:rsidP="006441BD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B66B5" w:rsidRPr="00624D56" w:rsidRDefault="00DB66B5" w:rsidP="006441BD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Діаграма №</w:t>
      </w:r>
      <w:r w:rsidR="005566B4"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</w:t>
      </w:r>
    </w:p>
    <w:p w:rsidR="009C303E" w:rsidRPr="00624D56" w:rsidRDefault="00D976E4" w:rsidP="0033311C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Кількість розглянутих </w:t>
      </w:r>
      <w:r w:rsidR="00DB66B5"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адміністративн</w:t>
      </w:r>
      <w:r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их</w:t>
      </w:r>
      <w:r w:rsidR="00DB66B5"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0532A9"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проваджень</w:t>
      </w:r>
      <w:r w:rsidR="009B3353" w:rsidRPr="00624D56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307975</wp:posOffset>
            </wp:positionV>
            <wp:extent cx="6120765" cy="3284220"/>
            <wp:effectExtent l="19050" t="0" r="13335" b="0"/>
            <wp:wrapTopAndBottom/>
            <wp:docPr id="332274454" name="Діагра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E71E87" w:rsidRPr="00624D56" w:rsidRDefault="00E71E87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6B5" w:rsidRPr="00624D56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13734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A167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розглянуто </w:t>
      </w:r>
      <w:r w:rsidR="001450C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A167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 адміністративного провадження, </w:t>
      </w:r>
      <w:r w:rsidR="006F364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них: </w:t>
      </w:r>
      <w:r w:rsidR="004A167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381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із прийняттям постанови (із задоволенням позову – </w:t>
      </w:r>
      <w:r w:rsidR="00DA473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A167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із закриттям провадження у справі – </w:t>
      </w:r>
      <w:r w:rsidR="004A167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4FF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залишенням заяви без розгляду – </w:t>
      </w:r>
      <w:r w:rsidR="004A167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передано в інші суди – </w:t>
      </w:r>
      <w:r w:rsidR="004A167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DB66B5" w:rsidRPr="00624D56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Залишилось нерозглянутих на кінець 20</w:t>
      </w:r>
      <w:r w:rsidR="0018704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A167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r w:rsidR="004A167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 w:rsidR="005F1D8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 адміністративного провадження, із них – </w:t>
      </w:r>
      <w:r w:rsidR="004A167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проваджен</w:t>
      </w:r>
      <w:r w:rsidR="004A167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</w:t>
      </w:r>
      <w:r w:rsidR="004A167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зупинено.</w:t>
      </w:r>
    </w:p>
    <w:p w:rsidR="00DB66B5" w:rsidRPr="00624D56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справах адміністративного провадження відкладено </w:t>
      </w:r>
      <w:r w:rsidR="00A84BA1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розгляд та не закінчено провадження на кінець звітного періоду – </w:t>
      </w:r>
      <w:r w:rsidR="001450C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A167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4A1677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57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- 20</w:t>
      </w:r>
      <w:r w:rsidR="001071D1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4A1677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</w:t>
      </w:r>
      <w:r w:rsidR="0039371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61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проваджень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1064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Основними причинами відкладення адміністративних </w:t>
      </w:r>
      <w:r w:rsidR="00546614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проваджень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 неявка одн</w:t>
      </w:r>
      <w:r w:rsidR="00BF0C6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з учасників процесу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беруть участь у справі – </w:t>
      </w:r>
      <w:r w:rsidR="004A167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104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A167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C501C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</w:t>
      </w:r>
      <w:r w:rsidR="001071D1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4A1677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9C501C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рік</w:t>
      </w:r>
      <w:r w:rsidR="009C501C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),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інш</w:t>
      </w:r>
      <w:r w:rsidR="004A4FF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підстав</w:t>
      </w:r>
      <w:r w:rsidR="004A4FF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A167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4A1677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1071D1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4A1677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</w:t>
      </w:r>
      <w:r w:rsidR="00924EED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48 </w:t>
      </w:r>
      <w:r w:rsidR="00924EE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інше.</w:t>
      </w:r>
    </w:p>
    <w:p w:rsidR="00DB66B5" w:rsidRPr="00624D56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судах протягом 20</w:t>
      </w:r>
      <w:r w:rsidR="0013734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557E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кількість справ, розгляд яких відкладено понад 6 місяців до 1 року становить </w:t>
      </w:r>
      <w:r w:rsidR="00BF0C6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557E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</w:t>
      </w:r>
      <w:r w:rsidR="004377F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7F7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(12 </w:t>
      </w:r>
      <w:r w:rsidR="004377F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377F7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2023 рік)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понад 1 рік до </w:t>
      </w:r>
      <w:r w:rsidR="00EE104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 років –</w:t>
      </w:r>
      <w:r w:rsidR="008557E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377F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7F7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(3 </w:t>
      </w:r>
      <w:r w:rsidR="004377F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377F7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2023 рік)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понад </w:t>
      </w:r>
      <w:r w:rsidR="00C830C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роки – </w:t>
      </w:r>
      <w:r w:rsidR="008557E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377F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7F7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(3 </w:t>
      </w:r>
      <w:r w:rsidR="004377F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377F7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2023 рік)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0DEF" w:rsidRDefault="006D0DEF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981" w:rsidRDefault="00D13981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981" w:rsidRDefault="00D13981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981" w:rsidRDefault="00D13981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6B5" w:rsidRPr="00624D56" w:rsidRDefault="006D0DEF" w:rsidP="00E37FD7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D56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B52A84" w:rsidRPr="00624D56">
        <w:rPr>
          <w:rFonts w:ascii="Times New Roman" w:hAnsi="Times New Roman" w:cs="Times New Roman"/>
          <w:b/>
          <w:sz w:val="28"/>
          <w:szCs w:val="28"/>
        </w:rPr>
        <w:t>Показники надходження та розгляд</w:t>
      </w:r>
      <w:r w:rsidR="006342B7" w:rsidRPr="00624D56">
        <w:rPr>
          <w:rFonts w:ascii="Times New Roman" w:hAnsi="Times New Roman" w:cs="Times New Roman"/>
          <w:b/>
          <w:sz w:val="28"/>
          <w:szCs w:val="28"/>
        </w:rPr>
        <w:t>у</w:t>
      </w:r>
      <w:r w:rsidR="00B52A84" w:rsidRPr="00624D56">
        <w:rPr>
          <w:rFonts w:ascii="Times New Roman" w:hAnsi="Times New Roman" w:cs="Times New Roman"/>
          <w:b/>
          <w:sz w:val="28"/>
          <w:szCs w:val="28"/>
        </w:rPr>
        <w:t xml:space="preserve"> судових справ про адміністративні правопорушення</w:t>
      </w:r>
      <w:r w:rsidR="00956735" w:rsidRPr="00624D56">
        <w:rPr>
          <w:rFonts w:ascii="Times New Roman" w:hAnsi="Times New Roman" w:cs="Times New Roman"/>
          <w:b/>
          <w:sz w:val="28"/>
          <w:szCs w:val="28"/>
        </w:rPr>
        <w:t>.</w:t>
      </w:r>
    </w:p>
    <w:p w:rsidR="00E050B4" w:rsidRPr="00624D56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Впродовж 20</w:t>
      </w:r>
      <w:r w:rsidR="0013734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D068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80171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на розгляд до судів надійшло </w:t>
      </w:r>
      <w:r w:rsidR="000D068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21044</w:t>
      </w:r>
      <w:r w:rsidR="004A465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F82880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23477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</w:t>
      </w:r>
      <w:r w:rsidR="001071D1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0D0687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91362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рік)</w:t>
      </w:r>
      <w:r w:rsidR="00DA479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урахуванням залишку усього </w:t>
      </w:r>
      <w:r w:rsidR="00B019A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перебувало </w:t>
      </w:r>
      <w:r w:rsidR="00DA479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23443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</w:t>
      </w:r>
      <w:r w:rsidR="00485FF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r w:rsidRPr="00624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адміністративне правопорушення. </w:t>
      </w:r>
    </w:p>
    <w:p w:rsidR="00DB66B5" w:rsidRPr="00624D56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Повернуто </w:t>
      </w:r>
      <w:r w:rsidR="000D068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897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</w:t>
      </w:r>
      <w:r w:rsidR="0035493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адміністративне правопорушення</w:t>
      </w:r>
      <w:r w:rsidR="00FB30B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02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FB30B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877977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0D0687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152</w:t>
      </w:r>
      <w:r w:rsidR="00E171F9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B30B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B30B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</w:t>
      </w:r>
      <w:r w:rsidR="001071D1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0D0687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FB30B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із них </w:t>
      </w:r>
      <w:r w:rsidR="000D068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751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0D0687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992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1071D1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0D0687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повернуто органам, що склали протоколи про вчинення адміністративних правопорушень для неналежного оформлення.</w:t>
      </w:r>
    </w:p>
    <w:p w:rsidR="001E016F" w:rsidRPr="00624D56" w:rsidRDefault="00DB66B5" w:rsidP="001E016F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результатами розгляду протоколів про адміністративні правопорушення розглянуто </w:t>
      </w:r>
      <w:r w:rsidR="000D068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20659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D0687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21791</w:t>
      </w:r>
      <w:r w:rsidR="00C11CA5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- 20</w:t>
      </w:r>
      <w:r w:rsidR="001071D1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0D0687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 відносно </w:t>
      </w:r>
      <w:r w:rsidR="000D068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20665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="000D068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23613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залишок нерозглянутих на кінець звітного періоду – 1887 справ</w:t>
      </w:r>
      <w:r w:rsidR="002F115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</w:t>
      </w:r>
      <w:r w:rsidR="001E016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відображено в </w:t>
      </w:r>
      <w:r w:rsidR="001E016F" w:rsidRPr="00624D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Діаграмі №8</w:t>
      </w:r>
      <w:r w:rsidR="00AA4E3E" w:rsidRPr="00624D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D13981" w:rsidRDefault="00D13981" w:rsidP="00100C75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E016F" w:rsidRPr="00624D56" w:rsidRDefault="001E016F" w:rsidP="00100C75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Діаграма №8</w:t>
      </w:r>
    </w:p>
    <w:p w:rsidR="001E016F" w:rsidRPr="00624D56" w:rsidRDefault="007F03A3" w:rsidP="00100C75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334645</wp:posOffset>
            </wp:positionV>
            <wp:extent cx="6108700" cy="3131820"/>
            <wp:effectExtent l="19050" t="0" r="25400" b="0"/>
            <wp:wrapTopAndBottom/>
            <wp:docPr id="1944696534" name="Діагра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F84C82"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Кількість розглянутих м</w:t>
      </w:r>
      <w:r w:rsidR="001E016F"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атеріал</w:t>
      </w:r>
      <w:r w:rsidR="00F84C82"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ів</w:t>
      </w:r>
      <w:r w:rsidR="001E016F"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про адміністративне </w:t>
      </w:r>
      <w:r w:rsidR="00F84C82"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</w:t>
      </w:r>
      <w:r w:rsidR="001E016F"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авопорушення</w:t>
      </w:r>
    </w:p>
    <w:p w:rsidR="00E71E87" w:rsidRPr="00624D56" w:rsidRDefault="00E71E87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981" w:rsidRDefault="00D13981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981" w:rsidRDefault="00D13981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981" w:rsidRDefault="00D13981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6B5" w:rsidRPr="00624D56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Стосовно </w:t>
      </w:r>
      <w:r w:rsidR="000D068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7213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545673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0D0687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510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</w:t>
      </w:r>
      <w:r w:rsidR="001071D1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0D0687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рік)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</w:t>
      </w:r>
      <w:r w:rsidR="004445E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б провадження в справі закрито</w:t>
      </w:r>
      <w:r w:rsidR="00A21DD1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63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545673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146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037</w:t>
      </w:r>
      <w:r w:rsidR="00C3663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A473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звільнен</w:t>
      </w:r>
      <w:r w:rsidR="0035493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A473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адміністративної відповідальності при малозначності правопорушення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1071D1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545673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0D0687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73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3777C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</w:t>
      </w:r>
      <w:r w:rsidR="001071D1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0D0687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1071D1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рік),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стосовно </w:t>
      </w:r>
      <w:r w:rsidR="000D068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2821</w:t>
      </w:r>
      <w:r w:rsidR="002D327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 закрито</w:t>
      </w:r>
      <w:r w:rsidR="00DA473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із закінченням строків накладення адміністративного стягнення</w:t>
      </w:r>
      <w:r w:rsidR="00974D1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4D1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(3065  </w:t>
      </w:r>
      <w:r w:rsidR="00974D1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74D1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2023 рік)</w:t>
      </w:r>
      <w:r w:rsidR="006E56F0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9B6773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53D20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28 </w:t>
      </w:r>
      <w:r w:rsidR="00E53D2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передачею справи прокурору</w:t>
      </w:r>
      <w:r w:rsidR="00974D1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53D2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досудового розслідування  </w:t>
      </w:r>
      <w:r w:rsidR="00974D1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(18 –  2023 </w:t>
      </w:r>
      <w:r w:rsidR="00974D1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рік),               </w:t>
      </w:r>
      <w:r w:rsidR="00E53D2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3239 відсутністю події і складу адміністративного правопорушення</w:t>
      </w:r>
      <w:r w:rsidR="00974D1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(2965 – 2023 рік)</w:t>
      </w:r>
      <w:r w:rsidR="00E53D20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DE2E2A"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="00E53D20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E56F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інше</w:t>
      </w:r>
      <w:r w:rsidR="00974D1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4D1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(89 </w:t>
      </w:r>
      <w:r w:rsidR="00974D1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74D1E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2023 рік)</w:t>
      </w:r>
      <w:r w:rsidR="006E56F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72A3" w:rsidRPr="00624D56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адміністративної відповідальності притягнуто </w:t>
      </w:r>
      <w:r w:rsidR="00173B3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12B5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3286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</w:t>
      </w:r>
      <w:r w:rsidR="00E171F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</w:t>
      </w:r>
      <w:r w:rsidRPr="00624D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EE104B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що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63A94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</w:t>
      </w:r>
      <w:r w:rsidR="00891BCD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</w:t>
      </w:r>
      <w:r w:rsidR="00312B50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812</w:t>
      </w:r>
      <w:r w:rsidR="00683463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</w:t>
      </w:r>
      <w:r w:rsidR="00563A94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 </w:t>
      </w:r>
      <w:r w:rsidR="00312B50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мен</w:t>
      </w:r>
      <w:r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ше, в порівнянні </w:t>
      </w:r>
      <w:r w:rsidR="005A7851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 202</w:t>
      </w:r>
      <w:r w:rsidR="00312B50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5A7851" w:rsidRPr="0062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роком</w:t>
      </w:r>
      <w:r w:rsidRPr="00624D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). </w:t>
      </w:r>
    </w:p>
    <w:p w:rsidR="00B11626" w:rsidRPr="00624D56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Аналіз застосованих судами адміністративних стягнень свідчить, що </w:t>
      </w:r>
      <w:r w:rsidR="001C6A0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12743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</w:t>
      </w:r>
      <w:r w:rsidR="00C11CA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F4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B685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0220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,9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ос</w:t>
      </w:r>
      <w:r w:rsidR="00AF5EB8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F5EB8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притягнутих до адміністративної відповідальності –</w:t>
      </w:r>
      <w:r w:rsidR="00C11CA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оштрафовано; </w:t>
      </w:r>
      <w:r w:rsidR="001C6A0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 </w:t>
      </w:r>
      <w:r w:rsidR="0019069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D61251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правопорушник</w:t>
      </w:r>
      <w:r w:rsidR="0053251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позбавлено спеціального права, </w:t>
      </w:r>
      <w:r w:rsidR="008A5E1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37 або 0,2 – адміністративний арешт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5E1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75 або 0,5 % –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 роботи</w:t>
      </w:r>
      <w:r w:rsidR="001C6A0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5E1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або 0,2 % </w:t>
      </w:r>
      <w:r w:rsidR="001C6A0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суспільн</w:t>
      </w:r>
      <w:r w:rsidR="002B751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корисні</w:t>
      </w:r>
      <w:r w:rsidR="008A5E1E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роботи</w:t>
      </w:r>
      <w:r w:rsidR="009B6773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, 345 або –2,5 %  інші стягнення</w:t>
      </w:r>
      <w:r w:rsidR="001C6A0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66B5" w:rsidRPr="00624D56" w:rsidRDefault="00DB66B5" w:rsidP="00644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Адміністративне стягнення (основне і додаткове) у вигляді конфіскації предмета, який став знаряддям вчинення або безпосереднім об’єктом адміністративного правопорушення, застосовано до </w:t>
      </w:r>
      <w:r w:rsidR="001C6CF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177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осіб. </w:t>
      </w:r>
    </w:p>
    <w:p w:rsidR="001665CA" w:rsidRPr="00624D56" w:rsidRDefault="00DB66B5" w:rsidP="001665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Протягом року на розгляд до судів надійшло </w:t>
      </w:r>
      <w:r w:rsidR="00E435A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3062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531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(всього перебувало 3875) 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</w:t>
      </w:r>
      <w:r w:rsidR="00E435A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адміністративні правопорушення за ст.1</w:t>
      </w:r>
      <w:r w:rsidR="001133A3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КУпАП</w:t>
      </w:r>
      <w:proofErr w:type="spellEnd"/>
      <w:r w:rsidR="00F02531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Із них: </w:t>
      </w:r>
      <w:r w:rsidR="00E435A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 w:rsidR="007A675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 було повернуто, </w:t>
      </w:r>
      <w:r w:rsidR="00E435A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належного оформлення, </w:t>
      </w:r>
      <w:r w:rsidR="00E435A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3220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</w:t>
      </w:r>
      <w:r w:rsidR="00CF7F8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(3221 особ</w:t>
      </w:r>
      <w:r w:rsidR="00B77D3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F7F8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розглянуто і накладено стягнення</w:t>
      </w:r>
      <w:r w:rsidR="006767E5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, 556 –  залишок на кінець звітного періоду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10F6" w:rsidRPr="00624D56" w:rsidRDefault="00DB66B5" w:rsidP="001665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Основним стягненням було накладення штрафу щодо </w:t>
      </w:r>
      <w:r w:rsidR="001133A3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35A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466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осіб. Щодо </w:t>
      </w:r>
      <w:r w:rsidR="00E435A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743</w:t>
      </w:r>
      <w:r w:rsidR="00E2329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="000D1E7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б справ</w:t>
      </w:r>
      <w:r w:rsidR="001C3D2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було закрито, </w:t>
      </w:r>
      <w:r w:rsidR="00EF3A5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E435A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654</w:t>
      </w:r>
      <w:r w:rsidR="007A675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осіб справи закрито за відсутністю події </w:t>
      </w:r>
      <w:r w:rsidR="00AF3D02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складу адміністративного правопорушення</w:t>
      </w:r>
      <w:r w:rsidR="00214F4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13523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звільнен</w:t>
      </w:r>
      <w:r w:rsidR="00A17FC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13523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адміністративної відповідальності при малозначності правопорушення, </w:t>
      </w:r>
      <w:r w:rsidR="001665C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 –  </w:t>
      </w:r>
      <w:r w:rsidR="00A17FC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</w:t>
      </w:r>
      <w:r w:rsidR="001665C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закінченням строків накладення адміністративного стягнення, </w:t>
      </w:r>
      <w:r w:rsidR="00214F4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665C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14F4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інше.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Динаміку правопорушень за ст.1</w:t>
      </w:r>
      <w:r w:rsidR="001133A3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КУпАП</w:t>
      </w:r>
      <w:proofErr w:type="spellEnd"/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показано в </w:t>
      </w:r>
      <w:r w:rsidR="006D0DEF" w:rsidRPr="00624D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</w:t>
      </w:r>
      <w:r w:rsidRPr="00624D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іаграмі №</w:t>
      </w:r>
      <w:r w:rsidR="006767E5" w:rsidRPr="00624D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</w:t>
      </w:r>
      <w:r w:rsidRPr="00624D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CA3112" w:rsidRPr="00624D5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</w:p>
    <w:p w:rsidR="00310057" w:rsidRPr="00624D56" w:rsidRDefault="00310057" w:rsidP="006D0DEF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10057" w:rsidRPr="00624D56" w:rsidRDefault="00310057" w:rsidP="006D0DEF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10057" w:rsidRPr="00624D56" w:rsidRDefault="00310057" w:rsidP="006D0DEF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10057" w:rsidRPr="00624D56" w:rsidRDefault="00310057" w:rsidP="006D0DEF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10057" w:rsidRPr="00624D56" w:rsidRDefault="00310057" w:rsidP="006D0DEF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B66B5" w:rsidRPr="00624D56" w:rsidRDefault="00DB66B5" w:rsidP="006D0DEF">
      <w:pPr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Діаграма №</w:t>
      </w:r>
      <w:r w:rsidR="006767E5"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9</w:t>
      </w:r>
    </w:p>
    <w:p w:rsidR="00DB66B5" w:rsidRPr="00624D56" w:rsidRDefault="009B3353" w:rsidP="00F84C82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308610</wp:posOffset>
            </wp:positionV>
            <wp:extent cx="6123940" cy="3307715"/>
            <wp:effectExtent l="19050" t="0" r="10160" b="6985"/>
            <wp:wrapTopAndBottom/>
            <wp:docPr id="405622956" name="Діагра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F84C82"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Кількість розглянутих адміністративних </w:t>
      </w:r>
      <w:r w:rsidR="00DB66B5"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правопорушень за ст.1</w:t>
      </w:r>
      <w:r w:rsidR="002F1746"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30</w:t>
      </w:r>
      <w:r w:rsidR="00DB66B5"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DB66B5" w:rsidRPr="00624D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КУпАП</w:t>
      </w:r>
      <w:proofErr w:type="spellEnd"/>
    </w:p>
    <w:p w:rsidR="006D08EF" w:rsidRPr="00624D56" w:rsidRDefault="006D08EF" w:rsidP="001C5F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1C5FF5" w:rsidRPr="00624D56" w:rsidRDefault="001C5FF5" w:rsidP="001C5F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AC3DD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на розгляд до судів надійшло </w:t>
      </w:r>
      <w:r w:rsidR="00AC3DD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2972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</w:t>
      </w:r>
      <w:r w:rsidR="00AC3DD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F7F8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(всього перебувало 3220 справ)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адміністративні правопорушення за ст.173-2 </w:t>
      </w:r>
      <w:proofErr w:type="spellStart"/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КУпАП</w:t>
      </w:r>
      <w:proofErr w:type="spellEnd"/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. Із них: 1</w:t>
      </w:r>
      <w:r w:rsidR="00AC3DD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C77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 було повернуто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0A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C3DD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37379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для належного оформлення</w:t>
      </w:r>
      <w:r w:rsidR="00C770A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C49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3DD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2931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</w:t>
      </w:r>
      <w:r w:rsidR="00AC3DD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400F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2932 </w:t>
      </w:r>
      <w:r w:rsidR="00D400F9" w:rsidRPr="00AF48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r w:rsidR="00D400F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розглянуто</w:t>
      </w:r>
      <w:r w:rsidR="00EC49B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</w:t>
      </w:r>
      <w:r w:rsidR="002F174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3DD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2165</w:t>
      </w:r>
      <w:r w:rsidR="002F174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осіб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накладено </w:t>
      </w:r>
      <w:r w:rsidR="002F174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адміністративне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стягнення</w:t>
      </w:r>
      <w:r w:rsidR="000B6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Залишок </w:t>
      </w:r>
      <w:r w:rsidR="000F4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B6B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F7F8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озглянут</w:t>
      </w:r>
      <w:r w:rsidR="000B6BC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CF7F8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BC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</w:t>
      </w:r>
      <w:r w:rsidR="00D31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CF7F8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кінець звітного періоду</w:t>
      </w:r>
      <w:r w:rsidR="000B6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BC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B6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BC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173 справи</w:t>
      </w:r>
      <w:r w:rsidR="000B6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D08EF" w:rsidRPr="00624D56" w:rsidRDefault="001C5FF5" w:rsidP="001C5F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Основним стягненням було накладення штрафу щодо </w:t>
      </w:r>
      <w:r w:rsidR="00AC3DD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2095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осіб</w:t>
      </w:r>
      <w:r w:rsidR="00DB226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громадські роботи </w:t>
      </w:r>
      <w:r w:rsidR="00D83BFF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DB226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</w:t>
      </w:r>
      <w:r w:rsidR="000F3EB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осіб</w:t>
      </w:r>
      <w:r w:rsidR="00DB226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адміністративний арешт </w:t>
      </w:r>
      <w:r w:rsidR="00C44931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B226A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0F3EB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осіб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3251B" w:rsidRPr="00624D56" w:rsidRDefault="0063574D" w:rsidP="006D08E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202</w:t>
      </w:r>
      <w:r w:rsidR="00AC3DD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до судів надійшл</w:t>
      </w:r>
      <w:r w:rsidR="00D3678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адміністративні правопорушення</w:t>
      </w:r>
      <w:r w:rsidR="0053251B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251B" w:rsidRPr="00624D56" w:rsidRDefault="0053251B" w:rsidP="006D08E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574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ст.172-11 </w:t>
      </w:r>
      <w:proofErr w:type="spellStart"/>
      <w:r w:rsidR="0063574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</w:t>
      </w:r>
      <w:r w:rsidR="008F6AD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="0063574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6F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3574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самовільне залишення військової частини або місця служби</w:t>
      </w:r>
      <w:r w:rsidR="007F56F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C3DD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251B" w:rsidRPr="00624D56" w:rsidRDefault="0053251B" w:rsidP="006D08E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574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AD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ст.172-15 </w:t>
      </w:r>
      <w:proofErr w:type="spellStart"/>
      <w:r w:rsidR="008F6AD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КУпАП</w:t>
      </w:r>
      <w:proofErr w:type="spellEnd"/>
      <w:r w:rsidR="008F6AD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6F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3574D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недбале ставлення до військової служби</w:t>
      </w:r>
      <w:r w:rsidR="007F56F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C3DD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6AD6" w:rsidRPr="00624D56" w:rsidRDefault="0053251B" w:rsidP="006D08E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6AD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ст.212-2 </w:t>
      </w:r>
      <w:proofErr w:type="spellStart"/>
      <w:r w:rsidR="008F6AD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КУпАП</w:t>
      </w:r>
      <w:proofErr w:type="spellEnd"/>
      <w:r w:rsidR="008F6AD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6F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F6AD6" w:rsidRPr="00624D56">
        <w:rPr>
          <w:rFonts w:ascii="Times New Roman" w:hAnsi="Times New Roman" w:cs="Times New Roman"/>
          <w:sz w:val="28"/>
          <w:szCs w:val="28"/>
        </w:rPr>
        <w:t xml:space="preserve"> </w:t>
      </w:r>
      <w:r w:rsidR="008F6AD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порушення законодавства про державну </w:t>
      </w:r>
      <w:r w:rsidR="003C7FAC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8F6AD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таємницю</w:t>
      </w:r>
      <w:r w:rsidR="007F56F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3678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C3DD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F6AD6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66B5" w:rsidRPr="00624D56" w:rsidRDefault="00DB66B5" w:rsidP="006D08E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вчинення адміністративних правопорушень судами накладено стягнення у вигляді штрафу на суму </w:t>
      </w:r>
      <w:r w:rsidR="00AC3DD9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="00FB1E5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16395</w:t>
      </w:r>
      <w:r w:rsidR="001C6CF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73B3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н., з яких </w:t>
      </w:r>
      <w:r w:rsidR="00FB1E5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2336621</w:t>
      </w:r>
      <w:r w:rsidR="001C6CF0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73B37"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D5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 сплачено в добровільному порядку.</w:t>
      </w:r>
    </w:p>
    <w:p w:rsidR="00310057" w:rsidRPr="00624D56" w:rsidRDefault="00310057" w:rsidP="006D08EF">
      <w:pPr>
        <w:pStyle w:val="a8"/>
        <w:spacing w:after="0" w:line="30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32A99" w:rsidRDefault="00432A99" w:rsidP="006D08EF">
      <w:pPr>
        <w:pStyle w:val="a8"/>
        <w:spacing w:after="0" w:line="30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32A99" w:rsidRDefault="00432A99" w:rsidP="006D08EF">
      <w:pPr>
        <w:pStyle w:val="a8"/>
        <w:spacing w:after="0" w:line="30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32A99" w:rsidRDefault="00432A99" w:rsidP="006D08EF">
      <w:pPr>
        <w:pStyle w:val="a8"/>
        <w:spacing w:after="0" w:line="30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6393A" w:rsidRPr="00624D56" w:rsidRDefault="00B0115A" w:rsidP="006D08EF">
      <w:pPr>
        <w:pStyle w:val="a8"/>
        <w:spacing w:after="0" w:line="30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6.</w:t>
      </w:r>
      <w:r w:rsidR="006A2CE5" w:rsidRPr="00624D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B66B5" w:rsidRPr="00624D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Висновок</w:t>
      </w:r>
    </w:p>
    <w:p w:rsidR="00CB58C3" w:rsidRPr="00624D56" w:rsidRDefault="00A737FE" w:rsidP="006D08E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Отже, в 202</w:t>
      </w:r>
      <w:r w:rsidR="00FB1E57" w:rsidRPr="00624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B66B5" w:rsidRPr="00624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році у судах спостерігається тенденція щодо з</w:t>
      </w:r>
      <w:r w:rsidR="00D13ACB" w:rsidRPr="00624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</w:t>
      </w:r>
      <w:r w:rsidR="00DB66B5" w:rsidRPr="00624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шення кількості судових справ, матеріалів. Так, протягом року перебувало </w:t>
      </w:r>
      <w:r w:rsidR="00D13ACB" w:rsidRPr="00624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22969</w:t>
      </w:r>
      <w:r w:rsidR="00E24F07" w:rsidRPr="00624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19CA" w:rsidRPr="00624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 </w:t>
      </w:r>
      <w:r w:rsidR="00DB66B5" w:rsidRPr="00624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кримінальн</w:t>
      </w:r>
      <w:r w:rsidR="00B919CA" w:rsidRPr="00624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судочинства</w:t>
      </w:r>
      <w:r w:rsidR="00DB66B5" w:rsidRPr="00624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13ACB" w:rsidRPr="00624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519 </w:t>
      </w:r>
      <w:r w:rsidR="00B919CA" w:rsidRPr="00624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 </w:t>
      </w:r>
      <w:r w:rsidR="00DB66B5" w:rsidRPr="00624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адміністративн</w:t>
      </w:r>
      <w:r w:rsidR="00B919CA" w:rsidRPr="00624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судочинства</w:t>
      </w:r>
      <w:r w:rsidR="00DB66B5" w:rsidRPr="00624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A271C" w:rsidRPr="00624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37379C" w:rsidRPr="00624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D13ACB" w:rsidRPr="00624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301</w:t>
      </w:r>
      <w:r w:rsidR="00B919CA" w:rsidRPr="00624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 </w:t>
      </w:r>
      <w:r w:rsidR="00DB66B5" w:rsidRPr="00624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цивільн</w:t>
      </w:r>
      <w:r w:rsidR="00B919CA" w:rsidRPr="00624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DB66B5" w:rsidRPr="00624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19CA" w:rsidRPr="00624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судочинства </w:t>
      </w:r>
      <w:r w:rsidR="00DB66B5" w:rsidRPr="00624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</w:t>
      </w:r>
      <w:r w:rsidR="00D13ACB" w:rsidRPr="00624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21354</w:t>
      </w:r>
      <w:r w:rsidR="00E24F07" w:rsidRPr="00624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66B5" w:rsidRPr="00624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</w:t>
      </w:r>
      <w:r w:rsidR="00E24F07" w:rsidRPr="00624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B66B5" w:rsidRPr="00624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адміністративні правопорушення</w:t>
      </w:r>
      <w:r w:rsidR="00E050B4" w:rsidRPr="00624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5000" w:type="pct"/>
        <w:tblLook w:val="04A0"/>
      </w:tblPr>
      <w:tblGrid>
        <w:gridCol w:w="9854"/>
      </w:tblGrid>
      <w:tr w:rsidR="003A5A97" w:rsidRPr="00624D56" w:rsidTr="003A5A97">
        <w:trPr>
          <w:trHeight w:val="36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C45" w:rsidRDefault="00F6393A" w:rsidP="006D08EF">
            <w:pPr>
              <w:spacing w:after="0" w:line="30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4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Проведений огляд є підставою для висновку про те, що </w:t>
            </w:r>
            <w:r w:rsidR="00BD7839" w:rsidRPr="00624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місцеві </w:t>
            </w:r>
            <w:r w:rsidR="00A737FE" w:rsidRPr="00624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загальні </w:t>
            </w:r>
            <w:r w:rsidRPr="00624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суди в цілому забезпечили правильне і своєчасне вирішення переважної більшості судових справ.</w:t>
            </w:r>
            <w:r w:rsidR="00BD7839" w:rsidRPr="00624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A7921" w:rsidRPr="00624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Відсоток </w:t>
            </w:r>
            <w:r w:rsidR="008316C7" w:rsidRPr="00624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розгляду справ </w:t>
            </w:r>
            <w:r w:rsidR="008316C7" w:rsidRPr="00624D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  <w:r w:rsidR="002A7921" w:rsidRPr="00624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A4138" w:rsidRPr="00624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8316C7" w:rsidRPr="00624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5A4138" w:rsidRPr="00624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8316C7" w:rsidRPr="00624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2A7921" w:rsidRPr="00624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%. Наведені дані свідчать про позитивні тенденції звітного періоду</w:t>
            </w:r>
            <w:r w:rsidR="00171C45" w:rsidRPr="00624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Таблиці </w:t>
            </w:r>
            <w:r w:rsidR="00906500" w:rsidRPr="00624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2A7921" w:rsidRPr="00624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2A7921" w:rsidRPr="00624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3981" w:rsidRPr="00624D56" w:rsidRDefault="00D13981" w:rsidP="006D08EF">
            <w:pPr>
              <w:spacing w:after="0" w:line="30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459" w:rsidRPr="00624D56" w:rsidRDefault="00F20459" w:rsidP="006D08EF">
            <w:pPr>
              <w:spacing w:after="0" w:line="300" w:lineRule="auto"/>
              <w:ind w:firstLine="70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4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Таблиця №2</w:t>
            </w:r>
          </w:p>
          <w:p w:rsidR="003A5A97" w:rsidRPr="00D13981" w:rsidRDefault="003A5A97" w:rsidP="006D08EF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uk-UA"/>
              </w:rPr>
            </w:pPr>
            <w:r w:rsidRPr="00D1398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uk-UA"/>
              </w:rPr>
              <w:t>Результативні показники розгляду справ</w:t>
            </w:r>
          </w:p>
          <w:p w:rsidR="003A5A97" w:rsidRPr="00624D56" w:rsidRDefault="003A5A97" w:rsidP="006D08EF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4"/>
                <w:szCs w:val="24"/>
                <w:lang w:eastAsia="uk-UA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81"/>
              <w:gridCol w:w="7252"/>
              <w:gridCol w:w="1695"/>
            </w:tblGrid>
            <w:tr w:rsidR="003A5A97" w:rsidRPr="00624D56" w:rsidTr="003A5A97">
              <w:trPr>
                <w:trHeight w:val="510"/>
              </w:trPr>
              <w:tc>
                <w:tcPr>
                  <w:tcW w:w="4119" w:type="pct"/>
                  <w:gridSpan w:val="2"/>
                  <w:shd w:val="clear" w:color="auto" w:fill="auto"/>
                  <w:vAlign w:val="center"/>
                  <w:hideMark/>
                </w:tcPr>
                <w:p w:rsidR="003A5A97" w:rsidRPr="00624D56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624D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Найменування показника</w:t>
                  </w:r>
                </w:p>
              </w:tc>
              <w:tc>
                <w:tcPr>
                  <w:tcW w:w="881" w:type="pct"/>
                  <w:shd w:val="clear" w:color="auto" w:fill="auto"/>
                  <w:vAlign w:val="center"/>
                  <w:hideMark/>
                </w:tcPr>
                <w:p w:rsidR="003A5A97" w:rsidRPr="00624D56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624D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Кількість</w:t>
                  </w:r>
                </w:p>
              </w:tc>
            </w:tr>
            <w:tr w:rsidR="003A5A97" w:rsidRPr="00624D56" w:rsidTr="003A5A97">
              <w:trPr>
                <w:trHeight w:val="555"/>
              </w:trPr>
              <w:tc>
                <w:tcPr>
                  <w:tcW w:w="4119" w:type="pct"/>
                  <w:gridSpan w:val="2"/>
                  <w:shd w:val="clear" w:color="auto" w:fill="auto"/>
                  <w:vAlign w:val="center"/>
                  <w:hideMark/>
                </w:tcPr>
                <w:p w:rsidR="003A5A97" w:rsidRPr="00624D56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624D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Відсоток справ та матеріалів, загальний термін проходження яких триває понад один рік, %</w:t>
                  </w:r>
                </w:p>
              </w:tc>
              <w:tc>
                <w:tcPr>
                  <w:tcW w:w="881" w:type="pct"/>
                  <w:shd w:val="clear" w:color="auto" w:fill="auto"/>
                  <w:vAlign w:val="center"/>
                  <w:hideMark/>
                </w:tcPr>
                <w:p w:rsidR="003A5A97" w:rsidRPr="00624D56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24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10,4</w:t>
                  </w:r>
                </w:p>
              </w:tc>
            </w:tr>
            <w:tr w:rsidR="003A5A97" w:rsidRPr="00624D56" w:rsidTr="003A5A97">
              <w:trPr>
                <w:trHeight w:val="360"/>
              </w:trPr>
              <w:tc>
                <w:tcPr>
                  <w:tcW w:w="354" w:type="pct"/>
                  <w:vMerge w:val="restart"/>
                  <w:shd w:val="clear" w:color="auto" w:fill="auto"/>
                  <w:textDirection w:val="btLr"/>
                  <w:vAlign w:val="center"/>
                  <w:hideMark/>
                </w:tcPr>
                <w:p w:rsidR="003A5A97" w:rsidRPr="00624D56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24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у тому числі</w:t>
                  </w:r>
                </w:p>
              </w:tc>
              <w:tc>
                <w:tcPr>
                  <w:tcW w:w="3766" w:type="pct"/>
                  <w:shd w:val="clear" w:color="auto" w:fill="auto"/>
                  <w:vAlign w:val="center"/>
                  <w:hideMark/>
                </w:tcPr>
                <w:p w:rsidR="003A5A97" w:rsidRPr="00624D56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24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кримінального судочинства, %</w:t>
                  </w:r>
                </w:p>
              </w:tc>
              <w:tc>
                <w:tcPr>
                  <w:tcW w:w="881" w:type="pct"/>
                  <w:shd w:val="clear" w:color="auto" w:fill="auto"/>
                  <w:vAlign w:val="center"/>
                  <w:hideMark/>
                </w:tcPr>
                <w:p w:rsidR="003A5A97" w:rsidRPr="00624D56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24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23,1</w:t>
                  </w:r>
                </w:p>
              </w:tc>
            </w:tr>
            <w:tr w:rsidR="003A5A97" w:rsidRPr="00624D56" w:rsidTr="003A5A97">
              <w:trPr>
                <w:trHeight w:val="360"/>
              </w:trPr>
              <w:tc>
                <w:tcPr>
                  <w:tcW w:w="354" w:type="pct"/>
                  <w:vMerge/>
                  <w:vAlign w:val="center"/>
                  <w:hideMark/>
                </w:tcPr>
                <w:p w:rsidR="003A5A97" w:rsidRPr="00624D56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3766" w:type="pct"/>
                  <w:shd w:val="clear" w:color="auto" w:fill="auto"/>
                  <w:vAlign w:val="center"/>
                  <w:hideMark/>
                </w:tcPr>
                <w:p w:rsidR="003A5A97" w:rsidRPr="00624D56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24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адміністративного судочинства, %</w:t>
                  </w:r>
                </w:p>
              </w:tc>
              <w:tc>
                <w:tcPr>
                  <w:tcW w:w="881" w:type="pct"/>
                  <w:shd w:val="clear" w:color="auto" w:fill="auto"/>
                  <w:vAlign w:val="center"/>
                  <w:hideMark/>
                </w:tcPr>
                <w:p w:rsidR="003A5A97" w:rsidRPr="00624D56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24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8,8</w:t>
                  </w:r>
                </w:p>
              </w:tc>
            </w:tr>
            <w:tr w:rsidR="003A5A97" w:rsidRPr="00624D56" w:rsidTr="003A5A97">
              <w:trPr>
                <w:trHeight w:val="360"/>
              </w:trPr>
              <w:tc>
                <w:tcPr>
                  <w:tcW w:w="354" w:type="pct"/>
                  <w:vMerge/>
                  <w:vAlign w:val="center"/>
                  <w:hideMark/>
                </w:tcPr>
                <w:p w:rsidR="003A5A97" w:rsidRPr="00624D56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3766" w:type="pct"/>
                  <w:shd w:val="clear" w:color="auto" w:fill="auto"/>
                  <w:vAlign w:val="center"/>
                  <w:hideMark/>
                </w:tcPr>
                <w:p w:rsidR="003A5A97" w:rsidRPr="00624D56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24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цивільного судочинства, %</w:t>
                  </w:r>
                </w:p>
              </w:tc>
              <w:tc>
                <w:tcPr>
                  <w:tcW w:w="881" w:type="pct"/>
                  <w:shd w:val="clear" w:color="auto" w:fill="auto"/>
                  <w:vAlign w:val="center"/>
                  <w:hideMark/>
                </w:tcPr>
                <w:p w:rsidR="003A5A97" w:rsidRPr="00624D56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24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7,5</w:t>
                  </w:r>
                </w:p>
              </w:tc>
            </w:tr>
            <w:tr w:rsidR="003A5A97" w:rsidRPr="00624D56" w:rsidTr="003A5A97">
              <w:trPr>
                <w:trHeight w:val="360"/>
              </w:trPr>
              <w:tc>
                <w:tcPr>
                  <w:tcW w:w="354" w:type="pct"/>
                  <w:vMerge/>
                  <w:vAlign w:val="center"/>
                  <w:hideMark/>
                </w:tcPr>
                <w:p w:rsidR="003A5A97" w:rsidRPr="00624D56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3766" w:type="pct"/>
                  <w:shd w:val="clear" w:color="auto" w:fill="auto"/>
                  <w:vAlign w:val="center"/>
                  <w:hideMark/>
                </w:tcPr>
                <w:p w:rsidR="003A5A97" w:rsidRPr="00624D56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24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про адміністративні правопорушення, %</w:t>
                  </w:r>
                </w:p>
              </w:tc>
              <w:tc>
                <w:tcPr>
                  <w:tcW w:w="881" w:type="pct"/>
                  <w:shd w:val="clear" w:color="auto" w:fill="auto"/>
                  <w:vAlign w:val="center"/>
                  <w:hideMark/>
                </w:tcPr>
                <w:p w:rsidR="003A5A97" w:rsidRPr="00624D56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24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1,8</w:t>
                  </w:r>
                </w:p>
              </w:tc>
            </w:tr>
            <w:tr w:rsidR="003A5A97" w:rsidRPr="00624D56" w:rsidTr="003A5A97">
              <w:trPr>
                <w:trHeight w:val="360"/>
              </w:trPr>
              <w:tc>
                <w:tcPr>
                  <w:tcW w:w="4119" w:type="pct"/>
                  <w:gridSpan w:val="2"/>
                  <w:shd w:val="clear" w:color="auto" w:fill="auto"/>
                  <w:vAlign w:val="center"/>
                  <w:hideMark/>
                </w:tcPr>
                <w:p w:rsidR="003A5A97" w:rsidRPr="00624D56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624D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Відсоток розгляду справ, %</w:t>
                  </w:r>
                </w:p>
              </w:tc>
              <w:tc>
                <w:tcPr>
                  <w:tcW w:w="881" w:type="pct"/>
                  <w:shd w:val="clear" w:color="auto" w:fill="auto"/>
                  <w:vAlign w:val="center"/>
                  <w:hideMark/>
                </w:tcPr>
                <w:p w:rsidR="003A5A97" w:rsidRPr="00624D56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24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98,2</w:t>
                  </w:r>
                </w:p>
              </w:tc>
            </w:tr>
            <w:tr w:rsidR="003A5A97" w:rsidRPr="00624D56" w:rsidTr="003A5A97">
              <w:trPr>
                <w:trHeight w:val="360"/>
              </w:trPr>
              <w:tc>
                <w:tcPr>
                  <w:tcW w:w="4119" w:type="pct"/>
                  <w:gridSpan w:val="2"/>
                  <w:shd w:val="clear" w:color="auto" w:fill="auto"/>
                  <w:vAlign w:val="center"/>
                  <w:hideMark/>
                </w:tcPr>
                <w:p w:rsidR="003A5A97" w:rsidRPr="00624D56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624D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Середня кількість розглянутих справ на одного суддю</w:t>
                  </w:r>
                </w:p>
              </w:tc>
              <w:tc>
                <w:tcPr>
                  <w:tcW w:w="881" w:type="pct"/>
                  <w:shd w:val="clear" w:color="auto" w:fill="auto"/>
                  <w:noWrap/>
                  <w:vAlign w:val="center"/>
                  <w:hideMark/>
                </w:tcPr>
                <w:p w:rsidR="003A5A97" w:rsidRPr="00624D56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24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792</w:t>
                  </w:r>
                </w:p>
              </w:tc>
            </w:tr>
            <w:tr w:rsidR="003A5A97" w:rsidRPr="00624D56" w:rsidTr="003A5A97">
              <w:trPr>
                <w:trHeight w:val="510"/>
              </w:trPr>
              <w:tc>
                <w:tcPr>
                  <w:tcW w:w="4119" w:type="pct"/>
                  <w:gridSpan w:val="2"/>
                  <w:shd w:val="clear" w:color="auto" w:fill="auto"/>
                  <w:vAlign w:val="center"/>
                  <w:hideMark/>
                </w:tcPr>
                <w:p w:rsidR="003A5A97" w:rsidRPr="00624D56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624D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Середня кількість справ та матеріалів, що перебували на розгляді в звітний період в розрахунку на одного суддю</w:t>
                  </w:r>
                </w:p>
              </w:tc>
              <w:tc>
                <w:tcPr>
                  <w:tcW w:w="881" w:type="pct"/>
                  <w:shd w:val="clear" w:color="auto" w:fill="auto"/>
                  <w:noWrap/>
                  <w:vAlign w:val="center"/>
                  <w:hideMark/>
                </w:tcPr>
                <w:p w:rsidR="003A5A97" w:rsidRPr="00624D56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24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919</w:t>
                  </w:r>
                </w:p>
              </w:tc>
            </w:tr>
            <w:tr w:rsidR="003A5A97" w:rsidRPr="00624D56" w:rsidTr="003A5A97">
              <w:trPr>
                <w:trHeight w:val="330"/>
              </w:trPr>
              <w:tc>
                <w:tcPr>
                  <w:tcW w:w="4119" w:type="pct"/>
                  <w:gridSpan w:val="2"/>
                  <w:shd w:val="clear" w:color="auto" w:fill="auto"/>
                  <w:vAlign w:val="center"/>
                  <w:hideMark/>
                </w:tcPr>
                <w:p w:rsidR="003A5A97" w:rsidRPr="00624D56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624D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Середня тривалість розгляду справи (днів)</w:t>
                  </w:r>
                </w:p>
              </w:tc>
              <w:tc>
                <w:tcPr>
                  <w:tcW w:w="881" w:type="pct"/>
                  <w:shd w:val="clear" w:color="auto" w:fill="auto"/>
                  <w:vAlign w:val="center"/>
                  <w:hideMark/>
                </w:tcPr>
                <w:p w:rsidR="003A5A97" w:rsidRPr="00624D56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24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52</w:t>
                  </w:r>
                </w:p>
              </w:tc>
            </w:tr>
            <w:tr w:rsidR="003A5A97" w:rsidRPr="00624D56" w:rsidTr="003A5A97">
              <w:trPr>
                <w:trHeight w:val="330"/>
              </w:trPr>
              <w:tc>
                <w:tcPr>
                  <w:tcW w:w="4119" w:type="pct"/>
                  <w:gridSpan w:val="2"/>
                  <w:shd w:val="clear" w:color="auto" w:fill="auto"/>
                  <w:vAlign w:val="center"/>
                  <w:hideMark/>
                </w:tcPr>
                <w:p w:rsidR="003A5A97" w:rsidRPr="00624D56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24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кримінального судочинства</w:t>
                  </w:r>
                </w:p>
              </w:tc>
              <w:tc>
                <w:tcPr>
                  <w:tcW w:w="881" w:type="pct"/>
                  <w:shd w:val="clear" w:color="auto" w:fill="auto"/>
                  <w:vAlign w:val="center"/>
                  <w:hideMark/>
                </w:tcPr>
                <w:p w:rsidR="003A5A97" w:rsidRPr="00624D56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24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40</w:t>
                  </w:r>
                </w:p>
              </w:tc>
            </w:tr>
            <w:tr w:rsidR="003A5A97" w:rsidRPr="00624D56" w:rsidTr="003A5A97">
              <w:trPr>
                <w:trHeight w:val="330"/>
              </w:trPr>
              <w:tc>
                <w:tcPr>
                  <w:tcW w:w="4119" w:type="pct"/>
                  <w:gridSpan w:val="2"/>
                  <w:shd w:val="clear" w:color="auto" w:fill="auto"/>
                  <w:vAlign w:val="center"/>
                  <w:hideMark/>
                </w:tcPr>
                <w:p w:rsidR="003A5A97" w:rsidRPr="00624D56" w:rsidRDefault="003A5A97" w:rsidP="006D08EF">
                  <w:pPr>
                    <w:spacing w:after="0" w:line="300" w:lineRule="auto"/>
                    <w:ind w:firstLineChars="200" w:firstLine="480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624D5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справи кримінального провадження (з гр.4 ряд.1 розділу 1)</w:t>
                  </w:r>
                </w:p>
              </w:tc>
              <w:tc>
                <w:tcPr>
                  <w:tcW w:w="881" w:type="pct"/>
                  <w:shd w:val="clear" w:color="auto" w:fill="auto"/>
                  <w:vAlign w:val="center"/>
                  <w:hideMark/>
                </w:tcPr>
                <w:p w:rsidR="003A5A97" w:rsidRPr="00624D56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24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164</w:t>
                  </w:r>
                </w:p>
              </w:tc>
            </w:tr>
            <w:tr w:rsidR="003A5A97" w:rsidRPr="00624D56" w:rsidTr="003A5A97">
              <w:trPr>
                <w:trHeight w:val="330"/>
              </w:trPr>
              <w:tc>
                <w:tcPr>
                  <w:tcW w:w="4119" w:type="pct"/>
                  <w:gridSpan w:val="2"/>
                  <w:shd w:val="clear" w:color="auto" w:fill="auto"/>
                  <w:vAlign w:val="center"/>
                  <w:hideMark/>
                </w:tcPr>
                <w:p w:rsidR="003A5A97" w:rsidRPr="00624D56" w:rsidRDefault="003A5A97" w:rsidP="006D08EF">
                  <w:pPr>
                    <w:spacing w:after="0" w:line="300" w:lineRule="auto"/>
                    <w:ind w:firstLineChars="200" w:firstLine="480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</w:pPr>
                  <w:r w:rsidRPr="00624D5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uk-UA"/>
                    </w:rPr>
                    <w:t>справи досудового розслідування (слідчі судді) (з гр.4 ряд.2 розділу 1)</w:t>
                  </w:r>
                </w:p>
              </w:tc>
              <w:tc>
                <w:tcPr>
                  <w:tcW w:w="881" w:type="pct"/>
                  <w:shd w:val="clear" w:color="auto" w:fill="auto"/>
                  <w:vAlign w:val="center"/>
                  <w:hideMark/>
                </w:tcPr>
                <w:p w:rsidR="003A5A97" w:rsidRPr="00624D56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24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</w:tr>
            <w:tr w:rsidR="003A5A97" w:rsidRPr="00624D56" w:rsidTr="003A5A97">
              <w:trPr>
                <w:trHeight w:val="330"/>
              </w:trPr>
              <w:tc>
                <w:tcPr>
                  <w:tcW w:w="4119" w:type="pct"/>
                  <w:gridSpan w:val="2"/>
                  <w:shd w:val="clear" w:color="auto" w:fill="auto"/>
                  <w:vAlign w:val="center"/>
                  <w:hideMark/>
                </w:tcPr>
                <w:p w:rsidR="003A5A97" w:rsidRPr="00624D56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24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адміністративного судочинства</w:t>
                  </w:r>
                </w:p>
              </w:tc>
              <w:tc>
                <w:tcPr>
                  <w:tcW w:w="881" w:type="pct"/>
                  <w:shd w:val="clear" w:color="auto" w:fill="auto"/>
                  <w:vAlign w:val="center"/>
                  <w:hideMark/>
                </w:tcPr>
                <w:p w:rsidR="003A5A97" w:rsidRPr="00624D56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24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109</w:t>
                  </w:r>
                </w:p>
              </w:tc>
            </w:tr>
            <w:tr w:rsidR="003A5A97" w:rsidRPr="00624D56" w:rsidTr="003A5A97">
              <w:trPr>
                <w:trHeight w:val="330"/>
              </w:trPr>
              <w:tc>
                <w:tcPr>
                  <w:tcW w:w="4119" w:type="pct"/>
                  <w:gridSpan w:val="2"/>
                  <w:shd w:val="clear" w:color="auto" w:fill="auto"/>
                  <w:vAlign w:val="center"/>
                  <w:hideMark/>
                </w:tcPr>
                <w:p w:rsidR="003A5A97" w:rsidRPr="00624D56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24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цивільного судочинства</w:t>
                  </w:r>
                </w:p>
              </w:tc>
              <w:tc>
                <w:tcPr>
                  <w:tcW w:w="881" w:type="pct"/>
                  <w:shd w:val="clear" w:color="auto" w:fill="auto"/>
                  <w:vAlign w:val="center"/>
                  <w:hideMark/>
                </w:tcPr>
                <w:p w:rsidR="003A5A97" w:rsidRPr="00624D56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24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81</w:t>
                  </w:r>
                </w:p>
              </w:tc>
            </w:tr>
            <w:tr w:rsidR="003A5A97" w:rsidRPr="00624D56" w:rsidTr="003A5A97">
              <w:trPr>
                <w:trHeight w:val="330"/>
              </w:trPr>
              <w:tc>
                <w:tcPr>
                  <w:tcW w:w="4119" w:type="pct"/>
                  <w:gridSpan w:val="2"/>
                  <w:shd w:val="clear" w:color="auto" w:fill="auto"/>
                  <w:vAlign w:val="center"/>
                  <w:hideMark/>
                </w:tcPr>
                <w:p w:rsidR="003A5A97" w:rsidRPr="00624D56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24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про адміністративні правопорушення</w:t>
                  </w:r>
                </w:p>
              </w:tc>
              <w:tc>
                <w:tcPr>
                  <w:tcW w:w="881" w:type="pct"/>
                  <w:shd w:val="clear" w:color="auto" w:fill="auto"/>
                  <w:vAlign w:val="center"/>
                  <w:hideMark/>
                </w:tcPr>
                <w:p w:rsidR="003A5A97" w:rsidRPr="00624D56" w:rsidRDefault="003A5A97" w:rsidP="006D08EF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24D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38</w:t>
                  </w:r>
                </w:p>
              </w:tc>
            </w:tr>
          </w:tbl>
          <w:p w:rsidR="003A5A97" w:rsidRPr="00624D56" w:rsidRDefault="003A5A97" w:rsidP="006D08EF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:rsidR="00CB05E1" w:rsidRPr="00624D56" w:rsidRDefault="00CB05E1" w:rsidP="006441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B05E1" w:rsidRPr="00624D56" w:rsidSect="0033311C">
      <w:footerReference w:type="default" r:id="rId17"/>
      <w:pgSz w:w="11906" w:h="16838" w:code="9"/>
      <w:pgMar w:top="567" w:right="567" w:bottom="567" w:left="1701" w:header="709" w:footer="357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848" w:rsidRDefault="004B0848" w:rsidP="00E22C32">
      <w:pPr>
        <w:spacing w:after="0" w:line="240" w:lineRule="auto"/>
      </w:pPr>
      <w:r>
        <w:separator/>
      </w:r>
    </w:p>
  </w:endnote>
  <w:endnote w:type="continuationSeparator" w:id="0">
    <w:p w:rsidR="004B0848" w:rsidRDefault="004B0848" w:rsidP="00E22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34616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C7D95" w:rsidRPr="00C410F6" w:rsidRDefault="00FD6F24" w:rsidP="00C410F6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2C3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C7D95" w:rsidRPr="00E22C3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2C3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F46ED"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E22C3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848" w:rsidRDefault="004B0848" w:rsidP="00E22C32">
      <w:pPr>
        <w:spacing w:after="0" w:line="240" w:lineRule="auto"/>
      </w:pPr>
      <w:r>
        <w:separator/>
      </w:r>
    </w:p>
  </w:footnote>
  <w:footnote w:type="continuationSeparator" w:id="0">
    <w:p w:rsidR="004B0848" w:rsidRDefault="004B0848" w:rsidP="00E22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60FF"/>
    <w:multiLevelType w:val="hybridMultilevel"/>
    <w:tmpl w:val="04BCF8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6C774F"/>
    <w:multiLevelType w:val="hybridMultilevel"/>
    <w:tmpl w:val="12C2DD8E"/>
    <w:lvl w:ilvl="0" w:tplc="483EEB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A01687"/>
    <w:multiLevelType w:val="hybridMultilevel"/>
    <w:tmpl w:val="7BFCF49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91C68"/>
    <w:multiLevelType w:val="hybridMultilevel"/>
    <w:tmpl w:val="04BCF8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C727C"/>
    <w:multiLevelType w:val="hybridMultilevel"/>
    <w:tmpl w:val="F7BC7672"/>
    <w:lvl w:ilvl="0" w:tplc="A4829628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5D0B26"/>
    <w:multiLevelType w:val="hybridMultilevel"/>
    <w:tmpl w:val="AC9C7E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DB66B5"/>
    <w:rsid w:val="00002DED"/>
    <w:rsid w:val="00017015"/>
    <w:rsid w:val="00017DD2"/>
    <w:rsid w:val="0002061C"/>
    <w:rsid w:val="00026560"/>
    <w:rsid w:val="00027AEC"/>
    <w:rsid w:val="000319DA"/>
    <w:rsid w:val="00031B14"/>
    <w:rsid w:val="00034DE1"/>
    <w:rsid w:val="00035C29"/>
    <w:rsid w:val="00035EFF"/>
    <w:rsid w:val="00036624"/>
    <w:rsid w:val="00036E51"/>
    <w:rsid w:val="000448B8"/>
    <w:rsid w:val="00045828"/>
    <w:rsid w:val="000532A9"/>
    <w:rsid w:val="000573A9"/>
    <w:rsid w:val="0006185E"/>
    <w:rsid w:val="000629DA"/>
    <w:rsid w:val="00063767"/>
    <w:rsid w:val="00065ADA"/>
    <w:rsid w:val="00070CDE"/>
    <w:rsid w:val="00072572"/>
    <w:rsid w:val="000726F9"/>
    <w:rsid w:val="00073E88"/>
    <w:rsid w:val="00074361"/>
    <w:rsid w:val="00083BE4"/>
    <w:rsid w:val="000857CA"/>
    <w:rsid w:val="000942A6"/>
    <w:rsid w:val="000944D2"/>
    <w:rsid w:val="00097047"/>
    <w:rsid w:val="000A02BD"/>
    <w:rsid w:val="000A0F69"/>
    <w:rsid w:val="000A2C46"/>
    <w:rsid w:val="000A4E5D"/>
    <w:rsid w:val="000A783B"/>
    <w:rsid w:val="000B3B37"/>
    <w:rsid w:val="000B44D6"/>
    <w:rsid w:val="000B6BCB"/>
    <w:rsid w:val="000B6D2A"/>
    <w:rsid w:val="000C6C66"/>
    <w:rsid w:val="000C6DFC"/>
    <w:rsid w:val="000D0687"/>
    <w:rsid w:val="000D1E7C"/>
    <w:rsid w:val="000D20F3"/>
    <w:rsid w:val="000D22FA"/>
    <w:rsid w:val="000D42D5"/>
    <w:rsid w:val="000E1869"/>
    <w:rsid w:val="000E251B"/>
    <w:rsid w:val="000E2F23"/>
    <w:rsid w:val="000E3EF5"/>
    <w:rsid w:val="000E4AAD"/>
    <w:rsid w:val="000E7C4E"/>
    <w:rsid w:val="000F00A1"/>
    <w:rsid w:val="000F05EC"/>
    <w:rsid w:val="000F0FC7"/>
    <w:rsid w:val="000F22D3"/>
    <w:rsid w:val="000F3A84"/>
    <w:rsid w:val="000F3EB0"/>
    <w:rsid w:val="000F4114"/>
    <w:rsid w:val="000F4137"/>
    <w:rsid w:val="000F46ED"/>
    <w:rsid w:val="000F4D1A"/>
    <w:rsid w:val="000F52D0"/>
    <w:rsid w:val="000F5E5B"/>
    <w:rsid w:val="000F77EF"/>
    <w:rsid w:val="00100559"/>
    <w:rsid w:val="00100AB0"/>
    <w:rsid w:val="00100C75"/>
    <w:rsid w:val="00103823"/>
    <w:rsid w:val="001071D1"/>
    <w:rsid w:val="00107E59"/>
    <w:rsid w:val="001112D3"/>
    <w:rsid w:val="001117F5"/>
    <w:rsid w:val="00111B1C"/>
    <w:rsid w:val="001133A3"/>
    <w:rsid w:val="001160FE"/>
    <w:rsid w:val="001162A0"/>
    <w:rsid w:val="00117F05"/>
    <w:rsid w:val="0012100B"/>
    <w:rsid w:val="00124F90"/>
    <w:rsid w:val="00125B42"/>
    <w:rsid w:val="0013025E"/>
    <w:rsid w:val="00130AE7"/>
    <w:rsid w:val="00134912"/>
    <w:rsid w:val="00135DE6"/>
    <w:rsid w:val="00135F5E"/>
    <w:rsid w:val="00137349"/>
    <w:rsid w:val="00141DF0"/>
    <w:rsid w:val="001429FD"/>
    <w:rsid w:val="00144B0D"/>
    <w:rsid w:val="001450CC"/>
    <w:rsid w:val="001454FB"/>
    <w:rsid w:val="001460F8"/>
    <w:rsid w:val="00146248"/>
    <w:rsid w:val="00147AD5"/>
    <w:rsid w:val="00150E86"/>
    <w:rsid w:val="0015170E"/>
    <w:rsid w:val="001541CA"/>
    <w:rsid w:val="001555A7"/>
    <w:rsid w:val="001565AA"/>
    <w:rsid w:val="00157976"/>
    <w:rsid w:val="00162252"/>
    <w:rsid w:val="00162662"/>
    <w:rsid w:val="001665CA"/>
    <w:rsid w:val="00167DF2"/>
    <w:rsid w:val="00170129"/>
    <w:rsid w:val="0017026E"/>
    <w:rsid w:val="001702F7"/>
    <w:rsid w:val="00170969"/>
    <w:rsid w:val="00171C45"/>
    <w:rsid w:val="00173093"/>
    <w:rsid w:val="001730A3"/>
    <w:rsid w:val="00173B37"/>
    <w:rsid w:val="0017486A"/>
    <w:rsid w:val="0018031C"/>
    <w:rsid w:val="001833CC"/>
    <w:rsid w:val="001839D0"/>
    <w:rsid w:val="0018593B"/>
    <w:rsid w:val="0018704C"/>
    <w:rsid w:val="00190696"/>
    <w:rsid w:val="001927AA"/>
    <w:rsid w:val="001A2216"/>
    <w:rsid w:val="001A5D2D"/>
    <w:rsid w:val="001A622C"/>
    <w:rsid w:val="001A6C35"/>
    <w:rsid w:val="001A710D"/>
    <w:rsid w:val="001B1168"/>
    <w:rsid w:val="001B1BBF"/>
    <w:rsid w:val="001B2166"/>
    <w:rsid w:val="001B2C9F"/>
    <w:rsid w:val="001B34E1"/>
    <w:rsid w:val="001B6FE7"/>
    <w:rsid w:val="001C3D20"/>
    <w:rsid w:val="001C5FF5"/>
    <w:rsid w:val="001C6A02"/>
    <w:rsid w:val="001C6CF0"/>
    <w:rsid w:val="001D049A"/>
    <w:rsid w:val="001D312F"/>
    <w:rsid w:val="001D3DEB"/>
    <w:rsid w:val="001D5352"/>
    <w:rsid w:val="001D69B0"/>
    <w:rsid w:val="001E016F"/>
    <w:rsid w:val="001E3949"/>
    <w:rsid w:val="001F0DB4"/>
    <w:rsid w:val="001F1D3E"/>
    <w:rsid w:val="001F5BA5"/>
    <w:rsid w:val="00200585"/>
    <w:rsid w:val="002105DC"/>
    <w:rsid w:val="00211F87"/>
    <w:rsid w:val="002128A0"/>
    <w:rsid w:val="00213523"/>
    <w:rsid w:val="0021462B"/>
    <w:rsid w:val="00214C8A"/>
    <w:rsid w:val="00214F4F"/>
    <w:rsid w:val="00216C6F"/>
    <w:rsid w:val="002200D6"/>
    <w:rsid w:val="00221736"/>
    <w:rsid w:val="00221C54"/>
    <w:rsid w:val="00221D03"/>
    <w:rsid w:val="002222ED"/>
    <w:rsid w:val="00223613"/>
    <w:rsid w:val="002256A2"/>
    <w:rsid w:val="0023116F"/>
    <w:rsid w:val="00231C22"/>
    <w:rsid w:val="00235149"/>
    <w:rsid w:val="00235A59"/>
    <w:rsid w:val="002368D1"/>
    <w:rsid w:val="00237675"/>
    <w:rsid w:val="00244D7F"/>
    <w:rsid w:val="0024514E"/>
    <w:rsid w:val="002458EF"/>
    <w:rsid w:val="002459D7"/>
    <w:rsid w:val="00263017"/>
    <w:rsid w:val="00274072"/>
    <w:rsid w:val="002758C7"/>
    <w:rsid w:val="002777D2"/>
    <w:rsid w:val="0028149C"/>
    <w:rsid w:val="002828BB"/>
    <w:rsid w:val="002852C6"/>
    <w:rsid w:val="00287C3A"/>
    <w:rsid w:val="002920B2"/>
    <w:rsid w:val="00292FD4"/>
    <w:rsid w:val="0029384D"/>
    <w:rsid w:val="00293C44"/>
    <w:rsid w:val="002978A8"/>
    <w:rsid w:val="002A0566"/>
    <w:rsid w:val="002A4FD3"/>
    <w:rsid w:val="002A53F3"/>
    <w:rsid w:val="002A74F7"/>
    <w:rsid w:val="002A7921"/>
    <w:rsid w:val="002B0EA3"/>
    <w:rsid w:val="002B268E"/>
    <w:rsid w:val="002B2C27"/>
    <w:rsid w:val="002B4445"/>
    <w:rsid w:val="002B4C05"/>
    <w:rsid w:val="002B5E9F"/>
    <w:rsid w:val="002B6D84"/>
    <w:rsid w:val="002B7510"/>
    <w:rsid w:val="002B7977"/>
    <w:rsid w:val="002C13AD"/>
    <w:rsid w:val="002C2AFE"/>
    <w:rsid w:val="002C7E25"/>
    <w:rsid w:val="002D0E17"/>
    <w:rsid w:val="002D11DB"/>
    <w:rsid w:val="002D327E"/>
    <w:rsid w:val="002D34DA"/>
    <w:rsid w:val="002E19E3"/>
    <w:rsid w:val="002E3944"/>
    <w:rsid w:val="002E5877"/>
    <w:rsid w:val="002E70DD"/>
    <w:rsid w:val="002E73E9"/>
    <w:rsid w:val="002F0DEB"/>
    <w:rsid w:val="002F115A"/>
    <w:rsid w:val="002F1746"/>
    <w:rsid w:val="002F1ADF"/>
    <w:rsid w:val="002F38F8"/>
    <w:rsid w:val="002F3EA2"/>
    <w:rsid w:val="002F40E6"/>
    <w:rsid w:val="002F4A5C"/>
    <w:rsid w:val="00305D6A"/>
    <w:rsid w:val="00310057"/>
    <w:rsid w:val="00310C2C"/>
    <w:rsid w:val="00312B50"/>
    <w:rsid w:val="00312BDC"/>
    <w:rsid w:val="0031330F"/>
    <w:rsid w:val="003133F5"/>
    <w:rsid w:val="003139A1"/>
    <w:rsid w:val="00313B25"/>
    <w:rsid w:val="0031417C"/>
    <w:rsid w:val="0032040D"/>
    <w:rsid w:val="0033176E"/>
    <w:rsid w:val="0033311C"/>
    <w:rsid w:val="00333B0D"/>
    <w:rsid w:val="00334AEE"/>
    <w:rsid w:val="0033755D"/>
    <w:rsid w:val="0033777C"/>
    <w:rsid w:val="003457CB"/>
    <w:rsid w:val="003461D5"/>
    <w:rsid w:val="00350016"/>
    <w:rsid w:val="00351E5C"/>
    <w:rsid w:val="003546C6"/>
    <w:rsid w:val="0035493B"/>
    <w:rsid w:val="00361C5F"/>
    <w:rsid w:val="0036215F"/>
    <w:rsid w:val="00363027"/>
    <w:rsid w:val="00363C30"/>
    <w:rsid w:val="00372EB4"/>
    <w:rsid w:val="0037379C"/>
    <w:rsid w:val="0037548F"/>
    <w:rsid w:val="00385C77"/>
    <w:rsid w:val="00386C3C"/>
    <w:rsid w:val="00391F87"/>
    <w:rsid w:val="003936A5"/>
    <w:rsid w:val="0039371E"/>
    <w:rsid w:val="00393B33"/>
    <w:rsid w:val="00394C6C"/>
    <w:rsid w:val="003959F2"/>
    <w:rsid w:val="00396F6F"/>
    <w:rsid w:val="003A51F5"/>
    <w:rsid w:val="003A5A97"/>
    <w:rsid w:val="003B1801"/>
    <w:rsid w:val="003C0BE1"/>
    <w:rsid w:val="003C3D33"/>
    <w:rsid w:val="003C50A0"/>
    <w:rsid w:val="003C5D26"/>
    <w:rsid w:val="003C706C"/>
    <w:rsid w:val="003C7FAC"/>
    <w:rsid w:val="003D25FC"/>
    <w:rsid w:val="003E15BF"/>
    <w:rsid w:val="003E2780"/>
    <w:rsid w:val="003E5577"/>
    <w:rsid w:val="003E5723"/>
    <w:rsid w:val="003E7623"/>
    <w:rsid w:val="003E7F71"/>
    <w:rsid w:val="003F31D9"/>
    <w:rsid w:val="003F42F0"/>
    <w:rsid w:val="00404106"/>
    <w:rsid w:val="00404FAB"/>
    <w:rsid w:val="00405C14"/>
    <w:rsid w:val="0040720A"/>
    <w:rsid w:val="004100F2"/>
    <w:rsid w:val="00410471"/>
    <w:rsid w:val="00410E37"/>
    <w:rsid w:val="0041132C"/>
    <w:rsid w:val="004142F4"/>
    <w:rsid w:val="00416E81"/>
    <w:rsid w:val="00420284"/>
    <w:rsid w:val="00420C88"/>
    <w:rsid w:val="00421F98"/>
    <w:rsid w:val="0042359A"/>
    <w:rsid w:val="00424A53"/>
    <w:rsid w:val="00427F4C"/>
    <w:rsid w:val="004313D6"/>
    <w:rsid w:val="00432A99"/>
    <w:rsid w:val="004377F7"/>
    <w:rsid w:val="00441F6D"/>
    <w:rsid w:val="004445EC"/>
    <w:rsid w:val="00444B67"/>
    <w:rsid w:val="00444D8D"/>
    <w:rsid w:val="004454C8"/>
    <w:rsid w:val="004472BD"/>
    <w:rsid w:val="004576DC"/>
    <w:rsid w:val="00465004"/>
    <w:rsid w:val="00480AB7"/>
    <w:rsid w:val="00485FF9"/>
    <w:rsid w:val="0048660F"/>
    <w:rsid w:val="00486823"/>
    <w:rsid w:val="00491907"/>
    <w:rsid w:val="00493D96"/>
    <w:rsid w:val="0049644B"/>
    <w:rsid w:val="004970A6"/>
    <w:rsid w:val="0049765E"/>
    <w:rsid w:val="004A0F46"/>
    <w:rsid w:val="004A1677"/>
    <w:rsid w:val="004A1DCB"/>
    <w:rsid w:val="004A271C"/>
    <w:rsid w:val="004A2AC8"/>
    <w:rsid w:val="004A3234"/>
    <w:rsid w:val="004A39EB"/>
    <w:rsid w:val="004A465D"/>
    <w:rsid w:val="004A46FA"/>
    <w:rsid w:val="004A4FF0"/>
    <w:rsid w:val="004A6317"/>
    <w:rsid w:val="004B0848"/>
    <w:rsid w:val="004B3F9A"/>
    <w:rsid w:val="004C4E39"/>
    <w:rsid w:val="004C57BB"/>
    <w:rsid w:val="004C5D77"/>
    <w:rsid w:val="004C7D95"/>
    <w:rsid w:val="004D17CD"/>
    <w:rsid w:val="004D5E46"/>
    <w:rsid w:val="004D6C8A"/>
    <w:rsid w:val="004E2383"/>
    <w:rsid w:val="004E2493"/>
    <w:rsid w:val="004E7D02"/>
    <w:rsid w:val="004F0E6E"/>
    <w:rsid w:val="004F7876"/>
    <w:rsid w:val="00500977"/>
    <w:rsid w:val="00503149"/>
    <w:rsid w:val="005044C1"/>
    <w:rsid w:val="0050610D"/>
    <w:rsid w:val="005069E0"/>
    <w:rsid w:val="005135D8"/>
    <w:rsid w:val="00516D82"/>
    <w:rsid w:val="00516FC9"/>
    <w:rsid w:val="0051763B"/>
    <w:rsid w:val="00520258"/>
    <w:rsid w:val="00531D09"/>
    <w:rsid w:val="00531F20"/>
    <w:rsid w:val="005320F0"/>
    <w:rsid w:val="0053251B"/>
    <w:rsid w:val="00534828"/>
    <w:rsid w:val="00540612"/>
    <w:rsid w:val="00543221"/>
    <w:rsid w:val="00543A9B"/>
    <w:rsid w:val="00544BC7"/>
    <w:rsid w:val="00545673"/>
    <w:rsid w:val="00545B93"/>
    <w:rsid w:val="00546614"/>
    <w:rsid w:val="005535AE"/>
    <w:rsid w:val="00553CE8"/>
    <w:rsid w:val="005548C5"/>
    <w:rsid w:val="00554FAE"/>
    <w:rsid w:val="005566B4"/>
    <w:rsid w:val="00561ACC"/>
    <w:rsid w:val="005620F2"/>
    <w:rsid w:val="00563A94"/>
    <w:rsid w:val="0056410E"/>
    <w:rsid w:val="00565416"/>
    <w:rsid w:val="0056783E"/>
    <w:rsid w:val="00571EE4"/>
    <w:rsid w:val="005734FA"/>
    <w:rsid w:val="005758FD"/>
    <w:rsid w:val="0058366F"/>
    <w:rsid w:val="00584E3B"/>
    <w:rsid w:val="005867B7"/>
    <w:rsid w:val="00592182"/>
    <w:rsid w:val="005931B3"/>
    <w:rsid w:val="005936F2"/>
    <w:rsid w:val="005A0687"/>
    <w:rsid w:val="005A08C5"/>
    <w:rsid w:val="005A4138"/>
    <w:rsid w:val="005A6760"/>
    <w:rsid w:val="005A7851"/>
    <w:rsid w:val="005B268F"/>
    <w:rsid w:val="005B38CB"/>
    <w:rsid w:val="005B3C7C"/>
    <w:rsid w:val="005C213D"/>
    <w:rsid w:val="005D06AC"/>
    <w:rsid w:val="005D2728"/>
    <w:rsid w:val="005D285F"/>
    <w:rsid w:val="005D3177"/>
    <w:rsid w:val="005D3B13"/>
    <w:rsid w:val="005D3C5C"/>
    <w:rsid w:val="005D60B3"/>
    <w:rsid w:val="005D65B0"/>
    <w:rsid w:val="005D72A9"/>
    <w:rsid w:val="005E176A"/>
    <w:rsid w:val="005E2029"/>
    <w:rsid w:val="005E28C9"/>
    <w:rsid w:val="005E3386"/>
    <w:rsid w:val="005E468D"/>
    <w:rsid w:val="005E5838"/>
    <w:rsid w:val="005E7811"/>
    <w:rsid w:val="005F1D87"/>
    <w:rsid w:val="005F4F7C"/>
    <w:rsid w:val="005F5434"/>
    <w:rsid w:val="00600249"/>
    <w:rsid w:val="00601E0F"/>
    <w:rsid w:val="00602537"/>
    <w:rsid w:val="00610642"/>
    <w:rsid w:val="00613D33"/>
    <w:rsid w:val="00614621"/>
    <w:rsid w:val="00614971"/>
    <w:rsid w:val="00616C3A"/>
    <w:rsid w:val="00617CA2"/>
    <w:rsid w:val="006214E4"/>
    <w:rsid w:val="00623400"/>
    <w:rsid w:val="00624D56"/>
    <w:rsid w:val="006270FA"/>
    <w:rsid w:val="0063256D"/>
    <w:rsid w:val="006342B7"/>
    <w:rsid w:val="006352D9"/>
    <w:rsid w:val="0063574D"/>
    <w:rsid w:val="0063584F"/>
    <w:rsid w:val="00643FEF"/>
    <w:rsid w:val="006441BD"/>
    <w:rsid w:val="006444BA"/>
    <w:rsid w:val="00645B7A"/>
    <w:rsid w:val="00646552"/>
    <w:rsid w:val="00650622"/>
    <w:rsid w:val="00650969"/>
    <w:rsid w:val="00651388"/>
    <w:rsid w:val="006541B8"/>
    <w:rsid w:val="006564CD"/>
    <w:rsid w:val="00662AD2"/>
    <w:rsid w:val="0067191B"/>
    <w:rsid w:val="0067253D"/>
    <w:rsid w:val="00673567"/>
    <w:rsid w:val="00674ED9"/>
    <w:rsid w:val="006767E5"/>
    <w:rsid w:val="00676E21"/>
    <w:rsid w:val="006823D4"/>
    <w:rsid w:val="00682742"/>
    <w:rsid w:val="00683463"/>
    <w:rsid w:val="006839B9"/>
    <w:rsid w:val="00692726"/>
    <w:rsid w:val="006956B8"/>
    <w:rsid w:val="00697231"/>
    <w:rsid w:val="006A2CE5"/>
    <w:rsid w:val="006A61DA"/>
    <w:rsid w:val="006A79EC"/>
    <w:rsid w:val="006A7EB8"/>
    <w:rsid w:val="006B2C58"/>
    <w:rsid w:val="006B2E47"/>
    <w:rsid w:val="006B4750"/>
    <w:rsid w:val="006B47FB"/>
    <w:rsid w:val="006B4CBA"/>
    <w:rsid w:val="006B6935"/>
    <w:rsid w:val="006B7213"/>
    <w:rsid w:val="006C1768"/>
    <w:rsid w:val="006C2EF2"/>
    <w:rsid w:val="006C4054"/>
    <w:rsid w:val="006C58B9"/>
    <w:rsid w:val="006C7845"/>
    <w:rsid w:val="006D08EF"/>
    <w:rsid w:val="006D0DEF"/>
    <w:rsid w:val="006D29A5"/>
    <w:rsid w:val="006D31DB"/>
    <w:rsid w:val="006D42E7"/>
    <w:rsid w:val="006E56F0"/>
    <w:rsid w:val="006E6DB6"/>
    <w:rsid w:val="006E775F"/>
    <w:rsid w:val="006E7EA3"/>
    <w:rsid w:val="006E7EC0"/>
    <w:rsid w:val="006F356B"/>
    <w:rsid w:val="006F3640"/>
    <w:rsid w:val="006F73B0"/>
    <w:rsid w:val="00702205"/>
    <w:rsid w:val="0070515C"/>
    <w:rsid w:val="00705882"/>
    <w:rsid w:val="007062AC"/>
    <w:rsid w:val="00706ED2"/>
    <w:rsid w:val="00706FE2"/>
    <w:rsid w:val="007107F6"/>
    <w:rsid w:val="007108E5"/>
    <w:rsid w:val="00713A40"/>
    <w:rsid w:val="00716038"/>
    <w:rsid w:val="00717750"/>
    <w:rsid w:val="00717F71"/>
    <w:rsid w:val="00720CA2"/>
    <w:rsid w:val="0072185A"/>
    <w:rsid w:val="00726934"/>
    <w:rsid w:val="00731D8A"/>
    <w:rsid w:val="007433A4"/>
    <w:rsid w:val="00743BBB"/>
    <w:rsid w:val="00745311"/>
    <w:rsid w:val="0075212F"/>
    <w:rsid w:val="00753ACF"/>
    <w:rsid w:val="00760696"/>
    <w:rsid w:val="00761EF0"/>
    <w:rsid w:val="0076504F"/>
    <w:rsid w:val="007658CD"/>
    <w:rsid w:val="00774791"/>
    <w:rsid w:val="00777020"/>
    <w:rsid w:val="00780611"/>
    <w:rsid w:val="00783ADC"/>
    <w:rsid w:val="00790B1A"/>
    <w:rsid w:val="00792702"/>
    <w:rsid w:val="007A1FB7"/>
    <w:rsid w:val="007A5DAF"/>
    <w:rsid w:val="007A675C"/>
    <w:rsid w:val="007A7E0E"/>
    <w:rsid w:val="007B12BC"/>
    <w:rsid w:val="007B504F"/>
    <w:rsid w:val="007B7022"/>
    <w:rsid w:val="007C3CCA"/>
    <w:rsid w:val="007C5C97"/>
    <w:rsid w:val="007C5E80"/>
    <w:rsid w:val="007D2D90"/>
    <w:rsid w:val="007D5311"/>
    <w:rsid w:val="007D68CD"/>
    <w:rsid w:val="007D6C0B"/>
    <w:rsid w:val="007E03E6"/>
    <w:rsid w:val="007E4581"/>
    <w:rsid w:val="007E714A"/>
    <w:rsid w:val="007F03A3"/>
    <w:rsid w:val="007F3453"/>
    <w:rsid w:val="007F4659"/>
    <w:rsid w:val="007F56F7"/>
    <w:rsid w:val="00800190"/>
    <w:rsid w:val="00802A7B"/>
    <w:rsid w:val="00802B10"/>
    <w:rsid w:val="00806111"/>
    <w:rsid w:val="00806EA2"/>
    <w:rsid w:val="00810C17"/>
    <w:rsid w:val="00813FC9"/>
    <w:rsid w:val="00822276"/>
    <w:rsid w:val="00822CBE"/>
    <w:rsid w:val="00824090"/>
    <w:rsid w:val="00824524"/>
    <w:rsid w:val="00827DA0"/>
    <w:rsid w:val="008316C7"/>
    <w:rsid w:val="00831FFA"/>
    <w:rsid w:val="008347A1"/>
    <w:rsid w:val="00835AD6"/>
    <w:rsid w:val="00835BF5"/>
    <w:rsid w:val="00836EE5"/>
    <w:rsid w:val="00840460"/>
    <w:rsid w:val="008418CA"/>
    <w:rsid w:val="0084640F"/>
    <w:rsid w:val="00846B7C"/>
    <w:rsid w:val="00850F45"/>
    <w:rsid w:val="00851FD5"/>
    <w:rsid w:val="00852336"/>
    <w:rsid w:val="00854327"/>
    <w:rsid w:val="00854944"/>
    <w:rsid w:val="008557EE"/>
    <w:rsid w:val="00856166"/>
    <w:rsid w:val="008612B6"/>
    <w:rsid w:val="00864855"/>
    <w:rsid w:val="00867478"/>
    <w:rsid w:val="00867E57"/>
    <w:rsid w:val="00874016"/>
    <w:rsid w:val="00874504"/>
    <w:rsid w:val="00875986"/>
    <w:rsid w:val="00877977"/>
    <w:rsid w:val="00877DCE"/>
    <w:rsid w:val="00884131"/>
    <w:rsid w:val="0088425D"/>
    <w:rsid w:val="00891BCD"/>
    <w:rsid w:val="00894EB6"/>
    <w:rsid w:val="00896347"/>
    <w:rsid w:val="00897640"/>
    <w:rsid w:val="008A310D"/>
    <w:rsid w:val="008A4894"/>
    <w:rsid w:val="008A59AD"/>
    <w:rsid w:val="008A5E1E"/>
    <w:rsid w:val="008B135F"/>
    <w:rsid w:val="008B1B05"/>
    <w:rsid w:val="008B5BF6"/>
    <w:rsid w:val="008B65AF"/>
    <w:rsid w:val="008B704D"/>
    <w:rsid w:val="008B7075"/>
    <w:rsid w:val="008B77D4"/>
    <w:rsid w:val="008C0121"/>
    <w:rsid w:val="008C0AA7"/>
    <w:rsid w:val="008C2EB1"/>
    <w:rsid w:val="008C3B51"/>
    <w:rsid w:val="008C53CE"/>
    <w:rsid w:val="008D2CB5"/>
    <w:rsid w:val="008D3D46"/>
    <w:rsid w:val="008E01D4"/>
    <w:rsid w:val="008E4826"/>
    <w:rsid w:val="008F1195"/>
    <w:rsid w:val="008F6731"/>
    <w:rsid w:val="008F6AD6"/>
    <w:rsid w:val="008F6C79"/>
    <w:rsid w:val="009001B0"/>
    <w:rsid w:val="009024FA"/>
    <w:rsid w:val="0090464D"/>
    <w:rsid w:val="00906500"/>
    <w:rsid w:val="00907623"/>
    <w:rsid w:val="00912170"/>
    <w:rsid w:val="00912707"/>
    <w:rsid w:val="00913105"/>
    <w:rsid w:val="0091362E"/>
    <w:rsid w:val="0091769D"/>
    <w:rsid w:val="00917F0F"/>
    <w:rsid w:val="009229B5"/>
    <w:rsid w:val="009233D3"/>
    <w:rsid w:val="00924EED"/>
    <w:rsid w:val="00925963"/>
    <w:rsid w:val="009259ED"/>
    <w:rsid w:val="009266E5"/>
    <w:rsid w:val="00931B07"/>
    <w:rsid w:val="00932651"/>
    <w:rsid w:val="00934578"/>
    <w:rsid w:val="009348A3"/>
    <w:rsid w:val="009358AC"/>
    <w:rsid w:val="009368EB"/>
    <w:rsid w:val="00944B86"/>
    <w:rsid w:val="009452FD"/>
    <w:rsid w:val="009516D6"/>
    <w:rsid w:val="009516DC"/>
    <w:rsid w:val="00951816"/>
    <w:rsid w:val="00955445"/>
    <w:rsid w:val="00955AED"/>
    <w:rsid w:val="00956735"/>
    <w:rsid w:val="00956F03"/>
    <w:rsid w:val="0096183C"/>
    <w:rsid w:val="00961AD7"/>
    <w:rsid w:val="00964402"/>
    <w:rsid w:val="0096475C"/>
    <w:rsid w:val="00964DD2"/>
    <w:rsid w:val="009655D3"/>
    <w:rsid w:val="00971D64"/>
    <w:rsid w:val="00972F02"/>
    <w:rsid w:val="00974D1E"/>
    <w:rsid w:val="00980ADD"/>
    <w:rsid w:val="00980B6F"/>
    <w:rsid w:val="00982DF5"/>
    <w:rsid w:val="0098315E"/>
    <w:rsid w:val="00984A9F"/>
    <w:rsid w:val="009922D6"/>
    <w:rsid w:val="009923CA"/>
    <w:rsid w:val="009938A8"/>
    <w:rsid w:val="00997C1A"/>
    <w:rsid w:val="009A053F"/>
    <w:rsid w:val="009A1469"/>
    <w:rsid w:val="009A158F"/>
    <w:rsid w:val="009A1A97"/>
    <w:rsid w:val="009A61AB"/>
    <w:rsid w:val="009A6714"/>
    <w:rsid w:val="009B3353"/>
    <w:rsid w:val="009B5F97"/>
    <w:rsid w:val="009B66A7"/>
    <w:rsid w:val="009B6773"/>
    <w:rsid w:val="009C1AE0"/>
    <w:rsid w:val="009C1FA8"/>
    <w:rsid w:val="009C303E"/>
    <w:rsid w:val="009C33A4"/>
    <w:rsid w:val="009C501C"/>
    <w:rsid w:val="009C69A8"/>
    <w:rsid w:val="009C7A9C"/>
    <w:rsid w:val="009C7C4B"/>
    <w:rsid w:val="009D07C2"/>
    <w:rsid w:val="009D13A4"/>
    <w:rsid w:val="009D1E3C"/>
    <w:rsid w:val="009D3496"/>
    <w:rsid w:val="009D4B1B"/>
    <w:rsid w:val="009D6E88"/>
    <w:rsid w:val="009E0FB4"/>
    <w:rsid w:val="009E2467"/>
    <w:rsid w:val="009E2DB1"/>
    <w:rsid w:val="009E3943"/>
    <w:rsid w:val="009E3A2E"/>
    <w:rsid w:val="009F0C53"/>
    <w:rsid w:val="009F2AEE"/>
    <w:rsid w:val="009F3C0B"/>
    <w:rsid w:val="009F4631"/>
    <w:rsid w:val="009F5E93"/>
    <w:rsid w:val="00A0174D"/>
    <w:rsid w:val="00A03217"/>
    <w:rsid w:val="00A051CD"/>
    <w:rsid w:val="00A06E86"/>
    <w:rsid w:val="00A1761D"/>
    <w:rsid w:val="00A17FCA"/>
    <w:rsid w:val="00A21DD1"/>
    <w:rsid w:val="00A223F1"/>
    <w:rsid w:val="00A261B7"/>
    <w:rsid w:val="00A26609"/>
    <w:rsid w:val="00A27EF1"/>
    <w:rsid w:val="00A3078A"/>
    <w:rsid w:val="00A31165"/>
    <w:rsid w:val="00A32C20"/>
    <w:rsid w:val="00A35EB7"/>
    <w:rsid w:val="00A37654"/>
    <w:rsid w:val="00A37B54"/>
    <w:rsid w:val="00A417E5"/>
    <w:rsid w:val="00A425E1"/>
    <w:rsid w:val="00A43383"/>
    <w:rsid w:val="00A45F96"/>
    <w:rsid w:val="00A46419"/>
    <w:rsid w:val="00A5507B"/>
    <w:rsid w:val="00A57B2D"/>
    <w:rsid w:val="00A60A5D"/>
    <w:rsid w:val="00A62CBD"/>
    <w:rsid w:val="00A63D69"/>
    <w:rsid w:val="00A66AB2"/>
    <w:rsid w:val="00A670DE"/>
    <w:rsid w:val="00A67C82"/>
    <w:rsid w:val="00A70CDF"/>
    <w:rsid w:val="00A71484"/>
    <w:rsid w:val="00A71AC2"/>
    <w:rsid w:val="00A73249"/>
    <w:rsid w:val="00A737FE"/>
    <w:rsid w:val="00A8020F"/>
    <w:rsid w:val="00A80BF6"/>
    <w:rsid w:val="00A836B2"/>
    <w:rsid w:val="00A8433C"/>
    <w:rsid w:val="00A84A70"/>
    <w:rsid w:val="00A84BA1"/>
    <w:rsid w:val="00A85D3C"/>
    <w:rsid w:val="00A861D1"/>
    <w:rsid w:val="00A86265"/>
    <w:rsid w:val="00A87750"/>
    <w:rsid w:val="00A91ED1"/>
    <w:rsid w:val="00A95306"/>
    <w:rsid w:val="00AA12AF"/>
    <w:rsid w:val="00AA4E3E"/>
    <w:rsid w:val="00AB1987"/>
    <w:rsid w:val="00AB20C7"/>
    <w:rsid w:val="00AB365F"/>
    <w:rsid w:val="00AB3D3C"/>
    <w:rsid w:val="00AB57DC"/>
    <w:rsid w:val="00AB5A98"/>
    <w:rsid w:val="00AB75E9"/>
    <w:rsid w:val="00AC10B8"/>
    <w:rsid w:val="00AC3DD9"/>
    <w:rsid w:val="00AC54A2"/>
    <w:rsid w:val="00AC591E"/>
    <w:rsid w:val="00AD0733"/>
    <w:rsid w:val="00AD0852"/>
    <w:rsid w:val="00AD0C0C"/>
    <w:rsid w:val="00AD1D17"/>
    <w:rsid w:val="00AD76DA"/>
    <w:rsid w:val="00AE6599"/>
    <w:rsid w:val="00AE7CF2"/>
    <w:rsid w:val="00AF2187"/>
    <w:rsid w:val="00AF276B"/>
    <w:rsid w:val="00AF2F62"/>
    <w:rsid w:val="00AF3D02"/>
    <w:rsid w:val="00AF4387"/>
    <w:rsid w:val="00AF48B0"/>
    <w:rsid w:val="00AF5EB8"/>
    <w:rsid w:val="00B0115A"/>
    <w:rsid w:val="00B019A7"/>
    <w:rsid w:val="00B04009"/>
    <w:rsid w:val="00B11626"/>
    <w:rsid w:val="00B1404E"/>
    <w:rsid w:val="00B16D97"/>
    <w:rsid w:val="00B200BD"/>
    <w:rsid w:val="00B22E6C"/>
    <w:rsid w:val="00B23009"/>
    <w:rsid w:val="00B236A4"/>
    <w:rsid w:val="00B24A5C"/>
    <w:rsid w:val="00B24CE2"/>
    <w:rsid w:val="00B26BE7"/>
    <w:rsid w:val="00B26C0C"/>
    <w:rsid w:val="00B26F19"/>
    <w:rsid w:val="00B27360"/>
    <w:rsid w:val="00B31495"/>
    <w:rsid w:val="00B32FA2"/>
    <w:rsid w:val="00B36DB6"/>
    <w:rsid w:val="00B37F41"/>
    <w:rsid w:val="00B42AD2"/>
    <w:rsid w:val="00B43261"/>
    <w:rsid w:val="00B44293"/>
    <w:rsid w:val="00B47096"/>
    <w:rsid w:val="00B502E5"/>
    <w:rsid w:val="00B50A4B"/>
    <w:rsid w:val="00B51FE4"/>
    <w:rsid w:val="00B52A84"/>
    <w:rsid w:val="00B53720"/>
    <w:rsid w:val="00B53F24"/>
    <w:rsid w:val="00B56E9F"/>
    <w:rsid w:val="00B57DE9"/>
    <w:rsid w:val="00B62296"/>
    <w:rsid w:val="00B64E79"/>
    <w:rsid w:val="00B673A2"/>
    <w:rsid w:val="00B71DC5"/>
    <w:rsid w:val="00B72616"/>
    <w:rsid w:val="00B73A1B"/>
    <w:rsid w:val="00B77D3F"/>
    <w:rsid w:val="00B80112"/>
    <w:rsid w:val="00B82C92"/>
    <w:rsid w:val="00B83BED"/>
    <w:rsid w:val="00B840F6"/>
    <w:rsid w:val="00B84507"/>
    <w:rsid w:val="00B8538A"/>
    <w:rsid w:val="00B868CA"/>
    <w:rsid w:val="00B919CA"/>
    <w:rsid w:val="00B94E6B"/>
    <w:rsid w:val="00B97B97"/>
    <w:rsid w:val="00BA0105"/>
    <w:rsid w:val="00BA0E99"/>
    <w:rsid w:val="00BA1EDC"/>
    <w:rsid w:val="00BA37AE"/>
    <w:rsid w:val="00BA6C83"/>
    <w:rsid w:val="00BB076F"/>
    <w:rsid w:val="00BB181A"/>
    <w:rsid w:val="00BC1344"/>
    <w:rsid w:val="00BC1E75"/>
    <w:rsid w:val="00BC296E"/>
    <w:rsid w:val="00BC3154"/>
    <w:rsid w:val="00BC6496"/>
    <w:rsid w:val="00BC6B92"/>
    <w:rsid w:val="00BD18DC"/>
    <w:rsid w:val="00BD225C"/>
    <w:rsid w:val="00BD7839"/>
    <w:rsid w:val="00BE2E43"/>
    <w:rsid w:val="00BE5EE7"/>
    <w:rsid w:val="00BE6061"/>
    <w:rsid w:val="00BF062C"/>
    <w:rsid w:val="00BF0A94"/>
    <w:rsid w:val="00BF0C6A"/>
    <w:rsid w:val="00BF4B6A"/>
    <w:rsid w:val="00BF4CF9"/>
    <w:rsid w:val="00BF52EC"/>
    <w:rsid w:val="00BF6FB8"/>
    <w:rsid w:val="00C00D50"/>
    <w:rsid w:val="00C0249C"/>
    <w:rsid w:val="00C07569"/>
    <w:rsid w:val="00C07AAA"/>
    <w:rsid w:val="00C101A8"/>
    <w:rsid w:val="00C11CA5"/>
    <w:rsid w:val="00C130C3"/>
    <w:rsid w:val="00C13D7E"/>
    <w:rsid w:val="00C141DB"/>
    <w:rsid w:val="00C162CE"/>
    <w:rsid w:val="00C200C0"/>
    <w:rsid w:val="00C23279"/>
    <w:rsid w:val="00C24636"/>
    <w:rsid w:val="00C26188"/>
    <w:rsid w:val="00C26FB6"/>
    <w:rsid w:val="00C30343"/>
    <w:rsid w:val="00C3663A"/>
    <w:rsid w:val="00C36A57"/>
    <w:rsid w:val="00C37F47"/>
    <w:rsid w:val="00C410F6"/>
    <w:rsid w:val="00C41664"/>
    <w:rsid w:val="00C44931"/>
    <w:rsid w:val="00C44BBC"/>
    <w:rsid w:val="00C4528D"/>
    <w:rsid w:val="00C53012"/>
    <w:rsid w:val="00C534B2"/>
    <w:rsid w:val="00C54FCC"/>
    <w:rsid w:val="00C563FD"/>
    <w:rsid w:val="00C61134"/>
    <w:rsid w:val="00C62537"/>
    <w:rsid w:val="00C66AD8"/>
    <w:rsid w:val="00C6776C"/>
    <w:rsid w:val="00C765B7"/>
    <w:rsid w:val="00C770AF"/>
    <w:rsid w:val="00C77D51"/>
    <w:rsid w:val="00C77EC6"/>
    <w:rsid w:val="00C809C9"/>
    <w:rsid w:val="00C81CE2"/>
    <w:rsid w:val="00C830CA"/>
    <w:rsid w:val="00C84019"/>
    <w:rsid w:val="00C8432C"/>
    <w:rsid w:val="00C9202B"/>
    <w:rsid w:val="00C94026"/>
    <w:rsid w:val="00C94AB9"/>
    <w:rsid w:val="00C95ECB"/>
    <w:rsid w:val="00C96727"/>
    <w:rsid w:val="00CA3112"/>
    <w:rsid w:val="00CA3E4E"/>
    <w:rsid w:val="00CA6C87"/>
    <w:rsid w:val="00CB05E1"/>
    <w:rsid w:val="00CB1A66"/>
    <w:rsid w:val="00CB2C6A"/>
    <w:rsid w:val="00CB374E"/>
    <w:rsid w:val="00CB58C3"/>
    <w:rsid w:val="00CB631F"/>
    <w:rsid w:val="00CC0B14"/>
    <w:rsid w:val="00CC2A71"/>
    <w:rsid w:val="00CC4FD6"/>
    <w:rsid w:val="00CD1BEF"/>
    <w:rsid w:val="00CD3E71"/>
    <w:rsid w:val="00CD4F6E"/>
    <w:rsid w:val="00CD7BDC"/>
    <w:rsid w:val="00CE2CEF"/>
    <w:rsid w:val="00CE43F2"/>
    <w:rsid w:val="00CE4ADB"/>
    <w:rsid w:val="00CE6FE5"/>
    <w:rsid w:val="00CF1259"/>
    <w:rsid w:val="00CF16EF"/>
    <w:rsid w:val="00CF309B"/>
    <w:rsid w:val="00CF325B"/>
    <w:rsid w:val="00CF5B24"/>
    <w:rsid w:val="00CF6BC5"/>
    <w:rsid w:val="00CF7828"/>
    <w:rsid w:val="00CF7E2F"/>
    <w:rsid w:val="00CF7F89"/>
    <w:rsid w:val="00D006A1"/>
    <w:rsid w:val="00D05DA9"/>
    <w:rsid w:val="00D0658E"/>
    <w:rsid w:val="00D11521"/>
    <w:rsid w:val="00D13981"/>
    <w:rsid w:val="00D13ACB"/>
    <w:rsid w:val="00D13D03"/>
    <w:rsid w:val="00D14B4F"/>
    <w:rsid w:val="00D14E3E"/>
    <w:rsid w:val="00D16495"/>
    <w:rsid w:val="00D269A5"/>
    <w:rsid w:val="00D301EE"/>
    <w:rsid w:val="00D315A5"/>
    <w:rsid w:val="00D31EC8"/>
    <w:rsid w:val="00D36786"/>
    <w:rsid w:val="00D400F9"/>
    <w:rsid w:val="00D42DB4"/>
    <w:rsid w:val="00D46D41"/>
    <w:rsid w:val="00D4706F"/>
    <w:rsid w:val="00D513B2"/>
    <w:rsid w:val="00D54235"/>
    <w:rsid w:val="00D5533B"/>
    <w:rsid w:val="00D5545C"/>
    <w:rsid w:val="00D559E8"/>
    <w:rsid w:val="00D563B2"/>
    <w:rsid w:val="00D57AAA"/>
    <w:rsid w:val="00D61132"/>
    <w:rsid w:val="00D61251"/>
    <w:rsid w:val="00D636AC"/>
    <w:rsid w:val="00D73879"/>
    <w:rsid w:val="00D73ACE"/>
    <w:rsid w:val="00D73E88"/>
    <w:rsid w:val="00D76C4F"/>
    <w:rsid w:val="00D76DE8"/>
    <w:rsid w:val="00D8140A"/>
    <w:rsid w:val="00D828F1"/>
    <w:rsid w:val="00D83BFF"/>
    <w:rsid w:val="00D85803"/>
    <w:rsid w:val="00D85DBD"/>
    <w:rsid w:val="00D85FF0"/>
    <w:rsid w:val="00D90867"/>
    <w:rsid w:val="00D91C4E"/>
    <w:rsid w:val="00D93C78"/>
    <w:rsid w:val="00D976E4"/>
    <w:rsid w:val="00DA37BB"/>
    <w:rsid w:val="00DA3CD5"/>
    <w:rsid w:val="00DA473B"/>
    <w:rsid w:val="00DA479B"/>
    <w:rsid w:val="00DB1640"/>
    <w:rsid w:val="00DB1BE6"/>
    <w:rsid w:val="00DB226A"/>
    <w:rsid w:val="00DB3FF2"/>
    <w:rsid w:val="00DB58F6"/>
    <w:rsid w:val="00DB66B5"/>
    <w:rsid w:val="00DB6856"/>
    <w:rsid w:val="00DC1C1D"/>
    <w:rsid w:val="00DC1F05"/>
    <w:rsid w:val="00DC298C"/>
    <w:rsid w:val="00DC5E25"/>
    <w:rsid w:val="00DD140C"/>
    <w:rsid w:val="00DD5BC0"/>
    <w:rsid w:val="00DE2E2A"/>
    <w:rsid w:val="00DF0B40"/>
    <w:rsid w:val="00DF4162"/>
    <w:rsid w:val="00E050B4"/>
    <w:rsid w:val="00E06CAF"/>
    <w:rsid w:val="00E12629"/>
    <w:rsid w:val="00E1405F"/>
    <w:rsid w:val="00E1457B"/>
    <w:rsid w:val="00E159F3"/>
    <w:rsid w:val="00E16129"/>
    <w:rsid w:val="00E171F9"/>
    <w:rsid w:val="00E22B36"/>
    <w:rsid w:val="00E22C32"/>
    <w:rsid w:val="00E23296"/>
    <w:rsid w:val="00E24ACA"/>
    <w:rsid w:val="00E24F07"/>
    <w:rsid w:val="00E26A65"/>
    <w:rsid w:val="00E270D6"/>
    <w:rsid w:val="00E31269"/>
    <w:rsid w:val="00E330F6"/>
    <w:rsid w:val="00E33A38"/>
    <w:rsid w:val="00E341EC"/>
    <w:rsid w:val="00E342A9"/>
    <w:rsid w:val="00E36D10"/>
    <w:rsid w:val="00E37FD7"/>
    <w:rsid w:val="00E420FB"/>
    <w:rsid w:val="00E435A6"/>
    <w:rsid w:val="00E44345"/>
    <w:rsid w:val="00E46E34"/>
    <w:rsid w:val="00E53D20"/>
    <w:rsid w:val="00E54E80"/>
    <w:rsid w:val="00E551F0"/>
    <w:rsid w:val="00E604A6"/>
    <w:rsid w:val="00E613D5"/>
    <w:rsid w:val="00E641CE"/>
    <w:rsid w:val="00E66764"/>
    <w:rsid w:val="00E70D56"/>
    <w:rsid w:val="00E71E87"/>
    <w:rsid w:val="00E761DA"/>
    <w:rsid w:val="00E80171"/>
    <w:rsid w:val="00E805BA"/>
    <w:rsid w:val="00E83970"/>
    <w:rsid w:val="00E83C2A"/>
    <w:rsid w:val="00E865ED"/>
    <w:rsid w:val="00E91B9C"/>
    <w:rsid w:val="00E95BAC"/>
    <w:rsid w:val="00E97AE5"/>
    <w:rsid w:val="00EA07B9"/>
    <w:rsid w:val="00EA0CEE"/>
    <w:rsid w:val="00EA0F31"/>
    <w:rsid w:val="00EA5D5E"/>
    <w:rsid w:val="00EA5EE0"/>
    <w:rsid w:val="00EC368B"/>
    <w:rsid w:val="00EC3E65"/>
    <w:rsid w:val="00EC49B1"/>
    <w:rsid w:val="00EC5EB8"/>
    <w:rsid w:val="00ED048A"/>
    <w:rsid w:val="00ED4BC3"/>
    <w:rsid w:val="00EE104B"/>
    <w:rsid w:val="00EE1834"/>
    <w:rsid w:val="00EE5BED"/>
    <w:rsid w:val="00EE614E"/>
    <w:rsid w:val="00EF1548"/>
    <w:rsid w:val="00EF3A5C"/>
    <w:rsid w:val="00EF4B2F"/>
    <w:rsid w:val="00EF554F"/>
    <w:rsid w:val="00EF6EC5"/>
    <w:rsid w:val="00F002A7"/>
    <w:rsid w:val="00F00E31"/>
    <w:rsid w:val="00F021DE"/>
    <w:rsid w:val="00F02531"/>
    <w:rsid w:val="00F03027"/>
    <w:rsid w:val="00F03A3C"/>
    <w:rsid w:val="00F044BC"/>
    <w:rsid w:val="00F04AA9"/>
    <w:rsid w:val="00F06176"/>
    <w:rsid w:val="00F06BA9"/>
    <w:rsid w:val="00F10E59"/>
    <w:rsid w:val="00F113C1"/>
    <w:rsid w:val="00F117B1"/>
    <w:rsid w:val="00F141F6"/>
    <w:rsid w:val="00F15E30"/>
    <w:rsid w:val="00F17B08"/>
    <w:rsid w:val="00F20199"/>
    <w:rsid w:val="00F20459"/>
    <w:rsid w:val="00F23EF5"/>
    <w:rsid w:val="00F2427C"/>
    <w:rsid w:val="00F26FF2"/>
    <w:rsid w:val="00F27266"/>
    <w:rsid w:val="00F308E1"/>
    <w:rsid w:val="00F32908"/>
    <w:rsid w:val="00F34ACC"/>
    <w:rsid w:val="00F4024C"/>
    <w:rsid w:val="00F4335F"/>
    <w:rsid w:val="00F4609B"/>
    <w:rsid w:val="00F460C2"/>
    <w:rsid w:val="00F50129"/>
    <w:rsid w:val="00F50CB0"/>
    <w:rsid w:val="00F53D03"/>
    <w:rsid w:val="00F55BEF"/>
    <w:rsid w:val="00F561C6"/>
    <w:rsid w:val="00F56415"/>
    <w:rsid w:val="00F56BCD"/>
    <w:rsid w:val="00F61085"/>
    <w:rsid w:val="00F61561"/>
    <w:rsid w:val="00F61805"/>
    <w:rsid w:val="00F6393A"/>
    <w:rsid w:val="00F63C8E"/>
    <w:rsid w:val="00F6603F"/>
    <w:rsid w:val="00F672A3"/>
    <w:rsid w:val="00F73415"/>
    <w:rsid w:val="00F80732"/>
    <w:rsid w:val="00F813E1"/>
    <w:rsid w:val="00F81B2C"/>
    <w:rsid w:val="00F81B5B"/>
    <w:rsid w:val="00F82880"/>
    <w:rsid w:val="00F84C82"/>
    <w:rsid w:val="00F84FE1"/>
    <w:rsid w:val="00F86F34"/>
    <w:rsid w:val="00F87658"/>
    <w:rsid w:val="00F90284"/>
    <w:rsid w:val="00FA0212"/>
    <w:rsid w:val="00FA5368"/>
    <w:rsid w:val="00FB1E57"/>
    <w:rsid w:val="00FB30BE"/>
    <w:rsid w:val="00FB6150"/>
    <w:rsid w:val="00FC16AB"/>
    <w:rsid w:val="00FC1997"/>
    <w:rsid w:val="00FC2562"/>
    <w:rsid w:val="00FC308A"/>
    <w:rsid w:val="00FC38B3"/>
    <w:rsid w:val="00FD0BF6"/>
    <w:rsid w:val="00FD1023"/>
    <w:rsid w:val="00FD156F"/>
    <w:rsid w:val="00FD1E9F"/>
    <w:rsid w:val="00FD2EEC"/>
    <w:rsid w:val="00FD3515"/>
    <w:rsid w:val="00FD4121"/>
    <w:rsid w:val="00FD6F24"/>
    <w:rsid w:val="00FD6F2F"/>
    <w:rsid w:val="00FE17D6"/>
    <w:rsid w:val="00FE5325"/>
    <w:rsid w:val="00FE5B80"/>
    <w:rsid w:val="00FE63D2"/>
    <w:rsid w:val="00FF0B9A"/>
    <w:rsid w:val="00FF1328"/>
    <w:rsid w:val="00FF14BD"/>
    <w:rsid w:val="00FF2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7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DB66B5"/>
  </w:style>
  <w:style w:type="character" w:styleId="a3">
    <w:name w:val="page number"/>
    <w:basedOn w:val="a0"/>
    <w:rsid w:val="00DB66B5"/>
  </w:style>
  <w:style w:type="paragraph" w:styleId="a4">
    <w:name w:val="header"/>
    <w:basedOn w:val="a"/>
    <w:link w:val="a5"/>
    <w:rsid w:val="00DB66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ій колонтитул Знак"/>
    <w:basedOn w:val="a0"/>
    <w:link w:val="a4"/>
    <w:rsid w:val="00DB66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rsid w:val="00DB66B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у виносці Знак"/>
    <w:basedOn w:val="a0"/>
    <w:link w:val="a6"/>
    <w:semiHidden/>
    <w:rsid w:val="00DB66B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069E0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E22C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E22C32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35183667768287546"/>
          <c:y val="0"/>
          <c:w val="0.80067846744486604"/>
          <c:h val="0.7097373070743016"/>
        </c:manualLayout>
      </c:layout>
      <c:bar3DChart>
        <c:barDir val="col"/>
        <c:grouping val="clustered"/>
        <c:ser>
          <c:idx val="0"/>
          <c:order val="0"/>
          <c:tx>
            <c:strRef>
              <c:f>Аркуш1!$B$1</c:f>
              <c:strCache>
                <c:ptCount val="1"/>
                <c:pt idx="0">
                  <c:v>Перебувало кримінальних проваджень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dLbls>
            <c:dLbl>
              <c:idx val="0"/>
              <c:layout>
                <c:manualLayout>
                  <c:x val="2.6973752463948644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870-48E5-8BC6-BAFD0CD61E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Аркуш1!$A$2</c:f>
              <c:numCache>
                <c:formatCode>General</c:formatCode>
                <c:ptCount val="1"/>
              </c:numCache>
            </c:numRef>
          </c:cat>
          <c:val>
            <c:numRef>
              <c:f>Аркуш1!$B$2</c:f>
              <c:numCache>
                <c:formatCode>General</c:formatCode>
                <c:ptCount val="1"/>
                <c:pt idx="0">
                  <c:v>5470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5C1-44E2-98D6-6E73EE857758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Закінчено кримінальних проваджень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dLbls>
            <c:dLbl>
              <c:idx val="0"/>
              <c:layout>
                <c:manualLayout>
                  <c:x val="6.7129629629629539E-2"/>
                  <c:y val="7.936507936507901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5C1-44E2-98D6-6E73EE8577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Аркуш1!$A$2</c:f>
              <c:numCache>
                <c:formatCode>General</c:formatCode>
                <c:ptCount val="1"/>
              </c:numCache>
            </c:numRef>
          </c:cat>
          <c:val>
            <c:numRef>
              <c:f>Аркуш1!$C$2</c:f>
              <c:numCache>
                <c:formatCode>General</c:formatCode>
                <c:ptCount val="1"/>
                <c:pt idx="0">
                  <c:v>3038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5C1-44E2-98D6-6E73EE857758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З постановлення вироку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dLbls>
            <c:dLbl>
              <c:idx val="0"/>
              <c:layout>
                <c:manualLayout>
                  <c:x val="3.4722222222222182E-2"/>
                  <c:y val="-3.6375241165772507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5C1-44E2-98D6-6E73EE8577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Аркуш1!$A$2</c:f>
              <c:numCache>
                <c:formatCode>General</c:formatCode>
                <c:ptCount val="1"/>
              </c:numCache>
            </c:numRef>
          </c:cat>
          <c:val>
            <c:numRef>
              <c:f>Аркуш1!$D$2</c:f>
              <c:numCache>
                <c:formatCode>General</c:formatCode>
                <c:ptCount val="1"/>
                <c:pt idx="0">
                  <c:v>2076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5C1-44E2-98D6-6E73EE857758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Закрито кримінальних проваджень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dLbls>
            <c:dLbl>
              <c:idx val="0"/>
              <c:layout>
                <c:manualLayout>
                  <c:x val="2.7777777777778068E-2"/>
                  <c:y val="-3.968253968253982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5C1-44E2-98D6-6E73EE8577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Аркуш1!$A$2</c:f>
              <c:numCache>
                <c:formatCode>General</c:formatCode>
                <c:ptCount val="1"/>
              </c:numCache>
            </c:numRef>
          </c:cat>
          <c:val>
            <c:numRef>
              <c:f>Аркуш1!$E$2</c:f>
              <c:numCache>
                <c:formatCode>General</c:formatCode>
                <c:ptCount val="1"/>
                <c:pt idx="0">
                  <c:v>937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5C1-44E2-98D6-6E73EE857758}"/>
            </c:ext>
          </c:extLst>
        </c:ser>
        <c:ser>
          <c:idx val="4"/>
          <c:order val="4"/>
          <c:tx>
            <c:strRef>
              <c:f>Аркуш1!$F$1</c:f>
              <c:strCache>
                <c:ptCount val="1"/>
                <c:pt idx="0">
                  <c:v>Із застосуванням заходів медичного характеру - 8</c:v>
                </c:pt>
              </c:strCache>
            </c:strRef>
          </c:tx>
          <c:cat>
            <c:numRef>
              <c:f>Аркуш1!$A$2</c:f>
              <c:numCache>
                <c:formatCode>General</c:formatCode>
                <c:ptCount val="1"/>
              </c:numCache>
            </c:numRef>
          </c:cat>
          <c:val>
            <c:numRef>
              <c:f>Аркуш1!$F$2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5"/>
          <c:order val="5"/>
          <c:tx>
            <c:strRef>
              <c:f>Аркуш1!$G$1</c:f>
              <c:strCache>
                <c:ptCount val="1"/>
                <c:pt idx="0">
                  <c:v>Із застосуванням заходів виховного характеру - 3</c:v>
                </c:pt>
              </c:strCache>
            </c:strRef>
          </c:tx>
          <c:cat>
            <c:numRef>
              <c:f>Аркуш1!$A$2</c:f>
              <c:numCache>
                <c:formatCode>General</c:formatCode>
                <c:ptCount val="1"/>
              </c:numCache>
            </c:numRef>
          </c:cat>
          <c:val>
            <c:numRef>
              <c:f>Аркуш1!$G$2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6"/>
          <c:order val="6"/>
          <c:tx>
            <c:strRef>
              <c:f>Аркуш1!$H$1</c:f>
              <c:strCache>
                <c:ptCount val="1"/>
                <c:pt idx="0">
                  <c:v>Для визначення підсудності - 14</c:v>
                </c:pt>
              </c:strCache>
            </c:strRef>
          </c:tx>
          <c:cat>
            <c:numRef>
              <c:f>Аркуш1!$A$2</c:f>
              <c:numCache>
                <c:formatCode>General</c:formatCode>
                <c:ptCount val="1"/>
              </c:numCache>
            </c:numRef>
          </c:cat>
          <c:val>
            <c:numRef>
              <c:f>Аркуш1!$H$2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dLbls>
          <c:showVal val="1"/>
        </c:dLbls>
        <c:shape val="cylinder"/>
        <c:axId val="71120384"/>
        <c:axId val="71121920"/>
        <c:axId val="0"/>
      </c:bar3DChart>
      <c:catAx>
        <c:axId val="711203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71121920"/>
        <c:crosses val="autoZero"/>
        <c:auto val="1"/>
        <c:lblAlgn val="ctr"/>
        <c:lblOffset val="100"/>
      </c:catAx>
      <c:valAx>
        <c:axId val="7112192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one"/>
        <c:crossAx val="7112038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 w="25400">
          <a:noFill/>
        </a:ln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0010881392818292"/>
          <c:w val="0.94841130261460893"/>
          <c:h val="0.5174076581014968"/>
        </c:manualLayout>
      </c:layout>
      <c:bar3DChart>
        <c:barDir val="col"/>
        <c:grouping val="clustered"/>
        <c:ser>
          <c:idx val="0"/>
          <c:order val="0"/>
          <c:tx>
            <c:strRef>
              <c:f>Аркуш1!$B$1</c:f>
              <c:strCache>
                <c:ptCount val="1"/>
                <c:pt idx="0">
                  <c:v>Злочини проти життя та здоров'я особи - 815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1"/>
                <c:pt idx="0">
                  <c:v>Категорія 1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815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5EE-4931-9E01-4C187ABC732B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Злочини проти власності - 638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dLbls>
            <c:dLbl>
              <c:idx val="0"/>
              <c:layout>
                <c:manualLayout>
                  <c:x val="2.4430871737923465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5EE-4931-9E01-4C187ABC73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1"/>
                <c:pt idx="0">
                  <c:v>Категорія 1</c:v>
                </c:pt>
              </c:strCache>
            </c:strRef>
          </c:cat>
          <c:val>
            <c:numRef>
              <c:f>Аркуш1!$C$2:$C$5</c:f>
              <c:numCache>
                <c:formatCode>General</c:formatCode>
                <c:ptCount val="4"/>
                <c:pt idx="0">
                  <c:v>638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5EE-4931-9E01-4C187ABC732B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Злочини у сфері наркотичних засобів - 403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dLbls>
            <c:dLbl>
              <c:idx val="0"/>
              <c:layout>
                <c:manualLayout>
                  <c:x val="3.3314825097168238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5EE-4931-9E01-4C187ABC73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1"/>
                <c:pt idx="0">
                  <c:v>Категорія 1</c:v>
                </c:pt>
              </c:strCache>
            </c:strRef>
          </c:cat>
          <c:val>
            <c:numRef>
              <c:f>Аркуш1!$D$2:$D$5</c:f>
              <c:numCache>
                <c:formatCode>General</c:formatCode>
                <c:ptCount val="4"/>
                <c:pt idx="0">
                  <c:v>403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5EE-4931-9E01-4C187ABC732B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Злочини проти бепеки руху та експлуатації транспорту - 242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dLbls>
            <c:dLbl>
              <c:idx val="0"/>
              <c:layout>
                <c:manualLayout>
                  <c:x val="4.8861743475846764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5EE-4931-9E01-4C187ABC73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1"/>
                <c:pt idx="0">
                  <c:v>Категорія 1</c:v>
                </c:pt>
              </c:strCache>
            </c:strRef>
          </c:cat>
          <c:val>
            <c:numRef>
              <c:f>Аркуш1!$E$2:$E$5</c:f>
              <c:numCache>
                <c:formatCode>General</c:formatCode>
                <c:ptCount val="4"/>
                <c:pt idx="0">
                  <c:v>242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5EE-4931-9E01-4C187ABC732B}"/>
            </c:ext>
          </c:extLst>
        </c:ser>
        <c:ser>
          <c:idx val="4"/>
          <c:order val="4"/>
          <c:tx>
            <c:strRef>
              <c:f>Аркуш1!$F$1</c:f>
              <c:strCache>
                <c:ptCount val="1"/>
                <c:pt idx="0">
                  <c:v>Злочини проти основ національної безпеки - 110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dLbls>
            <c:dLbl>
              <c:idx val="0"/>
              <c:layout>
                <c:manualLayout>
                  <c:x val="2.8872848417545942E-2"/>
                  <c:y val="8.2169268693508633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5EE-4931-9E01-4C187ABC73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1"/>
                <c:pt idx="0">
                  <c:v>Категорія 1</c:v>
                </c:pt>
              </c:strCache>
            </c:strRef>
          </c:cat>
          <c:val>
            <c:numRef>
              <c:f>Аркуш1!$F$2:$F$5</c:f>
              <c:numCache>
                <c:formatCode>General</c:formatCode>
                <c:ptCount val="4"/>
                <c:pt idx="0">
                  <c:v>110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5EE-4931-9E01-4C187ABC732B}"/>
            </c:ext>
          </c:extLst>
        </c:ser>
        <c:dLbls>
          <c:showVal val="1"/>
        </c:dLbls>
        <c:shape val="box"/>
        <c:axId val="72168576"/>
        <c:axId val="72170112"/>
        <c:axId val="0"/>
      </c:bar3DChart>
      <c:catAx>
        <c:axId val="72168576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72170112"/>
        <c:crosses val="autoZero"/>
        <c:auto val="1"/>
        <c:lblAlgn val="ctr"/>
        <c:lblOffset val="100"/>
      </c:catAx>
      <c:valAx>
        <c:axId val="7217011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one"/>
        <c:crossAx val="72168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6"/>
          <c:dPt>
            <c:idx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DB3-4093-A54E-A4CA5611091D}"/>
              </c:ext>
            </c:extLst>
          </c:dPt>
          <c:dPt>
            <c:idx val="1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DB3-4093-A54E-A4CA5611091D}"/>
              </c:ext>
            </c:extLst>
          </c:dPt>
          <c:dPt>
            <c:idx val="2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BDB3-4093-A54E-A4CA5611091D}"/>
              </c:ext>
            </c:extLst>
          </c:dPt>
          <c:dPt>
            <c:idx val="3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DB3-4093-A54E-A4CA5611091D}"/>
              </c:ext>
            </c:extLst>
          </c:dPt>
          <c:dPt>
            <c:idx val="4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104-4E2A-9BE4-57EC4030B581}"/>
              </c:ext>
            </c:extLst>
          </c:dPt>
          <c:dLbls>
            <c:dLbl>
              <c:idx val="0"/>
              <c:layout>
                <c:manualLayout>
                  <c:x val="2.8342720180810643E-2"/>
                  <c:y val="-0.10614998012211549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DB3-4093-A54E-A4CA5611091D}"/>
                </c:ext>
              </c:extLst>
            </c:dLbl>
            <c:dLbl>
              <c:idx val="1"/>
              <c:layout>
                <c:manualLayout>
                  <c:x val="-1.3806503353747522E-2"/>
                  <c:y val="1.5554296293219564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DB3-4093-A54E-A4CA5611091D}"/>
                </c:ext>
              </c:extLst>
            </c:dLbl>
            <c:dLbl>
              <c:idx val="2"/>
              <c:layout>
                <c:manualLayout>
                  <c:x val="3.6986981104970124E-4"/>
                  <c:y val="-7.7038834545256923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DB3-4093-A54E-A4CA5611091D}"/>
                </c:ext>
              </c:extLst>
            </c:dLbl>
            <c:dLbl>
              <c:idx val="3"/>
              <c:layout>
                <c:manualLayout>
                  <c:x val="1.0537617032945498E-2"/>
                  <c:y val="-3.673291104286784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6.3657407407407413E-2"/>
                      <c:h val="4.615674453654860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BDB3-4093-A54E-A4CA5611091D}"/>
                </c:ext>
              </c:extLst>
            </c:dLbl>
            <c:dLbl>
              <c:idx val="4"/>
              <c:layout>
                <c:manualLayout>
                  <c:x val="-4.4049764301850331E-3"/>
                  <c:y val="-2.4370120578710949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104-4E2A-9BE4-57EC4030B58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Аркуш1!$A$2:$A$6</c:f>
              <c:strCache>
                <c:ptCount val="5"/>
                <c:pt idx="0">
                  <c:v>Не розглянуто на кінець звітного  періоду - 2432</c:v>
                </c:pt>
                <c:pt idx="1">
                  <c:v>Не розглянуто понад 6 місяців, 1 рік - 301</c:v>
                </c:pt>
                <c:pt idx="2">
                  <c:v>Понад 1 рік до 2 років - 246</c:v>
                </c:pt>
                <c:pt idx="3">
                  <c:v>Понад 2 роки - 401</c:v>
                </c:pt>
                <c:pt idx="4">
                  <c:v>Зупинено кримінальних проваджень - 783</c:v>
                </c:pt>
              </c:strCache>
            </c:strRef>
          </c:cat>
          <c:val>
            <c:numRef>
              <c:f>Аркуш1!$B$2:$B$6</c:f>
              <c:numCache>
                <c:formatCode>General</c:formatCode>
                <c:ptCount val="5"/>
                <c:pt idx="0">
                  <c:v>2432</c:v>
                </c:pt>
                <c:pt idx="1">
                  <c:v>301</c:v>
                </c:pt>
                <c:pt idx="2">
                  <c:v>246</c:v>
                </c:pt>
                <c:pt idx="3">
                  <c:v>401</c:v>
                </c:pt>
                <c:pt idx="4">
                  <c:v>783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DB3-4093-A54E-A4CA5611091D}"/>
            </c:ext>
          </c:extLst>
        </c:ser>
        <c:dLbls>
          <c:showVal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620188101487314"/>
          <c:y val="0.64731908511436076"/>
          <c:w val="0.82463327500729078"/>
          <c:h val="0.32887139107611657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 algn="just">
        <a:defRPr/>
      </a:pPr>
      <a:endParaRPr lang="uk-UA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26"/>
  <c:chart>
    <c:plotArea>
      <c:layout>
        <c:manualLayout>
          <c:layoutTarget val="inner"/>
          <c:xMode val="edge"/>
          <c:yMode val="edge"/>
          <c:x val="0"/>
          <c:y val="4.3650793650793704E-2"/>
          <c:w val="0.69145942694663154"/>
          <c:h val="0.85693788276465443"/>
        </c:manualLayout>
      </c:layout>
      <c:barChart>
        <c:barDir val="col"/>
        <c:grouping val="clustered"/>
        <c:ser>
          <c:idx val="0"/>
          <c:order val="0"/>
          <c:tx>
            <c:strRef>
              <c:f>Аркуш1!$B$1</c:f>
              <c:strCache>
                <c:ptCount val="1"/>
                <c:pt idx="0">
                  <c:v>Вього закінчено проваджень </c:v>
                </c:pt>
              </c:strCache>
            </c:strRef>
          </c:tx>
          <c:cat>
            <c:strRef>
              <c:f>Аркуш1!$A$2:$A$3</c:f>
              <c:strCache>
                <c:ptCount val="2"/>
                <c:pt idx="0">
                  <c:v>2024 рік</c:v>
                </c:pt>
                <c:pt idx="1">
                  <c:v>2023 рік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13825</c:v>
                </c:pt>
                <c:pt idx="1">
                  <c:v>11721</c:v>
                </c:pt>
              </c:numCache>
            </c:numRef>
          </c:val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Із ухваленням рішення</c:v>
                </c:pt>
              </c:strCache>
            </c:strRef>
          </c:tx>
          <c:cat>
            <c:strRef>
              <c:f>Аркуш1!$A$2:$A$3</c:f>
              <c:strCache>
                <c:ptCount val="2"/>
                <c:pt idx="0">
                  <c:v>2024 рік</c:v>
                </c:pt>
                <c:pt idx="1">
                  <c:v>2023 рік</c:v>
                </c:pt>
              </c:strCache>
            </c:strRef>
          </c:cat>
          <c:val>
            <c:numRef>
              <c:f>Аркуш1!$C$2:$C$3</c:f>
              <c:numCache>
                <c:formatCode>General</c:formatCode>
                <c:ptCount val="2"/>
                <c:pt idx="0">
                  <c:v>12099</c:v>
                </c:pt>
                <c:pt idx="1">
                  <c:v>10194</c:v>
                </c:pt>
              </c:numCache>
            </c:numRef>
          </c:val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Із закриттям провадження </c:v>
                </c:pt>
              </c:strCache>
            </c:strRef>
          </c:tx>
          <c:cat>
            <c:strRef>
              <c:f>Аркуш1!$A$2:$A$3</c:f>
              <c:strCache>
                <c:ptCount val="2"/>
                <c:pt idx="0">
                  <c:v>2024 рік</c:v>
                </c:pt>
                <c:pt idx="1">
                  <c:v>2023 рік</c:v>
                </c:pt>
              </c:strCache>
            </c:strRef>
          </c:cat>
          <c:val>
            <c:numRef>
              <c:f>Аркуш1!$D$2:$D$3</c:f>
              <c:numCache>
                <c:formatCode>General</c:formatCode>
                <c:ptCount val="2"/>
                <c:pt idx="0">
                  <c:v>635</c:v>
                </c:pt>
                <c:pt idx="1">
                  <c:v>511</c:v>
                </c:pt>
              </c:numCache>
            </c:numRef>
          </c:val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Із залишенням без розгляду</c:v>
                </c:pt>
              </c:strCache>
            </c:strRef>
          </c:tx>
          <c:cat>
            <c:strRef>
              <c:f>Аркуш1!$A$2:$A$3</c:f>
              <c:strCache>
                <c:ptCount val="2"/>
                <c:pt idx="0">
                  <c:v>2024 рік</c:v>
                </c:pt>
                <c:pt idx="1">
                  <c:v>2023 рік</c:v>
                </c:pt>
              </c:strCache>
            </c:strRef>
          </c:cat>
          <c:val>
            <c:numRef>
              <c:f>Аркуш1!$E$2:$E$3</c:f>
              <c:numCache>
                <c:formatCode>General</c:formatCode>
                <c:ptCount val="2"/>
                <c:pt idx="0">
                  <c:v>981</c:v>
                </c:pt>
                <c:pt idx="1">
                  <c:v>933</c:v>
                </c:pt>
              </c:numCache>
            </c:numRef>
          </c:val>
        </c:ser>
        <c:ser>
          <c:idx val="4"/>
          <c:order val="4"/>
          <c:tx>
            <c:strRef>
              <c:f>Аркуш1!$F$1</c:f>
              <c:strCache>
                <c:ptCount val="1"/>
                <c:pt idx="0">
                  <c:v>Передано за підсудністю в інші суди</c:v>
                </c:pt>
              </c:strCache>
            </c:strRef>
          </c:tx>
          <c:cat>
            <c:strRef>
              <c:f>Аркуш1!$A$2:$A$3</c:f>
              <c:strCache>
                <c:ptCount val="2"/>
                <c:pt idx="0">
                  <c:v>2024 рік</c:v>
                </c:pt>
                <c:pt idx="1">
                  <c:v>2023 рік</c:v>
                </c:pt>
              </c:strCache>
            </c:strRef>
          </c:cat>
          <c:val>
            <c:numRef>
              <c:f>Аркуш1!$F$2:$F$3</c:f>
              <c:numCache>
                <c:formatCode>General</c:formatCode>
                <c:ptCount val="2"/>
                <c:pt idx="0">
                  <c:v>109</c:v>
                </c:pt>
                <c:pt idx="1">
                  <c:v>79</c:v>
                </c:pt>
              </c:numCache>
            </c:numRef>
          </c:val>
        </c:ser>
        <c:ser>
          <c:idx val="5"/>
          <c:order val="5"/>
          <c:tx>
            <c:strRef>
              <c:f>Аркуш1!$G$1</c:f>
              <c:strCache>
                <c:ptCount val="1"/>
                <c:pt idx="0">
                  <c:v>Інше </c:v>
                </c:pt>
              </c:strCache>
            </c:strRef>
          </c:tx>
          <c:cat>
            <c:strRef>
              <c:f>Аркуш1!$A$2:$A$3</c:f>
              <c:strCache>
                <c:ptCount val="2"/>
                <c:pt idx="0">
                  <c:v>2024 рік</c:v>
                </c:pt>
                <c:pt idx="1">
                  <c:v>2023 рік</c:v>
                </c:pt>
              </c:strCache>
            </c:strRef>
          </c:cat>
          <c:val>
            <c:numRef>
              <c:f>Аркуш1!$G$2:$G$3</c:f>
              <c:numCache>
                <c:formatCode>General</c:formatCode>
                <c:ptCount val="2"/>
                <c:pt idx="0">
                  <c:v>1</c:v>
                </c:pt>
                <c:pt idx="1">
                  <c:v>4</c:v>
                </c:pt>
              </c:numCache>
            </c:numRef>
          </c:val>
        </c:ser>
        <c:dLbls>
          <c:showVal val="1"/>
        </c:dLbls>
        <c:axId val="83546496"/>
        <c:axId val="83548032"/>
      </c:barChart>
      <c:catAx>
        <c:axId val="83546496"/>
        <c:scaling>
          <c:orientation val="minMax"/>
        </c:scaling>
        <c:axPos val="b"/>
        <c:tickLblPos val="nextTo"/>
        <c:crossAx val="83548032"/>
        <c:crosses val="autoZero"/>
        <c:auto val="1"/>
        <c:lblAlgn val="ctr"/>
        <c:lblOffset val="100"/>
      </c:catAx>
      <c:valAx>
        <c:axId val="83548032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83546496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explosion val="13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9A9-4478-B266-E050BB333119}"/>
              </c:ext>
            </c:extLst>
          </c:dPt>
          <c:dPt>
            <c:idx val="1"/>
            <c:explosion val="6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F9A9-4478-B266-E050BB333119}"/>
              </c:ext>
            </c:extLst>
          </c:dPt>
          <c:dPt>
            <c:idx val="2"/>
            <c:explosion val="12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9A9-4478-B266-E050BB333119}"/>
              </c:ext>
            </c:extLst>
          </c:dPt>
          <c:dPt>
            <c:idx val="3"/>
            <c:explosion val="13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F9A9-4478-B266-E050BB333119}"/>
              </c:ext>
            </c:extLst>
          </c:dPt>
          <c:dLbls>
            <c:dLbl>
              <c:idx val="0"/>
              <c:layout>
                <c:manualLayout>
                  <c:x val="6.3688293827083523E-3"/>
                  <c:y val="-7.240323961242659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9A9-4478-B266-E050BB333119}"/>
                </c:ext>
              </c:extLst>
            </c:dLbl>
            <c:dLbl>
              <c:idx val="1"/>
              <c:layout>
                <c:manualLayout>
                  <c:x val="-1.3936463195018921E-2"/>
                  <c:y val="-8.6782630641916839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9A9-4478-B266-E050BB333119}"/>
                </c:ext>
              </c:extLst>
            </c:dLbl>
            <c:dLbl>
              <c:idx val="2"/>
              <c:layout>
                <c:manualLayout>
                  <c:x val="-4.4840698414643932E-3"/>
                  <c:y val="2.70079196269613E-3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9A9-4478-B266-E050BB333119}"/>
                </c:ext>
              </c:extLst>
            </c:dLbl>
            <c:dLbl>
              <c:idx val="3"/>
              <c:layout>
                <c:manualLayout>
                  <c:x val="1.9831762274851835E-2"/>
                  <c:y val="-9.1517378632363384E-3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9A9-4478-B266-E050BB3331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Val val="1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Всього закінчено проваджень - 13825</c:v>
                </c:pt>
                <c:pt idx="1">
                  <c:v>Спори, що виникають із сімейних відносин - 6044</c:v>
                </c:pt>
                <c:pt idx="2">
                  <c:v>Спори, із правочинів - 4739</c:v>
                </c:pt>
                <c:pt idx="3">
                  <c:v>Спори, із відносин спадкування - 1158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13825</c:v>
                </c:pt>
                <c:pt idx="1">
                  <c:v>6044</c:v>
                </c:pt>
                <c:pt idx="2">
                  <c:v>4739</c:v>
                </c:pt>
                <c:pt idx="3">
                  <c:v>1158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A9-4478-B266-E050BB333119}"/>
            </c:ext>
          </c:extLst>
        </c:ser>
        <c:dLbls>
          <c:showVal val="1"/>
        </c:dLbls>
      </c:pie3D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ser>
          <c:idx val="0"/>
          <c:order val="0"/>
          <c:tx>
            <c:strRef>
              <c:f>Аркуш1!$B$1</c:f>
              <c:strCache>
                <c:ptCount val="1"/>
                <c:pt idx="0">
                  <c:v>Перебувало адміністративних заяв - 489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layout>
                <c:manualLayout>
                  <c:x val="-2.3148148148149851E-3"/>
                  <c:y val="9.126984126984125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B04-47FE-B999-76EA9CD305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1"/>
                <c:pt idx="0">
                  <c:v>Категорія 1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489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B04-47FE-B999-76EA9CD3058E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Відкрито адміністративних проваджень - 398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1"/>
                <c:pt idx="0">
                  <c:v>Категорія 1</c:v>
                </c:pt>
              </c:strCache>
            </c:strRef>
          </c:cat>
          <c:val>
            <c:numRef>
              <c:f>Аркуш1!$C$2:$C$5</c:f>
              <c:numCache>
                <c:formatCode>General</c:formatCode>
                <c:ptCount val="4"/>
                <c:pt idx="0">
                  <c:v>398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B04-47FE-B999-76EA9CD3058E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Розглянуто адміністративних заяв - 475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layout>
                <c:manualLayout>
                  <c:x val="-5.3240740740740866E-2"/>
                  <c:y val="-2.380952380952381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B04-47FE-B999-76EA9CD305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1"/>
                <c:pt idx="0">
                  <c:v>Категорія 1</c:v>
                </c:pt>
              </c:strCache>
            </c:strRef>
          </c:cat>
          <c:val>
            <c:numRef>
              <c:f>Аркуш1!$D$2:$D$5</c:f>
              <c:numCache>
                <c:formatCode>General</c:formatCode>
                <c:ptCount val="4"/>
                <c:pt idx="0">
                  <c:v>475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B04-47FE-B999-76EA9CD3058E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Повернуто адміністративних заяв -55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layout>
                <c:manualLayout>
                  <c:x val="-4.6296296296296693E-3"/>
                  <c:y val="-2.777777777777796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B04-47FE-B999-76EA9CD305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1"/>
                <c:pt idx="0">
                  <c:v>Категорія 1</c:v>
                </c:pt>
              </c:strCache>
            </c:strRef>
          </c:cat>
          <c:val>
            <c:numRef>
              <c:f>Аркуш1!$E$2:$E$5</c:f>
              <c:numCache>
                <c:formatCode>General</c:formatCode>
                <c:ptCount val="4"/>
                <c:pt idx="0">
                  <c:v>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B04-47FE-B999-76EA9CD3058E}"/>
            </c:ext>
          </c:extLst>
        </c:ser>
        <c:ser>
          <c:idx val="4"/>
          <c:order val="4"/>
          <c:tx>
            <c:strRef>
              <c:f>Аркуш1!$F$1</c:f>
              <c:strCache>
                <c:ptCount val="1"/>
                <c:pt idx="0">
                  <c:v>Відмовлено у відкритті адміністративного провадження - 2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layout>
                <c:manualLayout>
                  <c:x val="3.1923714759535655E-2"/>
                  <c:y val="-9.5558876670161425E-4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B04-47FE-B999-76EA9CD305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1"/>
                <c:pt idx="0">
                  <c:v>Категорія 1</c:v>
                </c:pt>
              </c:strCache>
            </c:strRef>
          </c:cat>
          <c:val>
            <c:numRef>
              <c:f>Аркуш1!$F$2:$F$5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B04-47FE-B999-76EA9CD3058E}"/>
            </c:ext>
          </c:extLst>
        </c:ser>
        <c:ser>
          <c:idx val="5"/>
          <c:order val="5"/>
          <c:tx>
            <c:strRef>
              <c:f>Аркуш1!$G$1</c:f>
              <c:strCache>
                <c:ptCount val="1"/>
                <c:pt idx="0">
                  <c:v>Нерозглянутих заяв на кінець звітного періоду - 14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layout>
                <c:manualLayout>
                  <c:x val="-7.1793754325485432E-2"/>
                  <c:y val="-2.866468886856564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B04-47FE-B999-76EA9CD305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1"/>
                <c:pt idx="0">
                  <c:v>Категорія 1</c:v>
                </c:pt>
              </c:strCache>
            </c:strRef>
          </c:cat>
          <c:val>
            <c:numRef>
              <c:f>Аркуш1!$G$2:$G$5</c:f>
              <c:numCache>
                <c:formatCode>General</c:formatCode>
                <c:ptCount val="4"/>
                <c:pt idx="0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B04-47FE-B999-76EA9CD3058E}"/>
            </c:ext>
          </c:extLst>
        </c:ser>
        <c:ser>
          <c:idx val="6"/>
          <c:order val="6"/>
          <c:tx>
            <c:strRef>
              <c:f>Аркуш1!$H$1</c:f>
              <c:strCache>
                <c:ptCount val="1"/>
                <c:pt idx="0">
                  <c:v>Інше - 20</c:v>
                </c:pt>
              </c:strCache>
            </c:strRef>
          </c:tx>
          <c:dLbls>
            <c:dLbl>
              <c:idx val="0"/>
              <c:layout>
                <c:manualLayout>
                  <c:x val="2.0729684908789387E-3"/>
                  <c:y val="-2.2662889518413627E-2"/>
                </c:manualLayout>
              </c:layout>
              <c:showVal val="1"/>
            </c:dLbl>
            <c:showVal val="1"/>
          </c:dLbls>
          <c:cat>
            <c:strRef>
              <c:f>Аркуш1!$A$2:$A$5</c:f>
              <c:strCache>
                <c:ptCount val="1"/>
                <c:pt idx="0">
                  <c:v>Категорія 1</c:v>
                </c:pt>
              </c:strCache>
            </c:strRef>
          </c:cat>
          <c:val>
            <c:numRef>
              <c:f>Аркуш1!$H$2:$H$5</c:f>
              <c:numCache>
                <c:formatCode>General</c:formatCode>
                <c:ptCount val="4"/>
                <c:pt idx="0">
                  <c:v>20</c:v>
                </c:pt>
              </c:numCache>
            </c:numRef>
          </c:val>
        </c:ser>
        <c:dLbls>
          <c:showVal val="1"/>
        </c:dLbls>
        <c:shape val="box"/>
        <c:axId val="84429440"/>
        <c:axId val="84439424"/>
        <c:axId val="0"/>
      </c:bar3DChart>
      <c:catAx>
        <c:axId val="84429440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84439424"/>
        <c:crosses val="autoZero"/>
        <c:auto val="1"/>
        <c:lblAlgn val="ctr"/>
        <c:lblOffset val="100"/>
      </c:catAx>
      <c:valAx>
        <c:axId val="8443942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one"/>
        <c:crossAx val="84429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992683921045817"/>
          <c:y val="8.1942744395929606E-2"/>
          <c:w val="0.82788099763391665"/>
          <c:h val="0.57017559464561285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9"/>
          <c:dPt>
            <c:idx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E2A-4A69-8081-E003352B3855}"/>
              </c:ext>
            </c:extLst>
          </c:dPt>
          <c:dPt>
            <c:idx val="1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4E2A-4A69-8081-E003352B3855}"/>
              </c:ext>
            </c:extLst>
          </c:dPt>
          <c:dPt>
            <c:idx val="2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E2A-4A69-8081-E003352B3855}"/>
              </c:ext>
            </c:extLst>
          </c:dPt>
          <c:dPt>
            <c:idx val="3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4E2A-4A69-8081-E003352B3855}"/>
              </c:ext>
            </c:extLst>
          </c:dPt>
          <c:dLbls>
            <c:dLbl>
              <c:idx val="0"/>
              <c:layout>
                <c:manualLayout>
                  <c:x val="4.9261083743842422E-2"/>
                  <c:y val="-7.2427955650245193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1886913686014136"/>
                      <c:h val="5.110274341043571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4E2A-4A69-8081-E003352B3855}"/>
                </c:ext>
              </c:extLst>
            </c:dLbl>
            <c:dLbl>
              <c:idx val="1"/>
              <c:layout>
                <c:manualLayout>
                  <c:x val="-2.0367375367434392E-2"/>
                  <c:y val="2.857066212608308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ctr"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E2A-4A69-8081-E003352B3855}"/>
                </c:ext>
              </c:extLst>
            </c:dLbl>
            <c:dLbl>
              <c:idx val="3"/>
              <c:layout>
                <c:manualLayout>
                  <c:x val="2.4298649325505982E-2"/>
                  <c:y val="-6.8088987531749676E-3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E2A-4A69-8081-E003352B385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Val val="1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Розглянуто адміністративних проваджень -426</c:v>
                </c:pt>
                <c:pt idx="1">
                  <c:v>Провадження зі спорів з приводу забезпечення громадського порядку та безпеки - 397</c:v>
                </c:pt>
                <c:pt idx="2">
                  <c:v>Провадження щодо захисту політичних (крім виборчих) та громадянських прав -11</c:v>
                </c:pt>
                <c:pt idx="3">
                  <c:v>Провадження з приводу регулюванню містобудівної діяльності та землекористування  -7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426</c:v>
                </c:pt>
                <c:pt idx="1">
                  <c:v>397</c:v>
                </c:pt>
                <c:pt idx="2">
                  <c:v>11</c:v>
                </c:pt>
                <c:pt idx="3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E2A-4A69-8081-E003352B3855}"/>
            </c:ext>
          </c:extLst>
        </c:ser>
        <c:dLbls>
          <c:showVal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8714868362241142E-2"/>
          <c:y val="0.63494128830546792"/>
          <c:w val="0.82257009428709271"/>
          <c:h val="0.36505871169453546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ser>
          <c:idx val="0"/>
          <c:order val="0"/>
          <c:tx>
            <c:strRef>
              <c:f>Аркуш1!$B$1</c:f>
              <c:strCache>
                <c:ptCount val="1"/>
                <c:pt idx="0">
                  <c:v>Надійшло матеріалів про адміністративне правопорушення - 21044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-5.8212058212058229E-2"/>
                  <c:y val="-1.414177125684992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84-408D-A665-6BB2F5483DD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1"/>
                <c:pt idx="0">
                  <c:v>Категорія 1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21044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485-44CD-A41A-A6A61B5EE8B1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Повернуто протоколів про адміністративне правопорушення - 897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5.0925925925925923E-2"/>
                  <c:y val="5.952380952380959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485-44CD-A41A-A6A61B5EE8B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1"/>
                <c:pt idx="0">
                  <c:v>Категорія 1</c:v>
                </c:pt>
              </c:strCache>
            </c:strRef>
          </c:cat>
          <c:val>
            <c:numRef>
              <c:f>Аркуш1!$C$2:$C$5</c:f>
              <c:numCache>
                <c:formatCode>General</c:formatCode>
                <c:ptCount val="4"/>
                <c:pt idx="0">
                  <c:v>897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485-44CD-A41A-A6A61B5EE8B1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Розглянуто протоколів про адміністративні правопорушення - 20659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-6.8607068607068639E-2"/>
                  <c:y val="-2.474809969948737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84-408D-A665-6BB2F5483DD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1"/>
                <c:pt idx="0">
                  <c:v>Категорія 1</c:v>
                </c:pt>
              </c:strCache>
            </c:strRef>
          </c:cat>
          <c:val>
            <c:numRef>
              <c:f>Аркуш1!$D$2:$D$5</c:f>
              <c:numCache>
                <c:formatCode>General</c:formatCode>
                <c:ptCount val="4"/>
                <c:pt idx="0">
                  <c:v>20659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485-44CD-A41A-A6A61B5EE8B1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Залишок нерозглянутих справ на кінець звітного періоду - 1887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6.3914908245616922E-2"/>
                  <c:y val="6.082725060827250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485-44CD-A41A-A6A61B5EE8B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1"/>
                <c:pt idx="0">
                  <c:v>Категорія 1</c:v>
                </c:pt>
              </c:strCache>
            </c:strRef>
          </c:cat>
          <c:val>
            <c:numRef>
              <c:f>Аркуш1!$E$2:$E$5</c:f>
              <c:numCache>
                <c:formatCode>General</c:formatCode>
                <c:ptCount val="4"/>
                <c:pt idx="0">
                  <c:v>1887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485-44CD-A41A-A6A61B5EE8B1}"/>
            </c:ext>
          </c:extLst>
        </c:ser>
        <c:ser>
          <c:idx val="4"/>
          <c:order val="4"/>
          <c:tx>
            <c:strRef>
              <c:f>Аркуш1!$F$1</c:f>
              <c:strCache>
                <c:ptCount val="1"/>
                <c:pt idx="0">
                  <c:v>Перебувало всього - 23443</c:v>
                </c:pt>
              </c:strCache>
            </c:strRef>
          </c:tx>
          <c:dLbls>
            <c:txPr>
              <a:bodyPr/>
              <a:lstStyle/>
              <a:p>
                <a:pPr>
                  <a:defRPr sz="900"/>
                </a:pPr>
                <a:endParaRPr lang="uk-UA"/>
              </a:p>
            </c:txPr>
            <c:showVal val="1"/>
          </c:dLbls>
          <c:cat>
            <c:strRef>
              <c:f>Аркуш1!$A$2:$A$5</c:f>
              <c:strCache>
                <c:ptCount val="1"/>
                <c:pt idx="0">
                  <c:v>Категорія 1</c:v>
                </c:pt>
              </c:strCache>
            </c:strRef>
          </c:cat>
          <c:val>
            <c:numRef>
              <c:f>Аркуш1!$F$2:$F$5</c:f>
              <c:numCache>
                <c:formatCode>General</c:formatCode>
                <c:ptCount val="4"/>
                <c:pt idx="0">
                  <c:v>23443</c:v>
                </c:pt>
              </c:numCache>
            </c:numRef>
          </c:val>
        </c:ser>
        <c:dLbls>
          <c:showVal val="1"/>
        </c:dLbls>
        <c:shape val="box"/>
        <c:axId val="89153920"/>
        <c:axId val="89155456"/>
        <c:axId val="100556800"/>
      </c:bar3DChart>
      <c:catAx>
        <c:axId val="89153920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89155456"/>
        <c:crosses val="autoZero"/>
        <c:auto val="1"/>
        <c:lblAlgn val="ctr"/>
        <c:lblOffset val="100"/>
      </c:catAx>
      <c:valAx>
        <c:axId val="8915545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one"/>
        <c:crossAx val="89153920"/>
        <c:crosses val="autoZero"/>
        <c:crossBetween val="between"/>
      </c:valAx>
      <c:serAx>
        <c:axId val="100556800"/>
        <c:scaling>
          <c:orientation val="minMax"/>
        </c:scaling>
        <c:delete val="1"/>
        <c:axPos val="b"/>
        <c:tickLblPos val="none"/>
        <c:crossAx val="89155456"/>
        <c:crosses val="autoZero"/>
      </c:ser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70830127523119"/>
          <c:y val="0.62307444233704423"/>
          <c:w val="0.626874294039649"/>
          <c:h val="0.37692555766295688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9537062740654256E-2"/>
          <c:y val="8.8293277987976593E-2"/>
          <c:w val="0.90046293469237537"/>
          <c:h val="0.63752439372799652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37"/>
          <c:dPt>
            <c:idx val="0"/>
            <c:explosion val="2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59C9-4093-9B58-365F2B3D070C}"/>
              </c:ext>
            </c:extLst>
          </c:dPt>
          <c:dPt>
            <c:idx val="1"/>
            <c:explosion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C99-44D5-947D-604B99525B35}"/>
              </c:ext>
            </c:extLst>
          </c:dPt>
          <c:dPt>
            <c:idx val="2"/>
            <c:explosion val="25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9C9-4093-9B58-365F2B3D070C}"/>
              </c:ext>
            </c:extLst>
          </c:dPt>
          <c:dPt>
            <c:idx val="3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9C9-4093-9B58-365F2B3D070C}"/>
              </c:ext>
            </c:extLst>
          </c:dPt>
          <c:dLbls>
            <c:dLbl>
              <c:idx val="0"/>
              <c:layout>
                <c:manualLayout>
                  <c:x val="1.3669619422572181E-2"/>
                  <c:y val="-1.4435695538057746E-4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9C9-4093-9B58-365F2B3D070C}"/>
                </c:ext>
              </c:extLst>
            </c:dLbl>
            <c:dLbl>
              <c:idx val="2"/>
              <c:layout>
                <c:manualLayout>
                  <c:x val="-1.3966661985584444E-2"/>
                  <c:y val="-6.0672397712620403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9C9-4093-9B58-365F2B3D070C}"/>
                </c:ext>
              </c:extLst>
            </c:dLbl>
            <c:dLbl>
              <c:idx val="3"/>
              <c:layout>
                <c:manualLayout>
                  <c:x val="2.1037656751239441E-2"/>
                  <c:y val="-6.3367079115110901E-3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9C9-4093-9B58-365F2B3D07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Аркуш1!$A$2:$A$6</c:f>
              <c:strCache>
                <c:ptCount val="5"/>
                <c:pt idx="0">
                  <c:v>Надійшло справ за ст. 130 КУпАП - 3062</c:v>
                </c:pt>
                <c:pt idx="1">
                  <c:v>Повернуто -  99</c:v>
                </c:pt>
                <c:pt idx="2">
                  <c:v>Розглянуто і накладено адміністративне стягнення - 3220</c:v>
                </c:pt>
                <c:pt idx="3">
                  <c:v>Залишок на кінець звітного періоду - 556</c:v>
                </c:pt>
                <c:pt idx="4">
                  <c:v>Інше 18</c:v>
                </c:pt>
              </c:strCache>
            </c:strRef>
          </c:cat>
          <c:val>
            <c:numRef>
              <c:f>Аркуш1!$B$2:$B$6</c:f>
              <c:numCache>
                <c:formatCode>General</c:formatCode>
                <c:ptCount val="5"/>
                <c:pt idx="0">
                  <c:v>3062</c:v>
                </c:pt>
                <c:pt idx="1">
                  <c:v>99</c:v>
                </c:pt>
                <c:pt idx="2">
                  <c:v>3220</c:v>
                </c:pt>
                <c:pt idx="3">
                  <c:v>556</c:v>
                </c:pt>
                <c:pt idx="4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9C9-4093-9B58-365F2B3D070C}"/>
            </c:ext>
          </c:extLst>
        </c:ser>
        <c:dLbls>
          <c:showVal val="1"/>
        </c:dLbls>
      </c:pie3D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DA254-A790-48E9-B219-01F3992A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17</Pages>
  <Words>11829</Words>
  <Characters>6743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Валерий</dc:creator>
  <cp:lastModifiedBy>admin</cp:lastModifiedBy>
  <cp:revision>539</cp:revision>
  <cp:lastPrinted>2025-02-20T06:34:00Z</cp:lastPrinted>
  <dcterms:created xsi:type="dcterms:W3CDTF">2025-02-19T08:17:00Z</dcterms:created>
  <dcterms:modified xsi:type="dcterms:W3CDTF">2025-02-27T19:57:00Z</dcterms:modified>
</cp:coreProperties>
</file>