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E0" w:rsidRPr="00C93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C93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C93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C93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C93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C93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C93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C93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C93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C93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C93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C931BD" w:rsidRDefault="00E330F6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9A" w:rsidRPr="00C931BD" w:rsidRDefault="004B3F9A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9A" w:rsidRPr="00C931BD" w:rsidRDefault="004B3F9A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3F9A" w:rsidRPr="00C931BD" w:rsidRDefault="004B3F9A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330F6" w:rsidRPr="00C931BD" w:rsidRDefault="0024514E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31BD">
        <w:rPr>
          <w:rFonts w:ascii="Times New Roman" w:hAnsi="Times New Roman" w:cs="Times New Roman"/>
          <w:b/>
          <w:sz w:val="40"/>
          <w:szCs w:val="40"/>
        </w:rPr>
        <w:t>Узагальнений о</w:t>
      </w:r>
      <w:r w:rsidR="005069E0" w:rsidRPr="00C931BD">
        <w:rPr>
          <w:rFonts w:ascii="Times New Roman" w:hAnsi="Times New Roman" w:cs="Times New Roman"/>
          <w:b/>
          <w:sz w:val="40"/>
          <w:szCs w:val="40"/>
        </w:rPr>
        <w:t xml:space="preserve">гляд даних </w:t>
      </w:r>
    </w:p>
    <w:p w:rsidR="00E2122E" w:rsidRPr="00C93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31BD">
        <w:rPr>
          <w:rFonts w:ascii="Times New Roman" w:hAnsi="Times New Roman" w:cs="Times New Roman"/>
          <w:b/>
          <w:sz w:val="40"/>
          <w:szCs w:val="40"/>
        </w:rPr>
        <w:t xml:space="preserve">про стан здійснення правосуддя </w:t>
      </w:r>
    </w:p>
    <w:p w:rsidR="00E330F6" w:rsidRPr="00C93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31BD">
        <w:rPr>
          <w:rFonts w:ascii="Times New Roman" w:hAnsi="Times New Roman" w:cs="Times New Roman"/>
          <w:b/>
          <w:sz w:val="40"/>
          <w:szCs w:val="40"/>
        </w:rPr>
        <w:t xml:space="preserve">місцевими </w:t>
      </w:r>
      <w:r w:rsidR="00531F20" w:rsidRPr="00C931BD">
        <w:rPr>
          <w:rFonts w:ascii="Times New Roman" w:hAnsi="Times New Roman" w:cs="Times New Roman"/>
          <w:b/>
          <w:sz w:val="40"/>
          <w:szCs w:val="40"/>
        </w:rPr>
        <w:t xml:space="preserve">загальними </w:t>
      </w:r>
      <w:r w:rsidRPr="00C931BD">
        <w:rPr>
          <w:rFonts w:ascii="Times New Roman" w:hAnsi="Times New Roman" w:cs="Times New Roman"/>
          <w:b/>
          <w:sz w:val="40"/>
          <w:szCs w:val="40"/>
        </w:rPr>
        <w:t>судами</w:t>
      </w:r>
    </w:p>
    <w:p w:rsidR="001460F8" w:rsidRPr="00C93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31BD">
        <w:rPr>
          <w:rFonts w:ascii="Times New Roman" w:hAnsi="Times New Roman" w:cs="Times New Roman"/>
          <w:b/>
          <w:sz w:val="40"/>
          <w:szCs w:val="40"/>
        </w:rPr>
        <w:t xml:space="preserve"> Івано-Франківської області</w:t>
      </w:r>
      <w:r w:rsidR="00511E35" w:rsidRPr="00C931B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460F8" w:rsidRPr="00C931BD" w:rsidRDefault="00EB15E4" w:rsidP="009F46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31BD">
        <w:rPr>
          <w:rFonts w:ascii="Times New Roman" w:hAnsi="Times New Roman" w:cs="Times New Roman"/>
          <w:b/>
          <w:sz w:val="40"/>
          <w:szCs w:val="40"/>
        </w:rPr>
        <w:t>за 2025 рік</w:t>
      </w:r>
    </w:p>
    <w:p w:rsidR="001460F8" w:rsidRPr="00C931BD" w:rsidRDefault="001460F8" w:rsidP="009F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9F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B8" w:rsidRPr="00C931BD" w:rsidRDefault="00AC10B8" w:rsidP="00E212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07E59" w:rsidRPr="00C931BD" w:rsidRDefault="00107E59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CCA" w:rsidRPr="00C931BD" w:rsidRDefault="007C3CCA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387ADF" w:rsidRDefault="005069E0" w:rsidP="00387A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7ADF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</w:p>
    <w:p w:rsidR="00E922AF" w:rsidRPr="00387ADF" w:rsidRDefault="00E922AF" w:rsidP="00387ADF">
      <w:pPr>
        <w:spacing w:after="0" w:line="36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387ADF">
        <w:rPr>
          <w:rFonts w:ascii="Times New Roman" w:hAnsi="Times New Roman" w:cs="Times New Roman"/>
          <w:sz w:val="32"/>
          <w:szCs w:val="32"/>
        </w:rPr>
        <w:t>Вступ</w:t>
      </w:r>
    </w:p>
    <w:p w:rsidR="005069E0" w:rsidRPr="00387ADF" w:rsidRDefault="00D76C4F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87ADF">
        <w:rPr>
          <w:rFonts w:ascii="Times New Roman" w:hAnsi="Times New Roman" w:cs="Times New Roman"/>
          <w:sz w:val="32"/>
          <w:szCs w:val="32"/>
        </w:rPr>
        <w:t>П</w:t>
      </w:r>
      <w:r w:rsidR="005069E0" w:rsidRPr="00387ADF">
        <w:rPr>
          <w:rFonts w:ascii="Times New Roman" w:hAnsi="Times New Roman" w:cs="Times New Roman"/>
          <w:sz w:val="32"/>
          <w:szCs w:val="32"/>
        </w:rPr>
        <w:t>оказники надходження та розгляду справ і матеріалів усіх категорій.</w:t>
      </w:r>
    </w:p>
    <w:p w:rsidR="005069E0" w:rsidRPr="00387ADF" w:rsidRDefault="008C4A7A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5069E0"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озгляд</w:t>
      </w:r>
      <w:r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069E0"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справ кримінального </w:t>
      </w:r>
      <w:r w:rsidR="00850F45"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судочинства</w:t>
      </w:r>
      <w:r w:rsidR="005069E0"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069E0" w:rsidRPr="00387ADF" w:rsidRDefault="008C4A7A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Розгляд</w:t>
      </w:r>
      <w:r w:rsidR="005620F2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 справ</w:t>
      </w:r>
      <w:r w:rsidR="00B57DE9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 </w:t>
      </w:r>
      <w:r w:rsidR="005069E0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цивільного </w:t>
      </w:r>
      <w:r w:rsidR="00850F45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судочинства</w:t>
      </w:r>
      <w:r w:rsidR="005069E0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.</w:t>
      </w:r>
    </w:p>
    <w:p w:rsidR="005069E0" w:rsidRPr="00387ADF" w:rsidRDefault="005F33EE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Р</w:t>
      </w:r>
      <w:r w:rsidR="00B57DE9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озгляд </w:t>
      </w:r>
      <w:r w:rsidR="00956735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справ адміністративного </w:t>
      </w:r>
      <w:r w:rsidR="00850F45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судочинства</w:t>
      </w:r>
      <w:r w:rsidR="00956735" w:rsidRPr="00387ADF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.</w:t>
      </w:r>
    </w:p>
    <w:p w:rsidR="00281414" w:rsidRPr="00387ADF" w:rsidRDefault="00265757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B57DE9"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озгляд </w:t>
      </w:r>
      <w:r w:rsidR="00956735"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 про адміністративні правопорушення.</w:t>
      </w:r>
    </w:p>
    <w:p w:rsidR="00281414" w:rsidRPr="00387ADF" w:rsidRDefault="00281414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ADF">
        <w:rPr>
          <w:rFonts w:ascii="Times New Roman" w:hAnsi="Times New Roman" w:cs="Times New Roman"/>
          <w:bCs/>
          <w:sz w:val="32"/>
          <w:szCs w:val="32"/>
        </w:rPr>
        <w:t>Розгляд справ Івано-Франківським окружним адміністративним судом.</w:t>
      </w:r>
    </w:p>
    <w:p w:rsidR="00243EFD" w:rsidRPr="00387ADF" w:rsidRDefault="009F1E72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ADF">
        <w:rPr>
          <w:rFonts w:ascii="Times New Roman" w:hAnsi="Times New Roman" w:cs="Times New Roman"/>
          <w:bCs/>
          <w:sz w:val="32"/>
          <w:szCs w:val="32"/>
        </w:rPr>
        <w:t>Розгляд справ Господарським судом Івано-Франківської області.</w:t>
      </w:r>
    </w:p>
    <w:p w:rsidR="00956735" w:rsidRPr="00387ADF" w:rsidRDefault="00956735" w:rsidP="00387AD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ADF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Висновок.</w:t>
      </w:r>
    </w:p>
    <w:p w:rsidR="001460F8" w:rsidRPr="00387ADF" w:rsidRDefault="001460F8" w:rsidP="00387AD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C93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C93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C93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C93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C931BD" w:rsidRDefault="006441BD" w:rsidP="006441BD">
      <w:pPr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br w:type="page"/>
      </w:r>
    </w:p>
    <w:p w:rsidR="00C66AD8" w:rsidRPr="00C931BD" w:rsidRDefault="00E922AF" w:rsidP="001040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1BD">
        <w:rPr>
          <w:rFonts w:ascii="Times New Roman" w:hAnsi="Times New Roman" w:cs="Times New Roman"/>
          <w:b/>
          <w:sz w:val="32"/>
          <w:szCs w:val="32"/>
        </w:rPr>
        <w:lastRenderedPageBreak/>
        <w:t>Вступ</w:t>
      </w:r>
    </w:p>
    <w:p w:rsidR="00C419FF" w:rsidRPr="00C931BD" w:rsidRDefault="00C419FF" w:rsidP="00C419F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31BD">
        <w:rPr>
          <w:rFonts w:ascii="Times New Roman" w:eastAsia="Calibri" w:hAnsi="Times New Roman" w:cs="Times New Roman"/>
          <w:bCs/>
          <w:sz w:val="28"/>
          <w:szCs w:val="28"/>
        </w:rPr>
        <w:t>Дослідження даних судової статистики про роботу місцевих судів у 202</w:t>
      </w:r>
      <w:r w:rsidRPr="00C931BD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Pr="00C931BD">
        <w:rPr>
          <w:rFonts w:ascii="Times New Roman" w:eastAsia="Calibri" w:hAnsi="Times New Roman" w:cs="Times New Roman"/>
          <w:bCs/>
          <w:sz w:val="28"/>
          <w:szCs w:val="28"/>
        </w:rPr>
        <w:t xml:space="preserve"> році здійснюється з метою встановлення обсягу роботи судів, навантаження на суддів, структури та динаміки надходження справ та матеріалів різних категорій. Ці завдання обумовлюють структуру даного огляду.</w:t>
      </w:r>
    </w:p>
    <w:p w:rsidR="00C419FF" w:rsidRPr="00C931BD" w:rsidRDefault="00C419FF" w:rsidP="00C419FF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31BD">
        <w:rPr>
          <w:rFonts w:ascii="Times New Roman" w:eastAsia="Calibri" w:hAnsi="Times New Roman" w:cs="Times New Roman"/>
          <w:bCs/>
          <w:sz w:val="28"/>
          <w:szCs w:val="28"/>
        </w:rPr>
        <w:t>Аналіз здійснюється на підставі звітів місцевих судів про розгляд справ різних категорій (за судовими рішеннями, що набрали та не набрали законної сили протягом 202</w:t>
      </w:r>
      <w:r w:rsidRPr="00C931BD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Pr="00C931BD">
        <w:rPr>
          <w:rFonts w:ascii="Times New Roman" w:eastAsia="Calibri" w:hAnsi="Times New Roman" w:cs="Times New Roman"/>
          <w:bCs/>
          <w:sz w:val="28"/>
          <w:szCs w:val="28"/>
        </w:rPr>
        <w:t xml:space="preserve"> року).</w:t>
      </w:r>
    </w:p>
    <w:p w:rsidR="00DD5BC0" w:rsidRPr="00C931BD" w:rsidRDefault="00E43A2F" w:rsidP="001040CE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1BD">
        <w:rPr>
          <w:rFonts w:ascii="Times New Roman" w:hAnsi="Times New Roman" w:cs="Times New Roman"/>
          <w:b/>
          <w:sz w:val="32"/>
          <w:szCs w:val="32"/>
        </w:rPr>
        <w:t>1. П</w:t>
      </w:r>
      <w:r w:rsidR="001460F8" w:rsidRPr="00C931BD">
        <w:rPr>
          <w:rFonts w:ascii="Times New Roman" w:hAnsi="Times New Roman" w:cs="Times New Roman"/>
          <w:b/>
          <w:sz w:val="32"/>
          <w:szCs w:val="32"/>
        </w:rPr>
        <w:t>оказники надходження та розгляду справ і матеріалів усіх</w:t>
      </w:r>
      <w:r w:rsidR="00DD5BC0" w:rsidRPr="00C931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60F8" w:rsidRPr="00C931BD">
        <w:rPr>
          <w:rFonts w:ascii="Times New Roman" w:hAnsi="Times New Roman" w:cs="Times New Roman"/>
          <w:b/>
          <w:sz w:val="32"/>
          <w:szCs w:val="32"/>
        </w:rPr>
        <w:t>категорій</w:t>
      </w:r>
      <w:r w:rsidR="008B65AF" w:rsidRPr="00C931BD">
        <w:rPr>
          <w:rFonts w:ascii="Times New Roman" w:hAnsi="Times New Roman" w:cs="Times New Roman"/>
          <w:b/>
          <w:sz w:val="32"/>
          <w:szCs w:val="32"/>
        </w:rPr>
        <w:t>.</w:t>
      </w:r>
    </w:p>
    <w:p w:rsidR="004A2AC8" w:rsidRPr="00C931BD" w:rsidRDefault="004A2AC8" w:rsidP="006441BD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Завданням cу</w:t>
      </w:r>
      <w:r w:rsidR="005867B7" w:rsidRPr="00C931BD">
        <w:rPr>
          <w:rFonts w:ascii="Times New Roman" w:hAnsi="Times New Roman" w:cs="Times New Roman"/>
          <w:sz w:val="28"/>
          <w:szCs w:val="28"/>
        </w:rPr>
        <w:t>д</w:t>
      </w:r>
      <w:r w:rsidRPr="00C931BD">
        <w:rPr>
          <w:rFonts w:ascii="Times New Roman" w:hAnsi="Times New Roman" w:cs="Times New Roman"/>
          <w:sz w:val="28"/>
          <w:szCs w:val="28"/>
        </w:rPr>
        <w:t xml:space="preserve">у є здійснення правосуддя на засадах верховенства права, забезпечуючи кожному право на справедливий суд та повагу до інших прав і свобод, гарантованих Конституцією і законами України. </w:t>
      </w:r>
    </w:p>
    <w:p w:rsidR="004A2AC8" w:rsidRPr="00C931BD" w:rsidRDefault="004A2AC8" w:rsidP="006441BD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  <w:lang w:eastAsia="ar-SA"/>
        </w:rPr>
        <w:t xml:space="preserve">Місцеві </w:t>
      </w:r>
      <w:r w:rsidR="004A3234" w:rsidRPr="00C931BD">
        <w:rPr>
          <w:rFonts w:ascii="Times New Roman" w:hAnsi="Times New Roman" w:cs="Times New Roman"/>
          <w:sz w:val="28"/>
          <w:szCs w:val="28"/>
          <w:lang w:eastAsia="ar-SA"/>
        </w:rPr>
        <w:t xml:space="preserve">загальні </w:t>
      </w:r>
      <w:r w:rsidRPr="00C931BD">
        <w:rPr>
          <w:rFonts w:ascii="Times New Roman" w:hAnsi="Times New Roman" w:cs="Times New Roman"/>
          <w:sz w:val="28"/>
          <w:szCs w:val="28"/>
          <w:lang w:eastAsia="ar-SA"/>
        </w:rPr>
        <w:t xml:space="preserve">суди Івано-Франківської області </w:t>
      </w:r>
      <w:r w:rsidRPr="00C931BD">
        <w:rPr>
          <w:rFonts w:ascii="Times New Roman" w:hAnsi="Times New Roman" w:cs="Times New Roman"/>
          <w:sz w:val="28"/>
          <w:szCs w:val="28"/>
        </w:rPr>
        <w:t>є судами першої інстанції, які розглядають цивільні, кримінальні, адміністративні справи, а також справи про адміністративні правопорушення у випадках та порядку, передбачених процесуальним законодавством.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Періодами статистичного спостереження здійснення правосуддя місцевими загальними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судами Івано-Франківської області (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далі суди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) є 20</w:t>
      </w:r>
      <w:r w:rsidR="00DB58F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128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20</w:t>
      </w:r>
      <w:r w:rsidR="004A2AC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128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1EC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роки.</w:t>
      </w:r>
    </w:p>
    <w:p w:rsidR="005A6760" w:rsidRPr="00C931BD" w:rsidRDefault="005A6760" w:rsidP="005A67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F5012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року загальна штатна чисельність суддів Івано-Франківської області становить 104 судді, фактична чисельність</w:t>
      </w:r>
      <w:r w:rsidR="00894EB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судів, які здійснюють правосуддя</w:t>
      </w:r>
      <w:r w:rsidR="00F50129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9</w:t>
      </w:r>
      <w:r w:rsidR="001A526B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3311C" w:rsidRPr="00C931BD" w:rsidRDefault="00391F87" w:rsidP="005867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даними статистичних звітів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судів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</w:t>
      </w:r>
      <w:r w:rsidR="00DA37B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№ 1-к,</w:t>
      </w:r>
      <w:r w:rsidR="002376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1-ц,</w:t>
      </w:r>
      <w:r w:rsidR="002376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1-а,</w:t>
      </w:r>
      <w:r w:rsidR="002376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1-п, </w:t>
      </w:r>
      <w:r w:rsidR="00DA37B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1-мзс,</w:t>
      </w:r>
      <w:r w:rsidR="002376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FD1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ЛТ</w:t>
      </w:r>
      <w:r w:rsidR="000D42D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1-</w:t>
      </w:r>
      <w:r w:rsidR="00FD1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ЄЗ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r w:rsidR="000857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42DB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році 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надійшло </w:t>
      </w:r>
      <w:r w:rsidR="000D42D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50129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E346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060</w:t>
      </w:r>
      <w:r w:rsidR="00026560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 та матеріал</w:t>
      </w:r>
      <w:r w:rsidR="00696F7E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="00DA37BB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DA37B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66B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DB66B5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0</w:t>
      </w:r>
      <w:r w:rsidR="00DB58F6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="00042DBF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DB66B5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рік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F50129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E346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4143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За даний період спостерігається т</w:t>
      </w:r>
      <w:r w:rsidR="004F0E6E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енденція до </w:t>
      </w:r>
      <w:r w:rsidR="000D42D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F50129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</w:t>
      </w:r>
      <w:r w:rsidR="004F0E6E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</w:t>
      </w:r>
      <w:r w:rsidR="002852C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F0E6E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на </w:t>
      </w:r>
      <w:r w:rsidR="00FE346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</w:t>
      </w:r>
      <w:r w:rsidR="00405C14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</w:t>
      </w:r>
      <w:r w:rsidR="00FE346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Дина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міку цих надходжень відображають показники, наведені в </w:t>
      </w:r>
      <w:r w:rsidR="006441BD" w:rsidRPr="00C9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DB66B5" w:rsidRPr="00C9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аблиці №1.</w:t>
      </w:r>
    </w:p>
    <w:p w:rsidR="00BD4671" w:rsidRPr="00C931BD" w:rsidRDefault="00BD4671" w:rsidP="005867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671" w:rsidRPr="00C931BD" w:rsidRDefault="00BD4671" w:rsidP="00C419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BD4671" w:rsidRPr="00C931BD" w:rsidRDefault="00BD4671" w:rsidP="00B046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B66B5" w:rsidRPr="00C931BD" w:rsidRDefault="00DB66B5" w:rsidP="0033311C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Таблиця №1</w:t>
      </w:r>
    </w:p>
    <w:tbl>
      <w:tblPr>
        <w:tblW w:w="5000" w:type="pct"/>
        <w:tblLook w:val="01E0"/>
      </w:tblPr>
      <w:tblGrid>
        <w:gridCol w:w="748"/>
        <w:gridCol w:w="3731"/>
        <w:gridCol w:w="1194"/>
        <w:gridCol w:w="1045"/>
        <w:gridCol w:w="1045"/>
        <w:gridCol w:w="2091"/>
      </w:tblGrid>
      <w:tr w:rsidR="008B77D4" w:rsidRPr="00C931BD" w:rsidTr="00D738D1">
        <w:trPr>
          <w:trHeight w:val="1469"/>
          <w:tblHeader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6B5" w:rsidRPr="00C931BD" w:rsidRDefault="00DB66B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6B5" w:rsidRPr="00C931BD" w:rsidRDefault="005734FA" w:rsidP="00573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Надходження справ </w:t>
            </w:r>
            <w:r w:rsidR="0041132C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 матеріалів </w:t>
            </w: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місцевих загальних судів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4ACA" w:rsidRPr="00C931BD" w:rsidRDefault="001B34E1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696F7E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DB66B5" w:rsidRPr="00C931BD" w:rsidRDefault="00B26BE7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6B5" w:rsidRPr="00C931BD" w:rsidRDefault="00B26BE7" w:rsidP="00696F7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696F7E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6B5" w:rsidRPr="00C931BD" w:rsidRDefault="00DB66B5" w:rsidP="00696F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B26BE7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96F7E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рік у порівнянні до  20</w:t>
            </w:r>
            <w:r w:rsidR="00162662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96F7E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17026E"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року</w:t>
            </w:r>
          </w:p>
        </w:tc>
      </w:tr>
      <w:tr w:rsidR="005867B7" w:rsidRPr="00C931BD" w:rsidTr="001B6D7E">
        <w:trPr>
          <w:trHeight w:val="555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24ACA" w:rsidRPr="00C931BD" w:rsidRDefault="00E24ACA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24ACA" w:rsidRPr="00C931BD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Кримінальн</w:t>
            </w:r>
            <w:r w:rsidR="0041132C" w:rsidRPr="00C931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 судочинство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24ACA" w:rsidRPr="00C931BD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24ACA" w:rsidRPr="00C931BD" w:rsidRDefault="00984A9F" w:rsidP="008012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22</w:t>
            </w:r>
            <w:r w:rsidR="00801205"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039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24ACA" w:rsidRPr="00C931BD" w:rsidRDefault="001303CB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22969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24ACA" w:rsidRPr="00C931BD" w:rsidRDefault="00801205" w:rsidP="008012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-930</w:t>
            </w:r>
          </w:p>
        </w:tc>
      </w:tr>
      <w:tr w:rsidR="00801205" w:rsidRPr="00C931BD" w:rsidTr="001B6D7E">
        <w:trPr>
          <w:trHeight w:val="81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01205" w:rsidRPr="00C931BD" w:rsidRDefault="00801205" w:rsidP="008012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01205" w:rsidRPr="00C931BD" w:rsidRDefault="00801205" w:rsidP="00D80C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3284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01205" w:rsidRPr="00C931BD" w:rsidRDefault="00801205" w:rsidP="008012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-279</w:t>
            </w:r>
          </w:p>
        </w:tc>
      </w:tr>
      <w:tr w:rsidR="00801205" w:rsidRPr="00C931BD" w:rsidTr="001B6D7E">
        <w:trPr>
          <w:trHeight w:val="30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801205" w:rsidP="00C410F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Цивільне судочинство</w:t>
            </w:r>
          </w:p>
          <w:p w:rsidR="00801205" w:rsidRPr="00C931BD" w:rsidRDefault="00801205" w:rsidP="00C410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D07AA3" w:rsidP="00984A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35619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060E01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29301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D07AA3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+6318</w:t>
            </w:r>
          </w:p>
        </w:tc>
      </w:tr>
      <w:tr w:rsidR="00801205" w:rsidRPr="00C931BD" w:rsidTr="001B6D7E">
        <w:trPr>
          <w:trHeight w:val="24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801205" w:rsidP="0033311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D0533D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32599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D0533D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26729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01205" w:rsidRPr="00C931BD" w:rsidRDefault="00801205" w:rsidP="000B08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+</w:t>
            </w:r>
            <w:r w:rsidR="000B08FE"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5870</w:t>
            </w:r>
          </w:p>
        </w:tc>
      </w:tr>
      <w:tr w:rsidR="00801205" w:rsidRPr="00C931BD" w:rsidTr="001B6D7E">
        <w:trPr>
          <w:trHeight w:val="36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Адміністративне судочинство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060E01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+241</w:t>
            </w:r>
          </w:p>
        </w:tc>
      </w:tr>
      <w:tr w:rsidR="00801205" w:rsidRPr="00C931BD" w:rsidTr="00D738D1">
        <w:trPr>
          <w:trHeight w:val="18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987F51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987F51" w:rsidP="00984A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01205" w:rsidRPr="00C931BD" w:rsidRDefault="00060E01" w:rsidP="00060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+228</w:t>
            </w:r>
          </w:p>
        </w:tc>
      </w:tr>
      <w:tr w:rsidR="00801205" w:rsidRPr="00C931BD" w:rsidTr="005E6FCC">
        <w:trPr>
          <w:trHeight w:val="45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801205" w:rsidP="001210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Справи про адміністративні правопорушення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801205" w:rsidP="00644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9A7E9D" w:rsidP="00984A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15642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9A7E9D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21354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801205" w:rsidP="008F2E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="008F2EA8"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5712</w:t>
            </w:r>
          </w:p>
        </w:tc>
      </w:tr>
      <w:tr w:rsidR="00801205" w:rsidRPr="00C931BD" w:rsidTr="00D738D1">
        <w:trPr>
          <w:trHeight w:val="1268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01205" w:rsidRPr="00C931BD" w:rsidRDefault="0080120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801205" w:rsidP="00644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9A7E9D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15381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9A7E9D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21044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1205" w:rsidRPr="00C931BD" w:rsidRDefault="00801205" w:rsidP="008F2E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="008F2EA8"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5663</w:t>
            </w:r>
          </w:p>
        </w:tc>
      </w:tr>
      <w:tr w:rsidR="00801205" w:rsidRPr="00C931BD" w:rsidTr="00D738D1">
        <w:trPr>
          <w:trHeight w:val="42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01205" w:rsidRPr="00C931BD" w:rsidRDefault="00801205" w:rsidP="001B6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01205" w:rsidRPr="00C931BD" w:rsidRDefault="00801205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01205" w:rsidRPr="00C931BD" w:rsidRDefault="00801205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01205" w:rsidRPr="00C931BD" w:rsidRDefault="00801205" w:rsidP="008F2E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74</w:t>
            </w:r>
            <w:r w:rsidR="008F2EA8"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01205" w:rsidRPr="00C931BD" w:rsidRDefault="008F2EA8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74143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01205" w:rsidRPr="00C931BD" w:rsidRDefault="00801205" w:rsidP="008F2E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8F2EA8" w:rsidRPr="00C931B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83</w:t>
            </w:r>
          </w:p>
        </w:tc>
      </w:tr>
    </w:tbl>
    <w:p w:rsidR="0033311C" w:rsidRPr="00C931BD" w:rsidRDefault="0033311C" w:rsidP="00B04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6DA" w:rsidRPr="00C931BD" w:rsidRDefault="00B046DA" w:rsidP="00B046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1BD">
        <w:rPr>
          <w:rFonts w:ascii="Times New Roman" w:eastAsia="Calibri" w:hAnsi="Times New Roman" w:cs="Times New Roman"/>
          <w:sz w:val="28"/>
          <w:szCs w:val="28"/>
        </w:rPr>
        <w:t>Аналіз надходження справ і матеріалів показує, що протягом 202</w:t>
      </w:r>
      <w:r w:rsidRPr="00C931BD">
        <w:rPr>
          <w:rFonts w:ascii="Times New Roman" w:hAnsi="Times New Roman" w:cs="Times New Roman"/>
          <w:sz w:val="28"/>
          <w:szCs w:val="28"/>
        </w:rPr>
        <w:t>5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року надходження справ та матеріалів незначною мірою зменшилось (на 0,</w:t>
      </w:r>
      <w:r w:rsidRPr="00C931BD">
        <w:rPr>
          <w:rFonts w:ascii="Times New Roman" w:hAnsi="Times New Roman" w:cs="Times New Roman"/>
          <w:sz w:val="28"/>
          <w:szCs w:val="28"/>
        </w:rPr>
        <w:t>11</w:t>
      </w:r>
      <w:r w:rsidRPr="00C931BD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B046DA" w:rsidRPr="00C931BD" w:rsidRDefault="00B046DA" w:rsidP="00B046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Суттєво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з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більшилось надходження </w:t>
      </w:r>
      <w:r w:rsidRPr="00C931BD">
        <w:rPr>
          <w:rFonts w:ascii="Times New Roman" w:hAnsi="Times New Roman" w:cs="Times New Roman"/>
          <w:sz w:val="28"/>
          <w:szCs w:val="28"/>
        </w:rPr>
        <w:t>цивільних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справ </w:t>
      </w:r>
      <w:r w:rsidRPr="00C931BD">
        <w:rPr>
          <w:rFonts w:ascii="Times New Roman" w:hAnsi="Times New Roman" w:cs="Times New Roman"/>
          <w:sz w:val="28"/>
          <w:szCs w:val="28"/>
        </w:rPr>
        <w:t>та матеріалів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931BD">
        <w:rPr>
          <w:rFonts w:ascii="Times New Roman" w:hAnsi="Times New Roman" w:cs="Times New Roman"/>
          <w:sz w:val="28"/>
          <w:szCs w:val="28"/>
        </w:rPr>
        <w:t xml:space="preserve">адміністративних </w:t>
      </w:r>
      <w:r w:rsidRPr="00C931BD">
        <w:rPr>
          <w:rFonts w:ascii="Times New Roman" w:eastAsia="Calibri" w:hAnsi="Times New Roman" w:cs="Times New Roman"/>
          <w:sz w:val="28"/>
          <w:szCs w:val="28"/>
        </w:rPr>
        <w:t>справ та матеріалів</w:t>
      </w:r>
      <w:r w:rsidRPr="00C931BD">
        <w:rPr>
          <w:rFonts w:ascii="Times New Roman" w:hAnsi="Times New Roman" w:cs="Times New Roman"/>
          <w:sz w:val="28"/>
          <w:szCs w:val="28"/>
        </w:rPr>
        <w:t xml:space="preserve">, 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зменшилось надходження </w:t>
      </w:r>
      <w:r w:rsidRPr="00C931BD">
        <w:rPr>
          <w:rFonts w:ascii="Times New Roman" w:hAnsi="Times New Roman" w:cs="Times New Roman"/>
          <w:sz w:val="28"/>
          <w:szCs w:val="28"/>
        </w:rPr>
        <w:t xml:space="preserve">кримінальних </w:t>
      </w:r>
      <w:r w:rsidRPr="00C931BD">
        <w:rPr>
          <w:rFonts w:ascii="Times New Roman" w:eastAsia="Calibri" w:hAnsi="Times New Roman" w:cs="Times New Roman"/>
          <w:sz w:val="28"/>
          <w:szCs w:val="28"/>
        </w:rPr>
        <w:t>справ та матеріалів та справ та матеріалів про адміністративні правопорушення</w:t>
      </w:r>
      <w:r w:rsidRPr="00C931BD">
        <w:rPr>
          <w:rFonts w:ascii="Times New Roman" w:hAnsi="Times New Roman" w:cs="Times New Roman"/>
          <w:sz w:val="28"/>
          <w:szCs w:val="28"/>
        </w:rPr>
        <w:t>.</w:t>
      </w:r>
    </w:p>
    <w:p w:rsidR="00CD49A3" w:rsidRPr="00C931BD" w:rsidRDefault="00B046DA" w:rsidP="00B04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         Порівняння структури надходження справ та матеріалів свідчить, що у 202</w:t>
      </w:r>
      <w:r w:rsidRPr="00C931BD">
        <w:rPr>
          <w:rFonts w:ascii="Times New Roman" w:hAnsi="Times New Roman" w:cs="Times New Roman"/>
          <w:sz w:val="28"/>
          <w:szCs w:val="28"/>
        </w:rPr>
        <w:t>5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році, порівняно із попереднім звітним періодом, з</w:t>
      </w:r>
      <w:r w:rsidRPr="00C931BD">
        <w:rPr>
          <w:rFonts w:ascii="Times New Roman" w:hAnsi="Times New Roman" w:cs="Times New Roman"/>
          <w:sz w:val="28"/>
          <w:szCs w:val="28"/>
        </w:rPr>
        <w:t>більшилась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питома вага </w:t>
      </w:r>
      <w:r w:rsidRPr="00C931BD">
        <w:rPr>
          <w:rFonts w:ascii="Times New Roman" w:hAnsi="Times New Roman" w:cs="Times New Roman"/>
          <w:sz w:val="28"/>
          <w:szCs w:val="28"/>
        </w:rPr>
        <w:t>цивільних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та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адміністративних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 справ, </w:t>
      </w:r>
      <w:r w:rsidRPr="00C931BD">
        <w:rPr>
          <w:rFonts w:ascii="Times New Roman" w:hAnsi="Times New Roman" w:cs="Times New Roman"/>
          <w:sz w:val="28"/>
          <w:szCs w:val="28"/>
        </w:rPr>
        <w:t xml:space="preserve">а зменшилась 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питома вага </w:t>
      </w:r>
      <w:r w:rsidRPr="00C931BD">
        <w:rPr>
          <w:rFonts w:ascii="Times New Roman" w:hAnsi="Times New Roman" w:cs="Times New Roman"/>
          <w:sz w:val="28"/>
          <w:szCs w:val="28"/>
        </w:rPr>
        <w:t xml:space="preserve">кримінальних </w:t>
      </w:r>
      <w:r w:rsidRPr="00C931BD">
        <w:rPr>
          <w:rFonts w:ascii="Times New Roman" w:eastAsia="Calibri" w:hAnsi="Times New Roman" w:cs="Times New Roman"/>
          <w:sz w:val="28"/>
          <w:szCs w:val="28"/>
        </w:rPr>
        <w:t xml:space="preserve">справ </w:t>
      </w:r>
      <w:r w:rsidRPr="00C931BD">
        <w:rPr>
          <w:rFonts w:ascii="Times New Roman" w:hAnsi="Times New Roman" w:cs="Times New Roman"/>
          <w:sz w:val="28"/>
          <w:szCs w:val="28"/>
        </w:rPr>
        <w:t xml:space="preserve">та справ про </w:t>
      </w:r>
      <w:r w:rsidRPr="00C931BD">
        <w:rPr>
          <w:rFonts w:ascii="Times New Roman" w:eastAsia="Calibri" w:hAnsi="Times New Roman" w:cs="Times New Roman"/>
          <w:sz w:val="28"/>
          <w:szCs w:val="28"/>
        </w:rPr>
        <w:t>адміністративні правопорушення</w:t>
      </w:r>
      <w:r w:rsidRPr="00C931BD">
        <w:rPr>
          <w:rFonts w:ascii="Times New Roman" w:hAnsi="Times New Roman" w:cs="Times New Roman"/>
          <w:sz w:val="28"/>
          <w:szCs w:val="28"/>
        </w:rPr>
        <w:t>.</w:t>
      </w:r>
    </w:p>
    <w:p w:rsidR="008C4A7A" w:rsidRPr="00C931BD" w:rsidRDefault="008C4A7A" w:rsidP="00B04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A84" w:rsidRPr="00C931BD" w:rsidRDefault="004454C8" w:rsidP="001040C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1BD">
        <w:rPr>
          <w:rFonts w:ascii="Times New Roman" w:hAnsi="Times New Roman" w:cs="Times New Roman"/>
          <w:b/>
          <w:sz w:val="32"/>
          <w:szCs w:val="32"/>
        </w:rPr>
        <w:lastRenderedPageBreak/>
        <w:t>2.</w:t>
      </w:r>
      <w:r w:rsidR="00111B1C" w:rsidRPr="00C931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4A7A" w:rsidRPr="00C93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Розгляд справ кримінального судочинства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провадженні судів першої інстанції у звітному періоді знаходилось на розгляді </w:t>
      </w:r>
      <w:r w:rsidR="002B5E9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E8095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F787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</w:t>
      </w:r>
      <w:r w:rsidR="000B3B3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процесуальн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України. За старим КПК у судах перебувало </w:t>
      </w:r>
      <w:r w:rsidR="00E8095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5E9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</w:t>
      </w:r>
      <w:r w:rsidR="0087598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Отже, протягом 20</w:t>
      </w:r>
      <w:r w:rsidR="004D17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5D3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17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у провадженні судів перебувало (з урахуванням залишку на початку року) </w:t>
      </w:r>
      <w:r w:rsidR="00A45F96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D3DEB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8095F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кримінальн</w:t>
      </w:r>
      <w:r w:rsidR="00D006A1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справ, проваджень.</w:t>
      </w:r>
    </w:p>
    <w:p w:rsidR="00CD49A3" w:rsidRPr="00C931BD" w:rsidRDefault="00DB66B5" w:rsidP="00A31E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</w:t>
      </w:r>
      <w:r w:rsidR="004D17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43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765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="00E77F6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розглянуто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E43B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2702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кримінальн</w:t>
      </w:r>
      <w:r w:rsidR="00E77F6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="000B3B3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проваджен</w:t>
      </w:r>
      <w:r w:rsidR="00E77F6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ня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з яких</w:t>
      </w: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E43B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1764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або</w:t>
      </w: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C407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65,29</w:t>
      </w:r>
      <w:r w:rsidR="000F4D1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 розг</w:t>
      </w:r>
      <w:r w:rsidR="0033777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лянуто з постановленням вироку</w:t>
      </w:r>
      <w:r w:rsidR="00C452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33777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E43B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884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 </w:t>
      </w:r>
      <w:r w:rsidR="002C407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32,72</w:t>
      </w:r>
      <w:r w:rsidR="000F4D1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%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із закриттям провадження, </w:t>
      </w:r>
      <w:r w:rsidR="007E43B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 </w:t>
      </w:r>
      <w:r w:rsidR="00D563B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0,</w:t>
      </w:r>
      <w:r w:rsidR="002C407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74</w:t>
      </w:r>
      <w:r w:rsidR="00D563B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 – </w:t>
      </w:r>
      <w:r w:rsidR="00B50A4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із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застосування примусових заходів медичного характеру, </w:t>
      </w:r>
      <w:r w:rsidR="007E43B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563B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або 0,</w:t>
      </w:r>
      <w:r w:rsidR="002C407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30</w:t>
      </w:r>
      <w:r w:rsidR="00D563B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 – </w:t>
      </w:r>
      <w:r w:rsidR="00B50A4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із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застосування примусових заходів виховного характеру, 1</w:t>
      </w:r>
      <w:r w:rsidR="007E43B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563B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або 0,</w:t>
      </w:r>
      <w:r w:rsidR="002C407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67</w:t>
      </w:r>
      <w:r w:rsidR="00D563B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 – </w:t>
      </w:r>
      <w:r w:rsidR="0032040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для 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</w:t>
      </w:r>
      <w:r w:rsidR="0032040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значення підсудності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D831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8 або </w:t>
      </w:r>
      <w:r w:rsidR="007D15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0, 30</w:t>
      </w:r>
      <w:r w:rsidR="00D831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% – повернуто прокурору, </w:t>
      </w:r>
      <w:r w:rsidR="00CD3E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що відображено в </w:t>
      </w:r>
      <w:r w:rsidR="005867B7"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Д</w:t>
      </w:r>
      <w:r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іаграмі № 1.</w:t>
      </w:r>
    </w:p>
    <w:p w:rsidR="00D74A3A" w:rsidRPr="00C931BD" w:rsidRDefault="00D74A3A" w:rsidP="00A31E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6B5" w:rsidRPr="00C931BD" w:rsidRDefault="00DB66B5" w:rsidP="00D74A3A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№1</w:t>
      </w:r>
    </w:p>
    <w:p w:rsidR="0012100B" w:rsidRPr="00C931BD" w:rsidRDefault="004C45BE" w:rsidP="00D74A3A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381635</wp:posOffset>
            </wp:positionV>
            <wp:extent cx="5855335" cy="4239895"/>
            <wp:effectExtent l="19050" t="0" r="12065" b="8255"/>
            <wp:wrapTopAndBottom/>
            <wp:docPr id="1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2A4FD3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Кількість р</w:t>
      </w:r>
      <w:r w:rsidR="00DB66B5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озгля</w:t>
      </w:r>
      <w:r w:rsidR="002A4FD3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нутих</w:t>
      </w:r>
      <w:r w:rsidR="00DB66B5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кримінальних </w:t>
      </w:r>
      <w:r w:rsidR="00AB365F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проваджень</w:t>
      </w:r>
    </w:p>
    <w:p w:rsidR="00CC0B14" w:rsidRPr="00C931BD" w:rsidRDefault="00CC0B14" w:rsidP="006B4CBA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A3A" w:rsidRPr="00C931BD" w:rsidRDefault="00D74A3A" w:rsidP="00E43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B5" w:rsidRPr="00C931BD" w:rsidRDefault="009C7C4B" w:rsidP="00E43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структурі розглянутих кримінальних проваджень переважують злочини проти життя та здоров'я особи, які становлять 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1097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</w:t>
      </w:r>
      <w:r w:rsidR="005A342F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проваджень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або </w:t>
      </w:r>
      <w:r w:rsidR="00AB1A2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30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(26</w:t>
      </w:r>
      <w:r w:rsidR="005A342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,8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%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202</w:t>
      </w:r>
      <w:r w:rsidR="005A342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загальної кількості справ, провадження яких закінчено. Більша половина злочинів проти життя та здоров'я особи</w:t>
      </w:r>
      <w:r w:rsidR="007C3C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або </w:t>
      </w:r>
      <w:r w:rsidR="00E67BE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57,8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F6F0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умисне легке тілесне ушкодження</w:t>
      </w:r>
      <w:r w:rsidR="004F6F0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 зумовлено декількома чинниками, зокрема: соціально-психологічними факторами - високим рівнем стресу та агресії в суспільстві; низька правова культура та усвідомлення наслідків – недооцінка серйозності правопорушення; стан, у якому вчиняється – часто в стані алкогольного або наркотичного сп’яніння, що знижує рівень самоконтролю; доступність засобів для вчинення </w:t>
      </w:r>
      <w:r w:rsidR="004C501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6F0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1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 нанесення ударів руками та ногами, відсутність знаряддя; особливості законодавства – відносно «м’які» санкції не завжди зупиняють правопорушників.</w:t>
      </w:r>
    </w:p>
    <w:p w:rsidR="00F93EBD" w:rsidRPr="00C931BD" w:rsidRDefault="00DB66B5" w:rsidP="006D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 кіл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ькість кримінальних проваджень також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становлять</w:t>
      </w:r>
      <w:r w:rsidR="0059218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злочини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 власності –</w:t>
      </w:r>
      <w:r w:rsidR="000E3EF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42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1055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 w:rsidR="00BC134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AB1A2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="00E43A2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%)</w:t>
      </w:r>
      <w:r w:rsidR="00F93EB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Поширеність крадіжок стала особливо актуальною через війну та масову міграцію населення. Соціально-економічна нестабільність, зниження рівня доходів та зростання безробіття також сприяють тенденції збільшення кількості майнових злочинів.</w:t>
      </w:r>
    </w:p>
    <w:p w:rsidR="00E43A2F" w:rsidRPr="00C931BD" w:rsidRDefault="00DB66B5" w:rsidP="006D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EB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Поширені і злочини </w:t>
      </w:r>
      <w:r w:rsidR="0074531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 безпеки руху та експлуатації транспорту 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487</w:t>
      </w:r>
      <w:r w:rsidR="0074531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4531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AB1A2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</w:t>
      </w:r>
      <w:r w:rsidR="00BC134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531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%),</w:t>
      </w:r>
      <w:r w:rsidR="0074531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сфері 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обігу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наркотичних засобів</w:t>
      </w:r>
      <w:r w:rsidR="008F67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627</w:t>
      </w:r>
      <w:r w:rsidR="008F67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3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AB1A2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17</w:t>
      </w:r>
      <w:r w:rsidR="00BC134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673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%),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r w:rsidR="00A45F9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національної</w:t>
      </w:r>
      <w:r w:rsidR="008F67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безпеки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3B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9C1FA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20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22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46AE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20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D828F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831C6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%),</w:t>
      </w:r>
      <w:r w:rsidR="00831C67" w:rsidRPr="00C931B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831C6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кримінальні правопорушення у сфері службової діяльності та професійної діяльності, пов'язаної з наданням публічних послуг </w:t>
      </w:r>
      <w:r w:rsidR="005A342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6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300</w:t>
      </w:r>
      <w:r w:rsidR="005A342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 w:rsidR="00646AE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5A342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%),</w:t>
      </w:r>
      <w:r w:rsidR="005A34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відображено в </w:t>
      </w:r>
      <w:r w:rsidR="00E16129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 2</w:t>
      </w:r>
      <w:r w:rsidRPr="00C931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D74A3A" w:rsidRPr="00C931BD" w:rsidRDefault="00D74A3A" w:rsidP="006D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74A3A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74A3A" w:rsidP="00F93EB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A3A" w:rsidRPr="00C931BD" w:rsidRDefault="00DB66B5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Діаграма №2</w:t>
      </w:r>
    </w:p>
    <w:p w:rsidR="00BF062C" w:rsidRPr="00C931BD" w:rsidRDefault="00404FAB" w:rsidP="006D76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Стан</w:t>
      </w:r>
      <w:r w:rsidR="00CD4F6E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55AED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DB66B5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озгля</w:t>
      </w: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</w:t>
      </w:r>
      <w:r w:rsidR="00DB66B5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кримінальних </w:t>
      </w:r>
      <w:r w:rsidR="00531F20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проваджень</w:t>
      </w:r>
      <w:r w:rsidR="00DB66B5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B66B5" w:rsidRPr="00C931BD" w:rsidRDefault="00913A6E" w:rsidP="00C9247C">
      <w:pPr>
        <w:spacing w:after="0" w:line="36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944780" cy="5607781"/>
            <wp:effectExtent l="19050" t="0" r="1787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0CB0" w:rsidRPr="00C931BD" w:rsidRDefault="00D513B2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F50C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судів надійшло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F50C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50C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0C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основ національної безпеки України. Із них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посягання 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</w:t>
      </w:r>
      <w:r w:rsidR="00C9672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</w:t>
      </w:r>
      <w:r w:rsidR="00C9672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ість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недоторка</w:t>
      </w:r>
      <w:r w:rsidR="00643FE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9672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ість </w:t>
      </w:r>
      <w:r w:rsidR="00444D8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України,</w:t>
      </w:r>
      <w:r w:rsidR="005A676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A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0C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A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дії спрямовані на насильницьку зміну чи повалення конституційного ладу або на захоплення державної влади, </w:t>
      </w:r>
      <w:r w:rsidR="00F6108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0C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державна зрада</w:t>
      </w:r>
      <w:r w:rsidR="00961A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961A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1A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колабораційна діяльність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93C7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пособництво державі</w:t>
      </w:r>
      <w:r w:rsidR="00CF7E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агресор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93C7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450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3C78" w:rsidRPr="00C931BD">
        <w:rPr>
          <w:rFonts w:ascii="Times New Roman" w:hAnsi="Times New Roman" w:cs="Times New Roman"/>
        </w:rPr>
        <w:t xml:space="preserve"> </w:t>
      </w:r>
      <w:r w:rsidR="00D93C7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фінансування дій, вчинених з метою насильницької зміни чи повалення конституційного ладу або захоплення державної влади</w:t>
      </w:r>
      <w:r w:rsidR="00E420F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зміни меж території або державного кордону України</w:t>
      </w:r>
      <w:r w:rsidR="00D93C7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3C78" w:rsidRPr="00C931BD">
        <w:rPr>
          <w:rFonts w:ascii="Times New Roman" w:hAnsi="Times New Roman" w:cs="Times New Roman"/>
        </w:rPr>
        <w:t xml:space="preserve">  </w:t>
      </w:r>
      <w:r w:rsidR="00CF7E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7E2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перешкоджання законній діяльності Збройних Сил України та інших військових формувань</w:t>
      </w:r>
      <w:r w:rsidR="001B1A9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C1D" w:rsidRPr="00C931BD" w:rsidRDefault="00F50CB0" w:rsidP="00DA52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Значну кількість</w:t>
      </w:r>
      <w:r w:rsidR="00E1457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проваджень,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1457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що знаходились на розгляді в 202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E1457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році із урахування залишку 202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E1457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року,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становлять провадження проти встановленого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порядку</w:t>
      </w:r>
      <w:r w:rsidR="00E1457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несення військової служби </w:t>
      </w:r>
      <w:r w:rsidR="006E7EC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391( у 2024 році – </w:t>
      </w:r>
      <w:r w:rsidR="00C809C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245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що на 146 менше, ніж у 2025)</w:t>
      </w:r>
      <w:r w:rsidR="00444D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Ухилення від військової служби </w:t>
      </w:r>
      <w:r w:rsidR="008B707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351 (а в 2024 році – </w:t>
      </w:r>
      <w:r w:rsidR="00C809C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42028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C809C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="00444D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проваджен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ня</w:t>
      </w:r>
      <w:r w:rsidR="00444D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із них:</w:t>
      </w:r>
      <w:r w:rsidR="00544BC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337</w:t>
      </w:r>
      <w:r w:rsidR="006E7EC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</w:t>
      </w:r>
      <w:r w:rsidR="00444D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самовільне залишення військової частини</w:t>
      </w:r>
      <w:r w:rsidR="00E420F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 місця служби</w:t>
      </w:r>
      <w:r w:rsidR="00444D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E43A2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809C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CC105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4A46F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E7EC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87450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44D8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дезертирство.</w:t>
      </w:r>
    </w:p>
    <w:p w:rsidR="002114F2" w:rsidRPr="00C931BD" w:rsidRDefault="00135ECC" w:rsidP="00135EC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Проблематика злочинів проти встановленого порядку несення військової служби залишається актуальною в умовах воєнного стану. </w:t>
      </w:r>
      <w:r w:rsidR="002114F2" w:rsidRPr="00C931BD">
        <w:rPr>
          <w:rFonts w:ascii="Times New Roman" w:hAnsi="Times New Roman" w:cs="Times New Roman"/>
          <w:sz w:val="28"/>
          <w:szCs w:val="28"/>
        </w:rPr>
        <w:t>Протягом 2022–2025  років спостерігається стрімка динаміка зростання кількості кримінальних пр</w:t>
      </w:r>
      <w:r w:rsidR="00F8097B" w:rsidRPr="00C931BD">
        <w:rPr>
          <w:rFonts w:ascii="Times New Roman" w:hAnsi="Times New Roman" w:cs="Times New Roman"/>
          <w:sz w:val="28"/>
          <w:szCs w:val="28"/>
        </w:rPr>
        <w:t>авопорушень</w:t>
      </w:r>
      <w:r w:rsidR="002114F2" w:rsidRPr="00C931BD">
        <w:rPr>
          <w:rFonts w:ascii="Times New Roman" w:hAnsi="Times New Roman" w:cs="Times New Roman"/>
          <w:sz w:val="28"/>
          <w:szCs w:val="28"/>
        </w:rPr>
        <w:t xml:space="preserve"> за Розділом XIX КК України</w:t>
      </w:r>
      <w:r w:rsidRPr="00C931BD">
        <w:rPr>
          <w:rFonts w:ascii="Times New Roman" w:hAnsi="Times New Roman" w:cs="Times New Roman"/>
          <w:sz w:val="28"/>
          <w:szCs w:val="28"/>
        </w:rPr>
        <w:t xml:space="preserve"> </w:t>
      </w:r>
      <w:r w:rsidR="00F8097B" w:rsidRPr="00C931BD">
        <w:rPr>
          <w:rFonts w:ascii="Times New Roman" w:hAnsi="Times New Roman" w:cs="Times New Roman"/>
          <w:sz w:val="28"/>
          <w:szCs w:val="28"/>
        </w:rPr>
        <w:t>«</w:t>
      </w:r>
      <w:r w:rsidRPr="00C931BD">
        <w:rPr>
          <w:rFonts w:ascii="Times New Roman" w:hAnsi="Times New Roman" w:cs="Times New Roman"/>
          <w:sz w:val="28"/>
          <w:szCs w:val="28"/>
        </w:rPr>
        <w:t>Військові кримінальні правопорушення</w:t>
      </w:r>
      <w:r w:rsidR="00F8097B" w:rsidRPr="00C931BD">
        <w:rPr>
          <w:rFonts w:ascii="Times New Roman" w:hAnsi="Times New Roman" w:cs="Times New Roman"/>
          <w:sz w:val="28"/>
          <w:szCs w:val="28"/>
        </w:rPr>
        <w:t>»</w:t>
      </w:r>
      <w:r w:rsidR="002114F2" w:rsidRPr="00C931BD">
        <w:rPr>
          <w:rFonts w:ascii="Times New Roman" w:hAnsi="Times New Roman" w:cs="Times New Roman"/>
          <w:sz w:val="28"/>
          <w:szCs w:val="28"/>
        </w:rPr>
        <w:t>, де основну частку становлять випадки самовільного залишення частини</w:t>
      </w:r>
      <w:r w:rsidRPr="00C931BD">
        <w:rPr>
          <w:rFonts w:ascii="Times New Roman" w:hAnsi="Times New Roman" w:cs="Times New Roman"/>
          <w:sz w:val="28"/>
          <w:szCs w:val="28"/>
        </w:rPr>
        <w:t xml:space="preserve"> або місця служби</w:t>
      </w:r>
      <w:r w:rsidR="002114F2" w:rsidRPr="00C931BD">
        <w:rPr>
          <w:rFonts w:ascii="Times New Roman" w:hAnsi="Times New Roman" w:cs="Times New Roman"/>
          <w:sz w:val="28"/>
          <w:szCs w:val="28"/>
        </w:rPr>
        <w:t xml:space="preserve"> (ст. 407 КК). </w:t>
      </w:r>
      <w:r w:rsidRPr="00C931BD">
        <w:rPr>
          <w:rFonts w:ascii="Times New Roman" w:hAnsi="Times New Roman" w:cs="Times New Roman"/>
          <w:sz w:val="28"/>
          <w:szCs w:val="28"/>
        </w:rPr>
        <w:t>Це, у свою чергу, негативно впливає на рівень військової дисципліни, боєздатність підрозділів та ефективність виконання ними завдань. Водночас важливим є забезпечення належного балансу між принципом невідворотності відповідальності та врахуванням об’єктивних обставин, пов’язаних із тривалістю бойових дій та психологічним станом військовослужбовців.</w:t>
      </w:r>
    </w:p>
    <w:p w:rsidR="00BB181A" w:rsidRPr="00C931BD" w:rsidRDefault="00444D8D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Кримінальні пр</w:t>
      </w:r>
      <w:r w:rsidR="006564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авопорушення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миру, безпеки людства та міжнародного правопорядку</w:t>
      </w:r>
      <w:r w:rsidR="00BB181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1E1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181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них</w:t>
      </w:r>
      <w:r w:rsidR="002459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A1E1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459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B181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виготовлення, поширення комуністичної, нацистської</w:t>
      </w:r>
      <w:r w:rsidR="0063256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символіки та пропаганди комуністичного та націонал</w:t>
      </w:r>
      <w:r w:rsidR="001112D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3256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соціалістичного тоталітарних режимів</w:t>
      </w:r>
      <w:r w:rsidR="002B4C0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1E1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59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B4C0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виправдовування, визнання правомірною, заперечення збройної агресії </w:t>
      </w:r>
      <w:r w:rsidR="00955A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4C0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955A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B4C0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едерації проти України, глорифікація її учасників</w:t>
      </w:r>
      <w:r w:rsidR="002459D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E16" w:rsidRPr="00C931BD" w:rsidRDefault="005A1E16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варто виділити кримінальні правопорушення проти правосуддя, які становлять 274 провадження, основна частина з яких – 175 стосується невиконання судового рішення.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20</w:t>
      </w:r>
      <w:r w:rsidR="004D17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298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6CF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 в судах перебувал</w:t>
      </w:r>
      <w:r w:rsidR="00A2002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розгляді кримінальн</w:t>
      </w:r>
      <w:r w:rsidR="00E641C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917F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r w:rsidR="001D298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="00761EF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осіб, які скоїли злочини у складі організованої групи. </w:t>
      </w:r>
      <w:r w:rsidR="000A4AE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26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осіб визнано такими, що скоїли злочини у складі організованої групи.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вироками, що набрали і не набрали на кінець звітного періоду законної сили, засуджено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(з урахуванням статей 69,</w:t>
      </w:r>
      <w:r w:rsidR="00FC16A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70,</w:t>
      </w:r>
      <w:r w:rsidR="00FC16A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71 КК України)</w:t>
      </w: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 різних видів покарання </w:t>
      </w:r>
      <w:r w:rsidR="004A35D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1801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BC6B92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F2760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120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836EE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F2760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</w:t>
      </w:r>
      <w:r w:rsidR="0077702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 Загальна кількість виправданих становить </w:t>
      </w:r>
      <w:r w:rsidR="00790B1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BC6B9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</w:t>
      </w:r>
      <w:r w:rsidR="004C4E3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Станом на 1 січня 20</w:t>
      </w:r>
      <w:r w:rsidR="0049765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298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залишилося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нерозглянутими </w:t>
      </w:r>
      <w:r w:rsidR="00EB0F1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2723</w:t>
      </w: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36EE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F2760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432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836EE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F2760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кримінальних проваджень від загального числа тих, що перебу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в провадженні судів упродовж звітного періоду</w:t>
      </w:r>
      <w:r w:rsidR="00982B3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яких у 952 справах зупинено провадження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11C" w:rsidRPr="00C931BD" w:rsidRDefault="00DB66B5" w:rsidP="000934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 зазначити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що не розглянуто проваджень понад 6 місяців до 1 року – </w:t>
      </w:r>
      <w:r w:rsidR="001730A3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C943A3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22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понад 1 рік до 2 років – </w:t>
      </w:r>
      <w:r w:rsidR="00C943A3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323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понад 2 роки – </w:t>
      </w:r>
      <w:r w:rsidR="00AF276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C943A3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35</w:t>
      </w:r>
      <w:r w:rsidR="00E6402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E1612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іаграмі № 3.</w:t>
      </w:r>
    </w:p>
    <w:p w:rsidR="00DB66B5" w:rsidRPr="00C931BD" w:rsidRDefault="00DB66B5" w:rsidP="00A2002D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№3</w:t>
      </w:r>
    </w:p>
    <w:p w:rsidR="00CD49A3" w:rsidRPr="00C931BD" w:rsidRDefault="009B3353" w:rsidP="00A2002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561975</wp:posOffset>
            </wp:positionV>
            <wp:extent cx="6126480" cy="2987675"/>
            <wp:effectExtent l="19050" t="0" r="26670" b="3175"/>
            <wp:wrapTopAndBottom/>
            <wp:docPr id="1309531531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A2404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Кількість справ, в яких провадження на кінець звітного періоду не зупинено</w:t>
      </w:r>
    </w:p>
    <w:p w:rsidR="00F21505" w:rsidRPr="00C931BD" w:rsidRDefault="00F21505" w:rsidP="00FA063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 даними звітів,</w:t>
      </w:r>
      <w:r w:rsidRPr="00C931BD">
        <w:rPr>
          <w:rFonts w:ascii="Times New Roman" w:eastAsia="Calibri" w:hAnsi="Times New Roman" w:cs="Times New Roman"/>
          <w:bCs/>
          <w:sz w:val="28"/>
          <w:szCs w:val="28"/>
        </w:rPr>
        <w:t xml:space="preserve"> протягом року потерпілими від різних видів злочинів визнано </w:t>
      </w:r>
      <w:r w:rsidRPr="00C931BD">
        <w:rPr>
          <w:rFonts w:ascii="Times New Roman" w:hAnsi="Times New Roman" w:cs="Times New Roman"/>
          <w:bCs/>
          <w:sz w:val="28"/>
          <w:szCs w:val="28"/>
        </w:rPr>
        <w:t xml:space="preserve">580 </w:t>
      </w:r>
      <w:r w:rsidRPr="00C931BD">
        <w:rPr>
          <w:rFonts w:ascii="Times New Roman" w:eastAsia="Calibri" w:hAnsi="Times New Roman" w:cs="Times New Roman"/>
          <w:bCs/>
          <w:sz w:val="28"/>
          <w:szCs w:val="28"/>
        </w:rPr>
        <w:t>фізичн</w:t>
      </w:r>
      <w:r w:rsidRPr="00C931BD">
        <w:rPr>
          <w:rFonts w:ascii="Times New Roman" w:hAnsi="Times New Roman" w:cs="Times New Roman"/>
          <w:bCs/>
          <w:sz w:val="28"/>
          <w:szCs w:val="28"/>
        </w:rPr>
        <w:t>их</w:t>
      </w:r>
      <w:r w:rsidRPr="00C931BD">
        <w:rPr>
          <w:rFonts w:ascii="Times New Roman" w:eastAsia="Calibri" w:hAnsi="Times New Roman" w:cs="Times New Roman"/>
          <w:bCs/>
          <w:sz w:val="28"/>
          <w:szCs w:val="28"/>
        </w:rPr>
        <w:t xml:space="preserve"> ос</w:t>
      </w:r>
      <w:r w:rsidRPr="00C931BD">
        <w:rPr>
          <w:rFonts w:ascii="Times New Roman" w:hAnsi="Times New Roman" w:cs="Times New Roman"/>
          <w:bCs/>
          <w:sz w:val="28"/>
          <w:szCs w:val="28"/>
        </w:rPr>
        <w:t>і</w:t>
      </w:r>
      <w:r w:rsidRPr="00C931BD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FA0635" w:rsidRPr="00C931BD">
        <w:rPr>
          <w:rFonts w:ascii="Times New Roman" w:hAnsi="Times New Roman" w:cs="Times New Roman"/>
          <w:bCs/>
          <w:sz w:val="28"/>
          <w:szCs w:val="28"/>
        </w:rPr>
        <w:t xml:space="preserve"> та 83  юридичні особи</w:t>
      </w:r>
      <w:r w:rsidRPr="00C931BD">
        <w:rPr>
          <w:rFonts w:ascii="Times New Roman" w:hAnsi="Times New Roman" w:cs="Times New Roman"/>
          <w:bCs/>
          <w:sz w:val="28"/>
          <w:szCs w:val="28"/>
        </w:rPr>
        <w:t>.</w:t>
      </w:r>
    </w:p>
    <w:p w:rsidR="00FA0635" w:rsidRPr="00C931BD" w:rsidRDefault="00FA0635" w:rsidP="00FA06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Сума завданої моральної та матеріальної шкоди загалом склала</w:t>
      </w:r>
      <w:r w:rsidRPr="00C93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40393052, 00 грн.</w:t>
      </w:r>
    </w:p>
    <w:p w:rsidR="00F21505" w:rsidRPr="00C931BD" w:rsidRDefault="00D30C36" w:rsidP="00D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Впродовж 202</w:t>
      </w:r>
      <w:r w:rsidR="009E6F01" w:rsidRPr="00C931B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C931BD">
        <w:rPr>
          <w:rFonts w:ascii="Times New Roman" w:eastAsia="Calibri" w:hAnsi="Times New Roman" w:cs="Times New Roman"/>
          <w:bCs/>
          <w:color w:val="0D0D0D"/>
          <w:sz w:val="28"/>
          <w:szCs w:val="28"/>
        </w:rPr>
        <w:t xml:space="preserve"> року на розгляді місцевих загальних</w:t>
      </w:r>
      <w:r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судів м.</w:t>
      </w:r>
      <w:r w:rsidRPr="00C931B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C931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Івано-Франківськ та </w:t>
      </w:r>
      <w:r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931BD">
        <w:rPr>
          <w:rFonts w:ascii="Times New Roman" w:hAnsi="Times New Roman" w:cs="Times New Roman"/>
          <w:bCs/>
          <w:color w:val="000000"/>
          <w:sz w:val="28"/>
          <w:szCs w:val="28"/>
        </w:rPr>
        <w:t>Івано-Франківської</w:t>
      </w:r>
      <w:r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області </w:t>
      </w:r>
      <w:r w:rsidRPr="00C931BD">
        <w:rPr>
          <w:rFonts w:ascii="Times New Roman" w:eastAsia="Calibri" w:hAnsi="Times New Roman" w:cs="Times New Roman"/>
          <w:bCs/>
          <w:color w:val="0D0D0D"/>
          <w:sz w:val="28"/>
          <w:szCs w:val="28"/>
        </w:rPr>
        <w:t xml:space="preserve">перебувало </w:t>
      </w:r>
      <w:r w:rsidRPr="00C931B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17417</w:t>
      </w:r>
      <w:r w:rsidRPr="00C931BD">
        <w:rPr>
          <w:rFonts w:ascii="Times New Roman" w:eastAsia="Calibri" w:hAnsi="Times New Roman" w:cs="Times New Roman"/>
          <w:bCs/>
          <w:color w:val="0D0D0D"/>
          <w:sz w:val="28"/>
          <w:szCs w:val="28"/>
        </w:rPr>
        <w:t xml:space="preserve"> клопотань слідчого, прокурора, та інших осіб</w:t>
      </w:r>
      <w:r w:rsidR="009E6F01" w:rsidRPr="00C931B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(</w:t>
      </w:r>
      <w:r w:rsidR="009C5A48" w:rsidRPr="00C931BD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734D62" w:rsidRPr="00C931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них, у звітному періоді надійшло</w:t>
      </w:r>
      <w:r w:rsidR="00734D62" w:rsidRPr="00C931B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17188</w:t>
      </w:r>
      <w:r w:rsidR="009E6F01" w:rsidRPr="00C931BD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r w:rsidR="009E6F01" w:rsidRPr="00C931B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9E6F01" w:rsidRPr="00C931BD">
        <w:rPr>
          <w:rFonts w:ascii="Times New Roman" w:hAnsi="Times New Roman" w:cs="Times New Roman"/>
          <w:bCs/>
          <w:color w:val="000000"/>
          <w:sz w:val="28"/>
          <w:szCs w:val="28"/>
        </w:rPr>
        <w:t>Розглянуто протягом року - 17054, а залишилось нерозглянутих - 363.</w:t>
      </w:r>
    </w:p>
    <w:p w:rsidR="00660EA1" w:rsidRPr="00C931BD" w:rsidRDefault="00660EA1" w:rsidP="00D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660EA1" w:rsidRPr="00C931BD" w:rsidRDefault="00660EA1" w:rsidP="00D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660EA1" w:rsidRPr="00C931BD" w:rsidRDefault="00660EA1" w:rsidP="00D30C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8A0A18" w:rsidRPr="00C931BD" w:rsidRDefault="008A0A18" w:rsidP="00D74A3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002D" w:rsidRPr="00C931BD" w:rsidRDefault="00A2002D" w:rsidP="00D74A3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2A84" w:rsidRPr="00C931BD" w:rsidRDefault="004454C8" w:rsidP="001D69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1BD">
        <w:rPr>
          <w:rFonts w:ascii="Times New Roman" w:hAnsi="Times New Roman" w:cs="Times New Roman"/>
          <w:b/>
          <w:sz w:val="32"/>
          <w:szCs w:val="32"/>
        </w:rPr>
        <w:lastRenderedPageBreak/>
        <w:t>3.</w:t>
      </w:r>
      <w:r w:rsidR="00B52A84" w:rsidRPr="00C931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4A7A" w:rsidRPr="00C931BD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Розгляд справ цивільного судочинства.</w:t>
      </w:r>
    </w:p>
    <w:p w:rsidR="00491907" w:rsidRPr="00C931BD" w:rsidRDefault="00A84A70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7A1B6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розгляді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місцевих </w:t>
      </w:r>
      <w:r w:rsidR="007A1B6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загальних </w:t>
      </w:r>
      <w:r w:rsidR="009C5A4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</w:t>
      </w:r>
      <w:r w:rsidR="007A1B6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Івано-Франківської області перебувало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5284 </w:t>
      </w:r>
      <w:r w:rsidR="009E3A2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7347 </w:t>
      </w:r>
      <w:r w:rsidR="003E7F7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3A2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3A2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рік)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видачу судового наказу</w:t>
      </w:r>
      <w:r w:rsidR="007A1B6C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(заяви наказного провадження)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53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</w:t>
      </w:r>
      <w:r w:rsidR="001D53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видано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4119 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судових наказів,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1108</w:t>
      </w:r>
      <w:r w:rsidR="001D53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D3C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відмовлено у видачі судового наказу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грошових коштів, яка пред’явлена для стягнення складає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129675244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грн., а підлягає стягненню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111549458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</w:p>
    <w:p w:rsidR="005D3C5C" w:rsidRPr="00C931BD" w:rsidRDefault="00491907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Найбільшу кількість становлять: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стягнення заборгованості за оплату житлово-комунальних послуг, телекомунікаційних послуг, послуг телебачення та радіомовлення з урахуванням індексу інфляції та трьох відсотків річних, нарахованих заявником на суму заборгованості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3624 та стягнення нарахованої, але не виплаченої працівникові суми заробітної плати – 1082.</w:t>
      </w:r>
    </w:p>
    <w:p w:rsidR="005D3C5C" w:rsidRPr="00C931BD" w:rsidRDefault="005D3C5C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розглянутих судових заяв про скасування судового</w:t>
      </w:r>
      <w:r w:rsidR="0031417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</w:t>
      </w:r>
      <w:r w:rsidR="002920B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235 (</w:t>
      </w:r>
      <w:r w:rsidR="00F4024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2024 році)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404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B1404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заяв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</w:t>
      </w:r>
      <w:r w:rsidR="007658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345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6F73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19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 w:rsidR="007062A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накази</w:t>
      </w:r>
      <w:r w:rsidR="007062A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скасовано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20</w:t>
      </w:r>
      <w:r w:rsidR="004D17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72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68D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році </w:t>
      </w:r>
      <w:r w:rsidR="009C5A4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9E11B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розгляді </w:t>
      </w:r>
      <w:r w:rsidR="009E11B2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перебувало 2</w:t>
      </w:r>
      <w:r w:rsidR="00073C7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6967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9E11B2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19060</w:t>
      </w:r>
      <w:r w:rsidR="00045828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="009E11B2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B26F19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E11B2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рік</w:t>
      </w:r>
      <w:r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справ позовного провадження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що на</w:t>
      </w:r>
      <w:r w:rsidR="004D6C8A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3C7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7907 </w:t>
      </w:r>
      <w:r w:rsidR="00EA0CEE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</w:t>
      </w:r>
      <w:r w:rsidR="0085233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 у попередньому періоді.</w:t>
      </w:r>
    </w:p>
    <w:p w:rsidR="00387ADF" w:rsidRDefault="00DB66B5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Загальна кількість справ, провадження яких закінчено, склала 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19034</w:t>
      </w:r>
      <w:r w:rsidR="00B6229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7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13825 </w:t>
      </w:r>
      <w:r w:rsidR="00546614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E246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3C7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яких: </w:t>
      </w:r>
      <w:r w:rsidR="006A79E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6567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12099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3C7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розглянуто </w:t>
      </w:r>
      <w:r w:rsidR="00802A7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ухваленням рішення, (із них </w:t>
      </w:r>
      <w:r w:rsidR="00E6676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задоволенням позову – </w:t>
      </w:r>
      <w:r w:rsidR="003E57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5812</w:t>
      </w:r>
      <w:r w:rsidR="00AD08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11438</w:t>
      </w:r>
      <w:r w:rsidR="00AD0852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D08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73C7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2024</w:t>
      </w:r>
      <w:r w:rsidR="00AD0852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02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1182</w:t>
      </w:r>
      <w:r w:rsidR="00E6676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635</w:t>
      </w:r>
      <w:r w:rsidR="00045828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4582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3C7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76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закриттям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E6676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у справі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1092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981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3C7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залишенням заяви без розгляду; 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73C7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3C7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6A79EC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рік) </w:t>
      </w:r>
      <w:r w:rsidR="0013491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64655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передано за підсудністю в інші суди, що відображено в </w:t>
      </w:r>
      <w:r w:rsidR="006441BD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 4</w:t>
      </w:r>
      <w:r w:rsidR="00E37FD7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387ADF" w:rsidP="00387ADF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87ADF" w:rsidRDefault="00CA3E4E" w:rsidP="00387ADF">
      <w:pPr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Діаграма №4</w:t>
      </w:r>
    </w:p>
    <w:p w:rsidR="00CA3E4E" w:rsidRPr="00387ADF" w:rsidRDefault="00CA3E4E" w:rsidP="00387ADF">
      <w:pPr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Кількість розглянутих </w:t>
      </w:r>
      <w:r w:rsidR="001F6909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 позовного провадження</w:t>
      </w: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кінець звітного періоду</w:t>
      </w:r>
    </w:p>
    <w:p w:rsidR="00CC0B14" w:rsidRPr="00C931BD" w:rsidRDefault="00DB1640" w:rsidP="001803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76659" cy="2662280"/>
            <wp:effectExtent l="19050" t="0" r="24091" b="4720"/>
            <wp:docPr id="3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25B4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00C75" w:rsidRPr="00C931BD" w:rsidRDefault="00DB66B5" w:rsidP="00B6229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розглянутих у 20</w:t>
      </w:r>
      <w:r w:rsidR="00034DE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376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році – </w:t>
      </w:r>
      <w:r w:rsidR="00A44A2A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19034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(</w:t>
      </w:r>
      <w:r w:rsidR="0002376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13825</w:t>
      </w:r>
      <w:r w:rsidR="00B62296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2376B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A2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найбільшу кількість становлять спори</w:t>
      </w:r>
      <w:r w:rsidR="005D65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виникають із сімейних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відносин – </w:t>
      </w:r>
      <w:r w:rsidR="00A44A2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5599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17DD2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60</w:t>
      </w:r>
      <w:r w:rsidR="0002376B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017DD2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229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2376B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; із право</w:t>
      </w:r>
      <w:r w:rsidR="004D6C8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чинів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44A2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10462</w:t>
      </w:r>
      <w:r w:rsidR="00017DD2"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2376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4739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2376B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D6C8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відносин </w:t>
      </w:r>
      <w:r w:rsidR="004D6C8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спадкування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2F1AD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</w:t>
      </w:r>
      <w:r w:rsidR="00A44A2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26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02376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1158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2376B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відображено в </w:t>
      </w:r>
      <w:r w:rsidR="00554FA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Діаграмі 5.</w:t>
      </w:r>
    </w:p>
    <w:p w:rsidR="005E3787" w:rsidRPr="00C931BD" w:rsidRDefault="00DB66B5" w:rsidP="005E378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№5</w:t>
      </w:r>
    </w:p>
    <w:p w:rsidR="00100C75" w:rsidRPr="00C931BD" w:rsidRDefault="00C77250" w:rsidP="005E378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429260</wp:posOffset>
            </wp:positionV>
            <wp:extent cx="6235700" cy="3468370"/>
            <wp:effectExtent l="19050" t="0" r="0" b="0"/>
            <wp:wrapTopAndBottom/>
            <wp:docPr id="1808032373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E3787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Статистика </w:t>
      </w:r>
      <w:r w:rsidR="00170969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розглянутих </w:t>
      </w:r>
      <w:r w:rsidR="005E3787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основних </w:t>
      </w:r>
      <w:r w:rsidR="00170969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 позовного провадження</w:t>
      </w:r>
    </w:p>
    <w:p w:rsidR="00CC0B14" w:rsidRPr="00C931BD" w:rsidRDefault="00CC0B14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726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Протягом 20</w:t>
      </w:r>
      <w:r w:rsidR="004D17C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725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судах перебувало </w:t>
      </w:r>
      <w:r w:rsidR="0054661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0572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2676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0572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3058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05726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0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окремого провадження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 Із них розглянуто</w:t>
      </w:r>
      <w:r w:rsidR="0054661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0572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1882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400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0E251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ухваленням рішення </w:t>
      </w:r>
      <w:r w:rsidR="0054661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0055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58F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E251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2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</w:t>
      </w:r>
      <w:r w:rsidR="00A2660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B0400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задоволенням </w:t>
      </w:r>
      <w:r w:rsidR="000E251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</w:t>
      </w:r>
      <w:r w:rsidR="0054661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58F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58F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7DF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AD5" w:rsidRPr="00C931BD">
        <w:rPr>
          <w:rFonts w:ascii="Times New Roman" w:hAnsi="Times New Roman" w:cs="Times New Roman"/>
        </w:rPr>
        <w:t xml:space="preserve"> 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передано в інші суди – 8</w:t>
      </w:r>
      <w:r w:rsidR="00147AD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із закриттям провадження у справі – 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47AD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залишенням заяви без розгляду – 2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="00A63D6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67DF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ерозглянутих справ на кінець звітного періоду – </w:t>
      </w:r>
      <w:r w:rsidR="007602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794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66B5" w:rsidRPr="00C931BD" w:rsidRDefault="00F83320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звітному періоді розглянуто </w:t>
      </w:r>
      <w:r w:rsidR="0054661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1882</w:t>
      </w:r>
      <w:r w:rsidR="00A802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 окремого провадження</w:t>
      </w:r>
      <w:r w:rsidR="009358A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2139</w:t>
      </w:r>
      <w:r w:rsidR="004976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B66B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DB66B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 найбільшу кількість становлять 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справи про встановлення фактів, що мають юридичне значення – </w:t>
      </w:r>
      <w:r w:rsidR="00863F8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878</w:t>
      </w:r>
      <w:r w:rsidR="00F308E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63F8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1231</w:t>
      </w:r>
      <w:r w:rsidR="004976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863F8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="00B62296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 обмеження цивільної дієздатності фізичної особи, визнання фізичної особи недієздатною та поновлення цивільної дієздатності фізичної особи – </w:t>
      </w:r>
      <w:r w:rsidR="00863F8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574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63F8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515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202</w:t>
      </w:r>
      <w:r w:rsidR="00863F8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справи про </w:t>
      </w:r>
      <w:r w:rsidR="0002061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усиновлення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</w:t>
      </w:r>
      <w:r w:rsidR="00863F8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160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63F8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160</w:t>
      </w:r>
      <w:r w:rsidR="002828B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202</w:t>
      </w:r>
      <w:r w:rsidR="00863F8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9922D6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2828B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рік)</w:t>
      </w:r>
      <w:r w:rsidR="00863F8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;</w:t>
      </w:r>
      <w:r w:rsidR="00955AED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справи, що виникають із сімейних </w:t>
      </w:r>
      <w:r w:rsidR="001454F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правов</w:t>
      </w:r>
      <w:r w:rsidR="003936A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ідн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осин – </w:t>
      </w:r>
      <w:r w:rsidR="0084379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67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4379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34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84379C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51763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рік)</w:t>
      </w:r>
      <w:r w:rsidR="00DF2530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Судами розглянуто </w:t>
      </w:r>
      <w:r w:rsidR="0046500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160</w:t>
      </w:r>
      <w:r w:rsidR="00C0249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4661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проваджен</w:t>
      </w:r>
      <w:r w:rsidR="0046500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 усиновлення дітей, в тому числі із ухваленням рішення – </w:t>
      </w:r>
      <w:r w:rsidR="000470D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152,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 них </w:t>
      </w:r>
      <w:r w:rsidR="007F56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753AC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0470D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48 задоволено.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справах </w:t>
      </w:r>
      <w:r w:rsidR="005A08C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цивільного судочинства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відкладено </w:t>
      </w:r>
      <w:r w:rsidR="00AA12A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розгляд та не закінчено провадження на кінець звітного періоду </w:t>
      </w:r>
      <w:r w:rsidR="00FD0BF6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F719A8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3475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F719A8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2547 </w:t>
      </w:r>
      <w:r w:rsidR="00623400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F719A8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719A8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Із них найбільшу кількість становлять: через неявку </w:t>
      </w:r>
      <w:r w:rsidR="00C0249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одного з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учасників процесу</w:t>
      </w:r>
      <w:r w:rsidR="00B1404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що беруть участь у справі</w:t>
      </w:r>
      <w:r w:rsidR="007F56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1231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753</w:t>
      </w:r>
      <w:r w:rsidR="007F56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4D17CD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рік)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,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в тому числі: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невручення судових повісток – 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40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87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рік),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інш</w:t>
      </w:r>
      <w:r w:rsidR="00674ED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підстав</w:t>
      </w:r>
      <w:r w:rsidR="00674ED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7E714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F0C6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1191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666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62340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</w:t>
      </w:r>
      <w:r w:rsidR="004F0E6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="006D31D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інших учасників процесу – </w:t>
      </w:r>
      <w:r w:rsidR="00754C2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18</w:t>
      </w:r>
      <w:r w:rsidR="00CC2A7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4C7D95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</w:t>
      </w:r>
      <w:r w:rsidR="00754C2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).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Протягом 20</w:t>
      </w:r>
      <w:r w:rsidR="004D17C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F719A8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 кількість справ, які відкладено понад 6 місяців до </w:t>
      </w:r>
      <w:r w:rsidR="00B62296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 року становить </w:t>
      </w:r>
      <w:r w:rsidR="0054661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430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369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2F0E7A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понад 1 рік до 2 років – </w:t>
      </w:r>
      <w:r w:rsidR="0050314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53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2F0E7A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–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2F0E7A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понад 2 роки – 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137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F2427C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16</w:t>
      </w:r>
      <w:r w:rsidR="002F0E7A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0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–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2F0E7A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AC54A2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рік)</w:t>
      </w:r>
      <w:r w:rsidR="002F0E7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справ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13981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кінець звітного періоду залишились нерозглянутими </w:t>
      </w:r>
      <w:r w:rsidR="00D83D6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9795</w:t>
      </w:r>
      <w:r w:rsidR="006214E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83D6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справ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позовного та окремого </w:t>
      </w:r>
      <w:r w:rsidR="00D83D6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провадження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або </w:t>
      </w:r>
      <w:r w:rsidR="00C765B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1113C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EC5EB8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113C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 від усіх, що перебували в провадженні протягом 20</w:t>
      </w:r>
      <w:r w:rsidR="0013734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725CB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(в 20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725CB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en-US" w:eastAsia="ru-RU"/>
        </w:rPr>
        <w:t>4</w:t>
      </w:r>
      <w:r w:rsidR="0006185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році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FE63D2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725CBF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en-US" w:eastAsia="ru-RU"/>
        </w:rPr>
        <w:t xml:space="preserve">7,8 </w:t>
      </w:r>
      <w:r w:rsidR="00FE63D2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%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F0C53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C25D0" w:rsidRPr="00C931BD" w:rsidRDefault="008C25D0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0B14" w:rsidRPr="00C931BD" w:rsidRDefault="00CC0B14" w:rsidP="00E37F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67307" w:rsidRPr="00C931BD" w:rsidRDefault="00667307" w:rsidP="00E37F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A18" w:rsidRPr="00C931BD" w:rsidRDefault="008A0A18" w:rsidP="00E37F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ECA" w:rsidRPr="00C931BD" w:rsidRDefault="00883ECA" w:rsidP="00883ECA">
      <w:pPr>
        <w:pStyle w:val="a8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6B5" w:rsidRPr="00C931BD" w:rsidRDefault="00956735" w:rsidP="00883ECA">
      <w:pPr>
        <w:pStyle w:val="a8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4.</w:t>
      </w:r>
      <w:r w:rsidR="00B52A84" w:rsidRPr="00C931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3ECA" w:rsidRPr="00C931BD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Розгляд справ адміністративного судочинства.</w:t>
      </w:r>
    </w:p>
    <w:p w:rsidR="0036215F" w:rsidRPr="00C931BD" w:rsidRDefault="00DB66B5" w:rsidP="0036215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Протягом 20</w:t>
      </w:r>
      <w:r w:rsidR="0013734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AC68E5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 у судах перебувало </w:t>
      </w:r>
      <w:r w:rsidR="0047679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723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B60BA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489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20</w:t>
      </w:r>
      <w:r w:rsidR="0006185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B60BA4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</w:t>
      </w:r>
      <w:r w:rsidR="0047679E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позов</w:t>
      </w:r>
      <w:r w:rsidR="0047679E"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озглянуто – 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710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повернуто –</w:t>
      </w:r>
      <w:r w:rsidR="009E246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відмовлено у відкритті провадження – 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відкрито провадження</w:t>
      </w:r>
      <w:r w:rsidR="009F3C0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F218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 w:rsidR="00A85D3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3C0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залишено без розгляду – 4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відображено у Діаграмі № 6. </w:t>
      </w:r>
      <w:r w:rsidR="009F3C0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85D3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алишок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позовних заяв</w:t>
      </w:r>
      <w:r w:rsidR="00F34AC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47679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C75" w:rsidRPr="00C931BD" w:rsidRDefault="0036215F" w:rsidP="006C2F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№6</w:t>
      </w:r>
    </w:p>
    <w:p w:rsidR="00170969" w:rsidRPr="00C931BD" w:rsidRDefault="00F84C82" w:rsidP="006C2F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Кількість </w:t>
      </w:r>
      <w:r w:rsidR="00170969" w:rsidRPr="00C931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розгля</w:t>
      </w:r>
      <w:r w:rsidRPr="00C931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нутих</w:t>
      </w:r>
      <w:r w:rsidR="00170969" w:rsidRPr="00C931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адміністративних позовних заяв</w:t>
      </w:r>
    </w:p>
    <w:p w:rsidR="004B3369" w:rsidRPr="00C931BD" w:rsidRDefault="009B7050" w:rsidP="00682775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534626" cy="3835625"/>
            <wp:effectExtent l="19050" t="0" r="27974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3369" w:rsidRPr="00C931BD" w:rsidRDefault="004B3369" w:rsidP="00363C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750" w:rsidRPr="00C931BD" w:rsidRDefault="00DB66B5" w:rsidP="00363C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на розгляді в судах перебувало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8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адміністративних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із них розглянуто –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583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73A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821E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рік). </w:t>
      </w:r>
      <w:r w:rsidR="000E2F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нерозглянутих на кінець звітного періоду – </w:t>
      </w:r>
      <w:r w:rsidR="0058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104 справи</w:t>
      </w:r>
      <w:r w:rsidR="0071775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11C" w:rsidRPr="00C931BD" w:rsidRDefault="00DB66B5" w:rsidP="000A5C9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Найбільшу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кількість </w:t>
      </w:r>
      <w:r w:rsidR="0071775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розглянутих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становлять: </w:t>
      </w:r>
      <w:r w:rsidR="0089096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672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або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9096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397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1071D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89096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89096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справи щодо забезпечення громадського порядку та безпеки, національної безпеки та оборони України</w:t>
      </w:r>
      <w:r w:rsidR="000A5C96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(зокрема з них: 260 щодо дорожнього руху, транспорту та перевезення пасажирів та 203 щодо військового обліку, мобілізаційної підготовки та мобілізації)</w:t>
      </w:r>
      <w:r w:rsidR="0089096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8323C6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</w:t>
      </w:r>
      <w:r w:rsidR="003457C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 </w:t>
      </w:r>
      <w:r w:rsidR="003457C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8323C6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11</w:t>
      </w:r>
      <w:r w:rsidR="003457C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3457C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3457C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202</w:t>
      </w:r>
      <w:r w:rsidR="008323C6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3457C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 </w:t>
      </w:r>
      <w:r w:rsidR="008323C6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</w:t>
      </w:r>
      <w:r w:rsidR="00CB2C6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щодо захисту політичних (крім виборчих) та громадянських прав</w:t>
      </w:r>
      <w:r w:rsidR="003457C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90766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</w:t>
      </w:r>
      <w:r w:rsidR="00907669"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C308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907669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7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- 20</w:t>
      </w:r>
      <w:r w:rsidR="001071D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907669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9C69A8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проваджен</w:t>
      </w:r>
      <w:r w:rsidR="004E2383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</w:t>
      </w:r>
      <w:r w:rsidR="00D5545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B2C6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 приводу регулюванню містобудівної діяльності та землекористування</w:t>
      </w:r>
      <w:r w:rsidR="0090766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що відображено </w:t>
      </w:r>
      <w:r w:rsidR="00363C3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6D0DEF"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Д</w:t>
      </w:r>
      <w:r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іаграм</w:t>
      </w:r>
      <w:r w:rsidR="001E016F"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№</w:t>
      </w:r>
      <w:r w:rsidR="005566B4"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7</w:t>
      </w:r>
      <w:r w:rsidRPr="00C931B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.</w:t>
      </w:r>
    </w:p>
    <w:p w:rsidR="00DB66B5" w:rsidRPr="00C931BD" w:rsidRDefault="00DB66B5" w:rsidP="006C2F4D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Діаграма №</w:t>
      </w:r>
      <w:r w:rsidR="005566B4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</w:p>
    <w:p w:rsidR="00E71E87" w:rsidRPr="00C931BD" w:rsidRDefault="0082526A" w:rsidP="006C2F4D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562610</wp:posOffset>
            </wp:positionV>
            <wp:extent cx="6104890" cy="4175125"/>
            <wp:effectExtent l="19050" t="0" r="10160" b="0"/>
            <wp:wrapTopAndBottom/>
            <wp:docPr id="332274454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5469CC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Розглянуті адміністративні провадження</w:t>
      </w:r>
    </w:p>
    <w:p w:rsidR="005469CC" w:rsidRPr="00C931BD" w:rsidRDefault="005469CC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20</w:t>
      </w:r>
      <w:r w:rsidR="0013734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D30E43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році розглянуто </w:t>
      </w:r>
      <w:r w:rsidR="009A591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687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справ адміністративного провадження, </w:t>
      </w:r>
      <w:r w:rsidR="006F364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 них: </w:t>
      </w:r>
      <w:r w:rsidR="009A591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535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із прийняттям постанови (із задоволенням позову – </w:t>
      </w:r>
      <w:r w:rsidR="009A591F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367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), із закриттям провадження у справі – </w:t>
      </w:r>
      <w:r w:rsidR="00E96F6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4A4FF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із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залишенням заяви без розгляду – </w:t>
      </w:r>
      <w:r w:rsidR="004A167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E96F6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передано в інші суди – </w:t>
      </w:r>
      <w:r w:rsidR="00E96F6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 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Залишилось нерозглянутих на кінець 20</w:t>
      </w:r>
      <w:r w:rsidR="0018704C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C24A6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 </w:t>
      </w:r>
      <w:r w:rsidR="00C24A6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104</w:t>
      </w:r>
      <w:r w:rsidR="005F1D8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24A6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справи адміністративного провадження.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справах адміністративного провадження відкладено </w:t>
      </w:r>
      <w:r w:rsidR="00A84BA1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розгляд та не закінчено провадження на кінець звітного періоду – </w:t>
      </w:r>
      <w:r w:rsidR="005712F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46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4A167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5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0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- 20</w:t>
      </w:r>
      <w:r w:rsidR="001071D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="0039371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4661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проваджень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610642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Основними причинами відкладення адміністративних </w:t>
      </w:r>
      <w:r w:rsidR="00546614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проваджень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є: неявка одн</w:t>
      </w:r>
      <w:r w:rsidR="00BF0C6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ого з учасників процесу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що беруть участь у справі – </w:t>
      </w:r>
      <w:r w:rsidR="005712F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EE104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5712F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9C501C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</w:t>
      </w:r>
      <w:r w:rsidR="001071D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5712F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9C501C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рік</w:t>
      </w:r>
      <w:r w:rsidR="009C501C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),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інш</w:t>
      </w:r>
      <w:r w:rsidR="004A4FF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підстав</w:t>
      </w:r>
      <w:r w:rsidR="004A4FF0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5712F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5712F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20</w:t>
      </w:r>
      <w:r w:rsidR="001071D1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</w:t>
      </w:r>
      <w:r w:rsidR="005712F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</w:t>
      </w:r>
      <w:r w:rsidR="005712FE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).</w:t>
      </w:r>
    </w:p>
    <w:p w:rsidR="00A82622" w:rsidRPr="00C931BD" w:rsidRDefault="00DB66B5" w:rsidP="008A0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судах протягом 20</w:t>
      </w:r>
      <w:r w:rsidR="00137349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FD4C8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 кількість справ, розгляд яких відкладено понад 6 місяців до 1 року становить </w:t>
      </w:r>
      <w:r w:rsidR="00BF0C6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25265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справ</w:t>
      </w:r>
      <w:r w:rsidR="004377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6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4377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202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4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понад 1 рік до</w:t>
      </w:r>
      <w:r w:rsidR="00EE104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 років –</w:t>
      </w:r>
      <w:r w:rsidR="00C1480D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5265B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4377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(5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4377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2024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понад </w:t>
      </w:r>
      <w:r w:rsidR="00C830CA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 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роки – </w:t>
      </w:r>
      <w:r w:rsidR="008557EE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4377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1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4377F7"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FD4C8B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2024</w:t>
      </w:r>
      <w:r w:rsidR="004377F7" w:rsidRPr="00C931BD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A5C96" w:rsidRPr="00C931BD" w:rsidRDefault="000A5C96" w:rsidP="008A0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B66B5" w:rsidRPr="00C931BD" w:rsidRDefault="006D0DEF" w:rsidP="008A0A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1B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 </w:t>
      </w:r>
      <w:r w:rsidR="008A0A18" w:rsidRPr="00C931BD">
        <w:rPr>
          <w:rFonts w:ascii="Times New Roman" w:hAnsi="Times New Roman" w:cs="Times New Roman"/>
          <w:b/>
          <w:sz w:val="32"/>
          <w:szCs w:val="32"/>
        </w:rPr>
        <w:t xml:space="preserve">Розгляд </w:t>
      </w:r>
      <w:r w:rsidR="008A0A18" w:rsidRPr="00C93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справ про адміністративні правопорушення.</w:t>
      </w:r>
    </w:p>
    <w:p w:rsidR="00E050B4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20</w:t>
      </w:r>
      <w:r w:rsidR="0013734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017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 розгляд до судів </w:t>
      </w:r>
      <w:r w:rsidR="00F10B6F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надійшло 15381</w:t>
      </w:r>
      <w:r w:rsidR="004A465D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0B6F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 про адміністративне правопорушення</w:t>
      </w:r>
      <w:r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="00F10B6F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21044</w:t>
      </w:r>
      <w:r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20</w:t>
      </w:r>
      <w:r w:rsidR="001071D1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="00F10B6F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91362E"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рік)</w:t>
      </w:r>
      <w:r w:rsidR="00DA479B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урахуванням залишку усього </w:t>
      </w:r>
      <w:r w:rsidR="00B019A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перебувало </w:t>
      </w:r>
      <w:r w:rsidR="00F10B6F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- 17171</w:t>
      </w:r>
      <w:r w:rsidRPr="00C931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9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Повернуто 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591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про адміністративне правопорушення</w:t>
      </w:r>
      <w:r w:rsidR="00FB30B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02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30B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  <w:r w:rsidR="00E171F9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B30B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B30B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10B6F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 </w:t>
      </w:r>
      <w:r w:rsidR="00FB30B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із них 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465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751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10B6F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повернуто органам, що склали протоколи про вчинення адміністративних правопорушень для неналежного оформлення.</w:t>
      </w:r>
    </w:p>
    <w:p w:rsidR="001E016F" w:rsidRPr="00C931BD" w:rsidRDefault="00DB66B5" w:rsidP="001E016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розгляду протоколів про адміністративні правопорушення розглянуто</w:t>
      </w:r>
      <w:r w:rsidR="00C6653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15300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0B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20659</w:t>
      </w:r>
      <w:r w:rsidR="00C11CA5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- 20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10B6F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відносно </w:t>
      </w:r>
      <w:r w:rsidR="00C6653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15307</w:t>
      </w:r>
      <w:r w:rsidR="000D068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0D068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361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залишок нерозглянутих на кінець звітного періоду – </w:t>
      </w:r>
      <w:r w:rsidR="00C6653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1280</w:t>
      </w:r>
      <w:r w:rsidR="0022361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2F115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="001E016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відображено в </w:t>
      </w:r>
      <w:r w:rsidR="001E016F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Діаграмі №8</w:t>
      </w:r>
      <w:r w:rsidR="00AA4E3E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1E016F" w:rsidRPr="00C931BD" w:rsidRDefault="001E016F" w:rsidP="00D73FC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№8</w:t>
      </w:r>
    </w:p>
    <w:p w:rsidR="001E016F" w:rsidRPr="00C931BD" w:rsidRDefault="007F03A3" w:rsidP="00D73FC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335280</wp:posOffset>
            </wp:positionV>
            <wp:extent cx="6101715" cy="2136140"/>
            <wp:effectExtent l="19050" t="0" r="13335" b="0"/>
            <wp:wrapTopAndBottom/>
            <wp:docPr id="1944696534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73FC9" w:rsidRPr="00C931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t>Стан розгляду справ</w:t>
      </w:r>
      <w:r w:rsidR="001E016F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 адміністративн</w:t>
      </w:r>
      <w:r w:rsidR="00D73FC9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 </w:t>
      </w:r>
      <w:r w:rsidR="001E016F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84C82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</w:t>
      </w:r>
      <w:r w:rsidR="001E016F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авопорушення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Стосовно </w:t>
      </w:r>
      <w:r w:rsidR="0062117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4136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2117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7213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2117F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4445E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б провадження в справі закрито</w:t>
      </w:r>
      <w:r w:rsidR="00A21DD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17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 числі із них 442 особи</w:t>
      </w:r>
      <w:r w:rsidR="00C3663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73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</w:t>
      </w:r>
      <w:r w:rsidR="0035493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473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адміністративної відповідальності при малозначності правопорушення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92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1037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777C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9202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071D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рік),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стосовно </w:t>
      </w:r>
      <w:r w:rsidR="00692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1762</w:t>
      </w:r>
      <w:r w:rsidR="002D327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закрито</w:t>
      </w:r>
      <w:r w:rsidR="00DA473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закінченням строків накладення адміністративного стягнення</w:t>
      </w:r>
      <w:r w:rsidR="00974D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92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2821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974D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202</w:t>
      </w:r>
      <w:r w:rsidR="0069202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="006E56F0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B677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9202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17 </w:t>
      </w:r>
      <w:r w:rsidR="00E53D2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передачею справи прокурору</w:t>
      </w:r>
      <w:r w:rsidR="00974D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3D2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досудового розслідування  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9202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28 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 202</w:t>
      </w:r>
      <w:r w:rsidR="0069202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974D1E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92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рік), 1722</w:t>
      </w:r>
      <w:r w:rsidR="00E53D2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відсутністю події і складу адміністративного правопорушення</w:t>
      </w:r>
      <w:r w:rsidR="00974D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2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3239</w:t>
      </w:r>
      <w:r w:rsidR="00974D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69202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974D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рік)</w:t>
      </w:r>
      <w:r w:rsidR="0069202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72A3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адміністративної відповідальності притягнуто </w:t>
      </w:r>
      <w:r w:rsidR="00D0683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11006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E171F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C93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EE104B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63A94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891BCD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D0683D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2280</w:t>
      </w:r>
      <w:r w:rsidR="00683463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</w:t>
      </w:r>
      <w:r w:rsidR="00563A94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 </w:t>
      </w:r>
      <w:r w:rsidR="00312B50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</w:t>
      </w:r>
      <w:r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ше, в порівнянні </w:t>
      </w:r>
      <w:r w:rsidR="005A785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202</w:t>
      </w:r>
      <w:r w:rsidR="00D0683D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 </w:t>
      </w:r>
      <w:r w:rsidR="005A7851" w:rsidRPr="00C9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роком</w:t>
      </w:r>
      <w:r w:rsidRPr="00C93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</w:t>
      </w:r>
    </w:p>
    <w:p w:rsidR="00B11626" w:rsidRPr="00C931BD" w:rsidRDefault="00DB66B5" w:rsidP="00691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застосованих судами адміністративних стягнень свідчить, що </w:t>
      </w:r>
      <w:r w:rsidR="0069138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D0683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10543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38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38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застосовано адміністративне стягнення у вигляді штрафу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9138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1841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38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справі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правопорушник</w:t>
      </w:r>
      <w:r w:rsidR="0069138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ів позбавлено спеціального права (керування транспортним засобом)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AE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50</w:t>
      </w:r>
      <w:r w:rsidR="008A5E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7A0AE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справах накладено</w:t>
      </w:r>
      <w:r w:rsidR="008A5E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адміністративний арешт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8A5E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 із застосуванням</w:t>
      </w:r>
      <w:r w:rsidR="008A5E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іт</w:t>
      </w:r>
      <w:r w:rsidR="001C6A0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5E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6A0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</w:t>
      </w:r>
      <w:r w:rsidR="002B751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корисн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A5E1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іт.</w:t>
      </w:r>
    </w:p>
    <w:p w:rsidR="00DB66B5" w:rsidRPr="00C931BD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Адміністративне стягнення (основне і додаткове) у вигляді конфіскації предмета, який став знаряддям вчинення або безпосереднім об’єктом адміністративного правопорушення, застосовано 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у 102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25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справах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2622" w:rsidRPr="00C931BD" w:rsidRDefault="00DB66B5" w:rsidP="00B80E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на розгляд до судів надійшло 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1897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5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(всього перебувало 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2441</w:t>
      </w:r>
      <w:r w:rsidR="00F025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 про адміністративні правопорушення за ст.1</w:t>
      </w:r>
      <w:r w:rsidR="001133A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КУпАП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(Керування транспортними засобами або суднами особами, які перебувають у стані алкогольного, наркотичного чи іншого сп'яніння або під впливом лікарських препаратів, що знижують їх увагу та швидкість реакції)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них: 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7A67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4C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 було повернуто (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B944C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належного оформлення</w:t>
      </w:r>
      <w:r w:rsidR="00B944C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2056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85EF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 w:rsidR="00AD060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2056 осіб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розглянуто і </w:t>
      </w:r>
      <w:r w:rsidR="00BC14A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1702 справах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накладено </w:t>
      </w:r>
      <w:r w:rsidR="00BC14A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адміністративне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стягнення</w:t>
      </w:r>
      <w:r w:rsidR="00BC14A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C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стягненням було накладення штрафу щодо </w:t>
      </w:r>
      <w:r w:rsidR="00F1434E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1699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осіб. Щодо </w:t>
      </w:r>
      <w:r w:rsidR="0058364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350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0D1E7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б справ</w:t>
      </w:r>
      <w:r w:rsidR="001C3D2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5BB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закрито (</w:t>
      </w:r>
      <w:r w:rsidR="0058364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них </w:t>
      </w:r>
      <w:r w:rsidR="00EF3A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E682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</w:t>
      </w:r>
      <w:r w:rsidR="007A675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осіб справи закрито за відсутністю події </w:t>
      </w:r>
      <w:r w:rsidR="00AF3D0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складу адміністративного правопорушення</w:t>
      </w:r>
      <w:r w:rsidR="00214F4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73D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1665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 w:rsidR="00A17F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1665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закінченням строків накладення адміністративного стягнення</w:t>
      </w:r>
      <w:r w:rsidR="00BC14A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2 - передачею справи прокурору, органу досудового розслідування, 15 – з інших підстав.) Залишок нерозглянутих справ на кінець звітного періоду становить 320 справ. </w:t>
      </w:r>
      <w:r w:rsidR="00B80EC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розгляду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правопорушень за ст.1</w:t>
      </w:r>
      <w:r w:rsidR="001133A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КУпАП показано в </w:t>
      </w:r>
      <w:r w:rsidR="006D0DEF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</w:t>
      </w:r>
      <w:r w:rsidR="006767E5"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C931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CA3112" w:rsidRPr="00C931B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A2002D" w:rsidRPr="00C931BD" w:rsidRDefault="00B80EC0" w:rsidP="00A200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№9</w:t>
      </w:r>
    </w:p>
    <w:p w:rsidR="006D08EF" w:rsidRPr="00C931BD" w:rsidRDefault="00C620D5" w:rsidP="00A2002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5863590" cy="2743200"/>
            <wp:effectExtent l="19050" t="0" r="22860" b="0"/>
            <wp:wrapSquare wrapText="bothSides"/>
            <wp:docPr id="405622956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0213F" w:rsidRPr="00C931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t>Стан</w:t>
      </w:r>
      <w:r w:rsidR="00F84C82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0213F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розгляду </w:t>
      </w:r>
      <w:r w:rsidR="00F84C82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адміністративних </w:t>
      </w:r>
      <w:r w:rsidR="00DB66B5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правопорушень</w:t>
      </w:r>
      <w:r w:rsidR="00A82622"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ст. 130 КУпАП</w:t>
      </w:r>
    </w:p>
    <w:p w:rsidR="001C5FF5" w:rsidRPr="00C931BD" w:rsidRDefault="001C5FF5" w:rsidP="001C5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6C7244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на розгляд до судів надійшло </w:t>
      </w:r>
      <w:r w:rsidR="008D2C2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1399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(всього перебувало </w:t>
      </w:r>
      <w:r w:rsidR="008D2C2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1568 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адміністративні правопорушення за ст.173-2 КУпАП</w:t>
      </w:r>
      <w:r w:rsidR="008D2C2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(Вчинення домашнього насильства)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них: </w:t>
      </w:r>
      <w:r w:rsidR="00F015E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C770A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F015E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70A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повернуто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A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15E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37379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належного оформлення</w:t>
      </w:r>
      <w:r w:rsidR="00C770A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10D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BC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="000F46ED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6BC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озглянут</w:t>
      </w:r>
      <w:r w:rsidR="000B6BC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BC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="00D315A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F7F89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кінець звітного періоду</w:t>
      </w:r>
      <w:r w:rsidR="000B6BC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336B8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0B6BC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10D3" w:rsidRPr="00C931BD" w:rsidRDefault="002510D3" w:rsidP="002510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1432 справи щодо 1432 осіб розглянуто, на 1059 осіб</w:t>
      </w:r>
      <w:r w:rsidRPr="00C931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накладено адміністративне стягнення, у 4 справах застосовано заходи впливу, передбачені статтею 24-1 КУпАП, щодо 369 осіб закрито провадження.</w:t>
      </w:r>
    </w:p>
    <w:p w:rsidR="006D08EF" w:rsidRPr="00C931BD" w:rsidRDefault="001C5FF5" w:rsidP="001C5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стягненням було накладення штрафу щодо </w:t>
      </w:r>
      <w:r w:rsidR="0032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1008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="00DB226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громадські роботи </w:t>
      </w:r>
      <w:r w:rsidR="00D83BFF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DB226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F3E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="00DB226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адміністративний арешт </w:t>
      </w:r>
      <w:r w:rsidR="00C44931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226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21E3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3EB0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осіб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251B" w:rsidRPr="00C931BD" w:rsidRDefault="0063574D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F015E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до судів надійшл</w:t>
      </w:r>
      <w:r w:rsidR="00D36786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адміністративні правопорушення</w:t>
      </w:r>
      <w:r w:rsidR="0053251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51B" w:rsidRPr="00C931BD" w:rsidRDefault="0053251B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3574D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ст.172-11 КУпА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3574D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56F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63574D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самовільне залишення військової частини або місця служби</w:t>
      </w:r>
      <w:r w:rsidR="007F56F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625C1F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 (а у 2024 році – 2)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3251B" w:rsidRPr="00C931BD" w:rsidRDefault="0053251B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3574D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ст.172-15 КУпАП </w:t>
      </w:r>
      <w:r w:rsidR="007F56F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3574D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недбале ставлення до військової служби</w:t>
      </w:r>
      <w:r w:rsidR="007F56F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625C1F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F6AD6" w:rsidRPr="00C931BD" w:rsidRDefault="0053251B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ст.</w:t>
      </w:r>
      <w:r w:rsidR="00200741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212-2 КУпАП </w:t>
      </w:r>
      <w:r w:rsidR="007F56F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F6AD6" w:rsidRPr="00C93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порушення законодавства про державну </w:t>
      </w:r>
      <w:r w:rsidR="003C7FAC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таємницю</w:t>
      </w:r>
      <w:r w:rsidR="007F56F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D3678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C3DD9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F6AD6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6B5" w:rsidRPr="00C931BD" w:rsidRDefault="00DB66B5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вчинення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адміністративних правопорушень судами накладено стягнення у вигляді штрафу на суму </w:t>
      </w:r>
      <w:r w:rsidR="00A8048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0F113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048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0F113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48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989</w:t>
      </w:r>
      <w:r w:rsidR="00173B3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н., з яких </w:t>
      </w:r>
      <w:r w:rsidR="00A8048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F113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048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852</w:t>
      </w:r>
      <w:r w:rsidR="000F1132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48B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905</w:t>
      </w:r>
      <w:r w:rsidR="00173B3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сплачено в добровільному порядку.</w:t>
      </w: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2510D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0A3" w:rsidRPr="00C931BD" w:rsidRDefault="006330A3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EFD" w:rsidRPr="00C931BD" w:rsidRDefault="00A5188C" w:rsidP="00387A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1B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5. Розгляд справ </w:t>
      </w:r>
      <w:r w:rsidR="006330A3" w:rsidRPr="00C931BD">
        <w:rPr>
          <w:rFonts w:ascii="Times New Roman" w:hAnsi="Times New Roman" w:cs="Times New Roman"/>
          <w:b/>
          <w:bCs/>
          <w:sz w:val="32"/>
          <w:szCs w:val="32"/>
        </w:rPr>
        <w:t>Івано-Франківськи</w:t>
      </w:r>
      <w:r w:rsidRPr="00C931BD">
        <w:rPr>
          <w:rFonts w:ascii="Times New Roman" w:hAnsi="Times New Roman" w:cs="Times New Roman"/>
          <w:b/>
          <w:bCs/>
          <w:sz w:val="32"/>
          <w:szCs w:val="32"/>
        </w:rPr>
        <w:t>м</w:t>
      </w:r>
    </w:p>
    <w:p w:rsidR="006330A3" w:rsidRPr="00C931BD" w:rsidRDefault="00243EFD" w:rsidP="00387A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1BD">
        <w:rPr>
          <w:rFonts w:ascii="Times New Roman" w:hAnsi="Times New Roman" w:cs="Times New Roman"/>
          <w:b/>
          <w:bCs/>
          <w:sz w:val="32"/>
          <w:szCs w:val="32"/>
        </w:rPr>
        <w:t>окружним</w:t>
      </w:r>
      <w:r w:rsidR="006330A3" w:rsidRPr="00C931B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адміністративни</w:t>
      </w:r>
      <w:r w:rsidR="00A5188C" w:rsidRPr="00C931BD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6330A3" w:rsidRPr="00C931BD">
        <w:rPr>
          <w:rFonts w:ascii="Times New Roman" w:hAnsi="Times New Roman" w:cs="Times New Roman"/>
          <w:b/>
          <w:bCs/>
          <w:sz w:val="32"/>
          <w:szCs w:val="32"/>
        </w:rPr>
        <w:t xml:space="preserve"> суд</w:t>
      </w:r>
      <w:r w:rsidR="00A5188C" w:rsidRPr="00C931BD">
        <w:rPr>
          <w:rFonts w:ascii="Times New Roman" w:hAnsi="Times New Roman" w:cs="Times New Roman"/>
          <w:b/>
          <w:bCs/>
          <w:sz w:val="32"/>
          <w:szCs w:val="32"/>
        </w:rPr>
        <w:t>ом</w:t>
      </w:r>
    </w:p>
    <w:p w:rsidR="00524C37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931BD">
        <w:rPr>
          <w:rFonts w:ascii="Times New Roman" w:hAnsi="Times New Roman" w:cs="Times New Roman"/>
          <w:sz w:val="28"/>
          <w:szCs w:val="28"/>
        </w:rPr>
        <w:t>За даними статистичної звітності (форма звіту 1-ЄЗ) у 2025 році на розгляді</w:t>
      </w:r>
      <w:r w:rsidRPr="00C931BD">
        <w:rPr>
          <w:rFonts w:ascii="Times New Roman" w:hAnsi="Times New Roman" w:cs="Times New Roman"/>
          <w:bCs/>
          <w:sz w:val="28"/>
          <w:szCs w:val="28"/>
        </w:rPr>
        <w:t xml:space="preserve"> Івано-Франківського</w:t>
      </w:r>
      <w:r w:rsidRPr="00C931BD">
        <w:rPr>
          <w:rFonts w:ascii="Times New Roman" w:hAnsi="Times New Roman" w:cs="Times New Roman"/>
          <w:sz w:val="28"/>
          <w:szCs w:val="28"/>
        </w:rPr>
        <w:t xml:space="preserve"> окружного адміністративного суду перебувало 17206 справ та матеріалів, що на 13% більше в порівнянні з аналогічним періодом 2024 року (15182), з яких у звітному періоді надійшло 13973 одиниці, що на 10% більше, ніж у 2024 році (12759), залишок не розглянутих справ та матеріалів на початку звітного періоду становив 3233</w:t>
      </w:r>
      <w:r w:rsidRPr="00C931B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одиниці.</w:t>
      </w:r>
    </w:p>
    <w:p w:rsidR="00524C37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Суддями суду розглянуто 12298 справ та матеріалів, що на 3% більше, ніж за аналогічний період 2024 року (11942), та становить 71% від загальної кількості справ та матеріалів, що перебували в провадженні с</w:t>
      </w:r>
      <w:r w:rsidR="00524C37" w:rsidRPr="00C931BD">
        <w:rPr>
          <w:rFonts w:ascii="Times New Roman" w:hAnsi="Times New Roman" w:cs="Times New Roman"/>
          <w:sz w:val="28"/>
          <w:szCs w:val="28"/>
        </w:rPr>
        <w:t>уду (показник 2024 року - 79%).</w:t>
      </w:r>
    </w:p>
    <w:p w:rsidR="00524C37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Залишок справ і матеріалів на кінець 2025 року становить 4908 одиниць.</w:t>
      </w:r>
    </w:p>
    <w:p w:rsidR="00524C37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з Базовими показниками роботи суду, </w:t>
      </w:r>
      <w:r w:rsidR="00FF5F98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кутник 3" o:spid="_x0000_s1026" style="position:absolute;left:0;text-align:left;margin-left:601.1pt;margin-top:571pt;width:598.6pt;height:9.2pt;z-index:251672064;visibility:visible;mso-position-horizontal-relative:page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" o:allowincell="f" fillcolor="#3e8ea9" strokecolor="#ceb966">
            <v:textbox>
              <w:txbxContent>
                <w:p w:rsidR="006330A3" w:rsidRPr="00E40377" w:rsidRDefault="006330A3" w:rsidP="006330A3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</w:rPr>
                  </w:pPr>
                </w:p>
              </w:txbxContent>
            </v:textbox>
            <w10:wrap anchorx="page" anchory="margin"/>
          </v:rect>
        </w:pict>
      </w:r>
      <w:r w:rsidRPr="00C931BD">
        <w:rPr>
          <w:rFonts w:ascii="Times New Roman" w:hAnsi="Times New Roman" w:cs="Times New Roman"/>
          <w:sz w:val="28"/>
          <w:szCs w:val="28"/>
        </w:rPr>
        <w:t>середня кількість справ та матеріалів, що перебували на розгляді у звітному періоді в розрахунку на одного суддю становить 845 одиниць та показник середньомісячного розгляду справ і матеріалів одним суддею становить 558 одиниць.</w:t>
      </w:r>
    </w:p>
    <w:p w:rsidR="00524C37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31BD">
        <w:rPr>
          <w:rFonts w:ascii="Times New Roman" w:hAnsi="Times New Roman" w:cs="Times New Roman"/>
          <w:sz w:val="28"/>
          <w:szCs w:val="28"/>
          <w:u w:val="single"/>
        </w:rPr>
        <w:t>Розгляд позовних заяв</w:t>
      </w: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931BD">
        <w:rPr>
          <w:rFonts w:ascii="Times New Roman" w:hAnsi="Times New Roman" w:cs="Times New Roman"/>
          <w:sz w:val="28"/>
          <w:szCs w:val="28"/>
        </w:rPr>
        <w:t>У звітному періоді на розгляді Івано-Франківського окружного адміністративного суду перебувало 9655 (2024 – 10226) позовних заяв та справ, з яких у звітному періоді надійшло 9471, що на 3% менше, ніж у 2024 році (9813). Розглянуто 9413 позовних заяв (2024 – 10039), із них: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601 позовна заява повернута (2024 - 798);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2 позовні заяви залишено без розгляду (2024 - 3);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відмовлено у відкритті провадження відносно 50 позовних заяв (2024 - 46);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відкрито провадження у 8732 справах (2024 - 9168);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28 позовних заяв  передано за підсудністю в інші суди (2024 - 24).</w:t>
      </w: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Залишок нерозглянутих позовних заяв на кінець звітного періоду складає 242 одиниці. Відносно 78 позовних заяв не вирішено питання про їх прийняття на кінець звітного періоду.</w:t>
      </w:r>
    </w:p>
    <w:p w:rsidR="00524C37" w:rsidRPr="00C931BD" w:rsidRDefault="00524C37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24C37" w:rsidRPr="00C931BD" w:rsidRDefault="00524C37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30A3" w:rsidRPr="00C931BD" w:rsidRDefault="006330A3" w:rsidP="00387ADF">
      <w:pPr>
        <w:pStyle w:val="a8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31BD">
        <w:rPr>
          <w:rFonts w:ascii="Times New Roman" w:hAnsi="Times New Roman" w:cs="Times New Roman"/>
          <w:sz w:val="28"/>
          <w:szCs w:val="28"/>
          <w:u w:val="single"/>
        </w:rPr>
        <w:t>Розгляд адміністративних справ</w:t>
      </w: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Провадження закінчено по 8092 справах, або 64% </w:t>
      </w:r>
      <w:r w:rsidRPr="00C931BD">
        <w:rPr>
          <w:rFonts w:ascii="Times New Roman" w:hAnsi="Times New Roman" w:cs="Times New Roman"/>
          <w:sz w:val="28"/>
          <w:szCs w:val="28"/>
          <w:lang w:eastAsia="uk-UA"/>
        </w:rPr>
        <w:t>від загальної кількості адміністративних справ, які перебували в провадженні суду у звітному періоді (12677</w:t>
      </w:r>
      <w:r w:rsidRPr="00C931BD">
        <w:rPr>
          <w:rFonts w:ascii="Times New Roman" w:hAnsi="Times New Roman" w:cs="Times New Roman"/>
          <w:sz w:val="28"/>
          <w:szCs w:val="28"/>
        </w:rPr>
        <w:t xml:space="preserve">), (2024  - 8193 або 73%) з них: 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із прийняттям рішення 7499 (2024 - 7926) (ухвалено 6572 рішення про задоволення позову або 87% від загальної кількості рішень, що ухвалені суддями у 2025 році);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із залишенням заяви без розгляду у 450 справах (2024 - 195); 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із закриттям провадження у 131 справі (2024 - 66);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передано в інші суди 12 справ (2024 - 6).</w:t>
      </w: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Не розглянуто 4585 справ (2024 – 3007), з яких зупинено провадження у 180 справах (2023 – 206). </w:t>
      </w: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Середня тривалість розгляду адміністративних справ становить 113 днів (2024 – 87). </w:t>
      </w:r>
    </w:p>
    <w:p w:rsidR="006330A3" w:rsidRPr="00C931BD" w:rsidRDefault="006330A3" w:rsidP="00387ADF">
      <w:pPr>
        <w:pStyle w:val="2"/>
        <w:spacing w:before="0"/>
        <w:ind w:firstLine="426"/>
        <w:rPr>
          <w:sz w:val="28"/>
          <w:szCs w:val="28"/>
        </w:rPr>
      </w:pPr>
      <w:r w:rsidRPr="00C931BD">
        <w:rPr>
          <w:sz w:val="28"/>
          <w:szCs w:val="28"/>
        </w:rPr>
        <w:t xml:space="preserve">У звітному періоді 57% справ і матеріалів (5321) судом розглянуто у строк, що не перевищив трьох місяців. Строк розгляду 40% (3731) справ і матеріалів перевищив три місяці. Відсоток справ і матеріалів, у яких термін розгляду перевищив один рік, становив 3% (279). Відсоток справ і матеріалів, розгляд яких тривав понад два роки та понад три роки в сукупності, становив 0,3% (29) справ і матеріалів. </w:t>
      </w: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Аналіз показників надходження адміністративних справ за категоріями показав, що 52 % позовних заяв і справ, які надійшли до суду, становили справи зі спорів, що виникають у соціальній сфері. Питома вага справ податкової сфери становила 20 %. Справи, що стосувалися публічної служби, становили 14 %. Справи щодо забезпечення громадського порядку, національної безпеки та оборони України – 5 %.</w:t>
      </w:r>
    </w:p>
    <w:p w:rsidR="006330A3" w:rsidRPr="00C931BD" w:rsidRDefault="006330A3" w:rsidP="00387A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ab/>
        <w:t>У звітному періоді на розгляді в Івано-Франківському окружному адміністративному суді знаходилось 555 клопотань, подань, заяв у порядку виконання судових рішень (2024 - 271), з яких 543 - надійшли у звітному періоді (2024 - 264). Розглянуто 508 заяв (2024 – 259), з яких 276 задоволено.</w:t>
      </w:r>
    </w:p>
    <w:p w:rsidR="00524C37" w:rsidRPr="00C931BD" w:rsidRDefault="00524C37" w:rsidP="00387A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C37" w:rsidRPr="00C931BD" w:rsidRDefault="00524C37" w:rsidP="00387A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A3" w:rsidRPr="00C931BD" w:rsidRDefault="006330A3" w:rsidP="00387A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>На розгляд до суду надійшло: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>309 заяв про виправлення помилки у судовому рішенні (2024 – 251); -</w:t>
      </w: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ab/>
        <w:t>154 заяви про забезпечення (скасування забезпечення) позову або доказів (2024 – 147);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>82 заяви про роз'яснення судового рішення (2024 – 68);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>80 заяв про ухвалення додаткового судового рішення (2024 – 85);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C931BD">
        <w:rPr>
          <w:rFonts w:ascii="Times New Roman" w:hAnsi="Times New Roman" w:cs="Times New Roman"/>
          <w:sz w:val="28"/>
          <w:szCs w:val="28"/>
          <w:lang w:eastAsia="uk-UA" w:bidi="uk-UA"/>
        </w:rPr>
        <w:t>45 заяв про відвід судді (2024 – 16);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9 заяв про перегляд судового рішення за нововиявленими або виключними обставинами (2024 – 5):</w:t>
      </w:r>
    </w:p>
    <w:p w:rsidR="006330A3" w:rsidRPr="00C931BD" w:rsidRDefault="006330A3" w:rsidP="00387ADF">
      <w:pPr>
        <w:pStyle w:val="a8"/>
        <w:numPr>
          <w:ilvl w:val="0"/>
          <w:numId w:val="8"/>
        </w:numPr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2338 заяв з інших процесуальних питань (2024 – 2064). </w:t>
      </w:r>
    </w:p>
    <w:p w:rsidR="006330A3" w:rsidRPr="00C931BD" w:rsidRDefault="006330A3" w:rsidP="00387ADF">
      <w:pPr>
        <w:pStyle w:val="a8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31BD">
        <w:rPr>
          <w:rFonts w:ascii="Times New Roman" w:hAnsi="Times New Roman" w:cs="Times New Roman"/>
          <w:sz w:val="28"/>
          <w:szCs w:val="28"/>
        </w:rPr>
        <w:t>Залишок нерозглянутих заяв, клопотань на кінець звітного періоду складає  81 заяву (2024 – 46).</w:t>
      </w:r>
    </w:p>
    <w:p w:rsidR="006330A3" w:rsidRPr="00C931BD" w:rsidRDefault="006330A3" w:rsidP="0038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334E" w:rsidRPr="00C931BD" w:rsidRDefault="00F4334E" w:rsidP="0090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334E" w:rsidRPr="00C931BD" w:rsidRDefault="00F4334E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489" w:rsidRPr="00C931BD" w:rsidRDefault="00616489" w:rsidP="009F1E72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F1E72" w:rsidRPr="00C931BD" w:rsidRDefault="009F1E72" w:rsidP="009F1E72">
      <w:pPr>
        <w:pStyle w:val="a8"/>
        <w:numPr>
          <w:ilvl w:val="0"/>
          <w:numId w:val="1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1B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Розгляд справ Господарським судом Івано-Франківської області.</w:t>
      </w:r>
    </w:p>
    <w:p w:rsidR="005319DF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За даними КП "Діловодство спеціалізованого суду" станом на 31.12.2025  до суду надійшло 4025 звернень, з них 2147 позовів. На розгляді у звітному періоді перебувало  4580 господарських справ та матеріалів.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Кількість розглянутих справ та матеріалів за звітний період – 4002, з яких позовів – 1764,  наказне провадження – 368.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Загальна кількість постановлених судових рішень, які підлягають оскарженню – 2888. </w:t>
      </w:r>
      <w:r w:rsidRPr="00C931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Кількість розглянутих справ – 1434, з них: залишено без розгляду – 70; закрито провадження – 156; з ухваленням рішення – 799, передано за підсудністю – 8.</w:t>
      </w:r>
      <w:r w:rsidR="00616489" w:rsidRPr="00C931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Відмовлено та повернуто – 317.</w:t>
      </w:r>
      <w:r w:rsidR="00616489" w:rsidRPr="00C931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1BD">
        <w:rPr>
          <w:rFonts w:ascii="Times New Roman" w:hAnsi="Times New Roman" w:cs="Times New Roman"/>
          <w:sz w:val="28"/>
          <w:szCs w:val="28"/>
        </w:rPr>
        <w:t>Відкрито провадження (прийнято до розгляду) – 1416.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Кількість позовних заяв, що надійшли у звітному періоді та в яких розмір заявлених грошових вимог (ціна позову):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-  не перевищує 100 розмірів прожиткового мінімуму для працездатних осіб - 551;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-  не перевищує 500 розмірів прожиткового мінімуму для працездатних осіб –273;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-  понад 500 розмірів прожиткового мінімуму для працездатних осіб – 166.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 xml:space="preserve">У 2025 році за розгляд заяв (скарг) сплачено  19 143 482 грн судового збору.  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За ухвалами суду повернуто судового збору на суму 8 117 477 грн. Для порівняння, у 2024 році за розгляд заяв (скарг) сплачено 25 691 883 грн судового збору. За ухвалами суду повернуто судового збору на суму  5 356 077 грн.</w:t>
      </w:r>
    </w:p>
    <w:p w:rsidR="00616489" w:rsidRPr="00C931BD" w:rsidRDefault="005319DF" w:rsidP="00387A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Кількість справ/заяв про банкрутство, що перебували на розгляді – 675, з яких позовів 195, у тому числі надійшло у звітному періоді – 127; кількість справ про банкрутство, не розглянутих на кінець звітного періоду – 98; кількість справ про банкрутство, у яких винесено постанови про визнання банкрутом у звітному періоді – 6.</w:t>
      </w:r>
    </w:p>
    <w:p w:rsidR="00616489" w:rsidRPr="00625169" w:rsidRDefault="005319DF" w:rsidP="006251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1BD">
        <w:rPr>
          <w:rFonts w:ascii="Times New Roman" w:hAnsi="Times New Roman" w:cs="Times New Roman"/>
          <w:sz w:val="28"/>
          <w:szCs w:val="28"/>
        </w:rPr>
        <w:t>Щодо показників якості розгляду справ Господарським судом  Івано-Франківської області - кількість змінених та скасованих судових рішень становить 60 судових рішень.</w:t>
      </w:r>
    </w:p>
    <w:p w:rsidR="00F6393A" w:rsidRPr="00C931BD" w:rsidRDefault="009F1E72" w:rsidP="00F4334E">
      <w:pPr>
        <w:pStyle w:val="a8"/>
        <w:spacing w:after="0" w:line="30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31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8</w:t>
      </w:r>
      <w:r w:rsidR="00B0115A" w:rsidRPr="00C931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6A2CE5" w:rsidRPr="00C931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Висновок</w:t>
      </w:r>
    </w:p>
    <w:p w:rsidR="00CB58C3" w:rsidRPr="00C931BD" w:rsidRDefault="00A737FE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в 202</w:t>
      </w:r>
      <w:r w:rsidR="006C7244" w:rsidRPr="00C9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B66B5" w:rsidRPr="00C9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у судах спостерігається тенденція щодо з</w:t>
      </w:r>
      <w:r w:rsidR="00D13ACB" w:rsidRPr="00C9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DB66B5" w:rsidRPr="00C9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шення кількості судових справ, матеріалів. Так, протягом 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перебувало </w:t>
      </w:r>
      <w:r w:rsidR="005E6FCC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22039</w:t>
      </w:r>
      <w:r w:rsidR="00E24F07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9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</w:t>
      </w:r>
      <w:r w:rsidR="00DB66B5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</w:t>
      </w:r>
      <w:r w:rsidR="00B919CA" w:rsidRPr="00C9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судочинства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E6FCC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760</w:t>
      </w:r>
      <w:r w:rsidR="00D13ACB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19CA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 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адміністративн</w:t>
      </w:r>
      <w:r w:rsidR="00B919CA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судочинства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A271C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5E6FCC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35619</w:t>
      </w:r>
      <w:r w:rsidR="00B919CA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 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цивільн</w:t>
      </w:r>
      <w:r w:rsidR="00B919CA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19CA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судочинства 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 w:rsidR="005E6FCC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15642</w:t>
      </w:r>
      <w:r w:rsidR="00E24F0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</w:t>
      </w:r>
      <w:r w:rsidR="00E24F07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B66B5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адміністративні правопорушення</w:t>
      </w:r>
      <w:r w:rsidR="00E050B4" w:rsidRPr="00C93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5000" w:type="pct"/>
        <w:tblLook w:val="04A0"/>
      </w:tblPr>
      <w:tblGrid>
        <w:gridCol w:w="9854"/>
      </w:tblGrid>
      <w:tr w:rsidR="003A5A97" w:rsidRPr="00C931BD" w:rsidTr="003A5A97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C45" w:rsidRPr="00C931BD" w:rsidRDefault="00F6393A" w:rsidP="006D08EF">
            <w:pPr>
              <w:spacing w:after="0" w:line="30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Проведений огляд є підставою для висновку про те, що </w:t>
            </w:r>
            <w:r w:rsidR="00BD7839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місцеві </w:t>
            </w:r>
            <w:r w:rsidR="00A737FE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загальні </w:t>
            </w:r>
            <w:r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суди в цілому забезпечили правильне і своєчасне вирішення переважної більшості судових справ.</w:t>
            </w:r>
            <w:r w:rsidR="00BD7839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7921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Відсоток </w:t>
            </w:r>
            <w:r w:rsidR="008316C7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розгляду справ </w:t>
            </w:r>
            <w:r w:rsidR="008316C7" w:rsidRPr="00C931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2A7921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4138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5B8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A4138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405B8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  <w:r w:rsidR="002A7921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%. Наведені дані свідчать про позитивні тенденції звітного періоду</w:t>
            </w:r>
            <w:r w:rsidR="00171C45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Таблиці </w:t>
            </w:r>
            <w:r w:rsidR="00906500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A7921" w:rsidRPr="00C93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A7921" w:rsidRPr="00C93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981" w:rsidRPr="00C931BD" w:rsidRDefault="00D13981" w:rsidP="006D08EF">
            <w:pPr>
              <w:spacing w:after="0" w:line="30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459" w:rsidRPr="00C931BD" w:rsidRDefault="00F20459" w:rsidP="006D08EF">
            <w:pPr>
              <w:spacing w:after="0" w:line="300" w:lineRule="auto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Таблиця №2</w:t>
            </w:r>
          </w:p>
          <w:p w:rsidR="003A5A97" w:rsidRPr="00C931BD" w:rsidRDefault="003A5A97" w:rsidP="006D08EF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C931B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uk-UA"/>
              </w:rPr>
              <w:t>Результативні показники розгляду справ</w:t>
            </w:r>
          </w:p>
          <w:p w:rsidR="003A5A97" w:rsidRPr="00C931BD" w:rsidRDefault="003A5A97" w:rsidP="006D08EF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24"/>
                <w:lang w:eastAsia="uk-U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81"/>
              <w:gridCol w:w="7252"/>
              <w:gridCol w:w="1695"/>
            </w:tblGrid>
            <w:tr w:rsidR="003A5A97" w:rsidRPr="00C931BD" w:rsidTr="00A72475">
              <w:trPr>
                <w:trHeight w:val="510"/>
              </w:trPr>
              <w:tc>
                <w:tcPr>
                  <w:tcW w:w="4119" w:type="pct"/>
                  <w:gridSpan w:val="2"/>
                  <w:shd w:val="clear" w:color="auto" w:fill="D9D9D9" w:themeFill="background1" w:themeFillShade="D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uk-UA"/>
                    </w:rPr>
                    <w:t>Найменування показника</w:t>
                  </w:r>
                </w:p>
              </w:tc>
              <w:tc>
                <w:tcPr>
                  <w:tcW w:w="881" w:type="pct"/>
                  <w:shd w:val="clear" w:color="auto" w:fill="D9D9D9" w:themeFill="background1" w:themeFillShade="D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uk-UA"/>
                    </w:rPr>
                    <w:t>Кількість</w:t>
                  </w:r>
                </w:p>
              </w:tc>
            </w:tr>
            <w:tr w:rsidR="003A5A97" w:rsidRPr="00C931BD" w:rsidTr="00A72475">
              <w:trPr>
                <w:trHeight w:val="555"/>
              </w:trPr>
              <w:tc>
                <w:tcPr>
                  <w:tcW w:w="4119" w:type="pct"/>
                  <w:gridSpan w:val="2"/>
                  <w:shd w:val="clear" w:color="auto" w:fill="EAF1DD" w:themeFill="accent3" w:themeFillTint="33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Відсоток справ та матеріалів, загальний термін проходження яких триває понад один рік, %</w:t>
                  </w:r>
                </w:p>
              </w:tc>
              <w:tc>
                <w:tcPr>
                  <w:tcW w:w="881" w:type="pct"/>
                  <w:shd w:val="clear" w:color="auto" w:fill="EAF1DD" w:themeFill="accent3" w:themeFillTint="33"/>
                  <w:vAlign w:val="center"/>
                  <w:hideMark/>
                </w:tcPr>
                <w:p w:rsidR="003A5A97" w:rsidRPr="00C931BD" w:rsidRDefault="009405B8" w:rsidP="009405B8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9</w:t>
                  </w:r>
                  <w:r w:rsidR="003A5A97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,</w:t>
                  </w: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29</w:t>
                  </w:r>
                </w:p>
              </w:tc>
            </w:tr>
            <w:tr w:rsidR="003A5A97" w:rsidRPr="00C931BD" w:rsidTr="00A72475">
              <w:trPr>
                <w:trHeight w:val="360"/>
              </w:trPr>
              <w:tc>
                <w:tcPr>
                  <w:tcW w:w="354" w:type="pct"/>
                  <w:vMerge w:val="restart"/>
                  <w:shd w:val="clear" w:color="auto" w:fill="C2D69B" w:themeFill="accent3" w:themeFillTint="99"/>
                  <w:textDirection w:val="btLr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 тому числі</w:t>
                  </w:r>
                </w:p>
              </w:tc>
              <w:tc>
                <w:tcPr>
                  <w:tcW w:w="3766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кримінального судочинства, %</w:t>
                  </w:r>
                </w:p>
              </w:tc>
              <w:tc>
                <w:tcPr>
                  <w:tcW w:w="881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9405B8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23,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79</w:t>
                  </w:r>
                </w:p>
              </w:tc>
            </w:tr>
            <w:tr w:rsidR="003A5A97" w:rsidRPr="00C931BD" w:rsidTr="00A72475">
              <w:trPr>
                <w:trHeight w:val="360"/>
              </w:trPr>
              <w:tc>
                <w:tcPr>
                  <w:tcW w:w="354" w:type="pct"/>
                  <w:vMerge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766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адміністративного судочинства, %</w:t>
                  </w:r>
                </w:p>
              </w:tc>
              <w:tc>
                <w:tcPr>
                  <w:tcW w:w="881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9405B8" w:rsidP="009405B8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5</w:t>
                  </w:r>
                  <w:r w:rsidR="003A5A97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,</w:t>
                  </w: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00</w:t>
                  </w:r>
                </w:p>
              </w:tc>
            </w:tr>
            <w:tr w:rsidR="003A5A97" w:rsidRPr="00C931BD" w:rsidTr="00A72475">
              <w:trPr>
                <w:trHeight w:val="360"/>
              </w:trPr>
              <w:tc>
                <w:tcPr>
                  <w:tcW w:w="354" w:type="pct"/>
                  <w:vMerge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766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цивільного судочинства, %</w:t>
                  </w:r>
                </w:p>
              </w:tc>
              <w:tc>
                <w:tcPr>
                  <w:tcW w:w="881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9405B8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5</w:t>
                  </w:r>
                  <w:r w:rsidR="003A5A97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,5</w:t>
                  </w: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3A5A97" w:rsidRPr="00C931BD" w:rsidTr="00A72475">
              <w:trPr>
                <w:trHeight w:val="360"/>
              </w:trPr>
              <w:tc>
                <w:tcPr>
                  <w:tcW w:w="354" w:type="pct"/>
                  <w:vMerge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766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 адміністративні правопорушення, %</w:t>
                  </w:r>
                </w:p>
              </w:tc>
              <w:tc>
                <w:tcPr>
                  <w:tcW w:w="881" w:type="pct"/>
                  <w:shd w:val="clear" w:color="auto" w:fill="C2D69B" w:themeFill="accent3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1,8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</w:tr>
            <w:tr w:rsidR="003A5A97" w:rsidRPr="00C931BD" w:rsidTr="00A72475">
              <w:trPr>
                <w:trHeight w:val="360"/>
              </w:trPr>
              <w:tc>
                <w:tcPr>
                  <w:tcW w:w="4119" w:type="pct"/>
                  <w:gridSpan w:val="2"/>
                  <w:shd w:val="clear" w:color="auto" w:fill="E5DFEC" w:themeFill="accent4" w:themeFillTint="33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Відсоток розгляду справ, %</w:t>
                  </w:r>
                </w:p>
              </w:tc>
              <w:tc>
                <w:tcPr>
                  <w:tcW w:w="881" w:type="pct"/>
                  <w:shd w:val="clear" w:color="auto" w:fill="E5DFEC" w:themeFill="accent4" w:themeFillTint="33"/>
                  <w:vAlign w:val="center"/>
                  <w:hideMark/>
                </w:tcPr>
                <w:p w:rsidR="003A5A97" w:rsidRPr="00C931BD" w:rsidRDefault="003A5A97" w:rsidP="009405B8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9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5</w:t>
                  </w: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,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61</w:t>
                  </w:r>
                </w:p>
              </w:tc>
            </w:tr>
            <w:tr w:rsidR="003A5A97" w:rsidRPr="00C931BD" w:rsidTr="00A72475">
              <w:trPr>
                <w:trHeight w:val="360"/>
              </w:trPr>
              <w:tc>
                <w:tcPr>
                  <w:tcW w:w="4119" w:type="pct"/>
                  <w:gridSpan w:val="2"/>
                  <w:shd w:val="clear" w:color="auto" w:fill="DAEEF3" w:themeFill="accent5" w:themeFillTint="33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Середня кількість розглянутих справ на одного суддю</w:t>
                  </w:r>
                </w:p>
              </w:tc>
              <w:tc>
                <w:tcPr>
                  <w:tcW w:w="881" w:type="pct"/>
                  <w:shd w:val="clear" w:color="auto" w:fill="DAEEF3" w:themeFill="accent5" w:themeFillTint="33"/>
                  <w:noWrap/>
                  <w:vAlign w:val="center"/>
                  <w:hideMark/>
                </w:tcPr>
                <w:p w:rsidR="003A5A97" w:rsidRPr="00C931BD" w:rsidRDefault="003A5A97" w:rsidP="009405B8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7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77</w:t>
                  </w:r>
                </w:p>
              </w:tc>
            </w:tr>
            <w:tr w:rsidR="003A5A97" w:rsidRPr="00C931BD" w:rsidTr="00A72475">
              <w:trPr>
                <w:trHeight w:val="510"/>
              </w:trPr>
              <w:tc>
                <w:tcPr>
                  <w:tcW w:w="4119" w:type="pct"/>
                  <w:gridSpan w:val="2"/>
                  <w:shd w:val="clear" w:color="auto" w:fill="DDD9C3" w:themeFill="background2" w:themeFillShade="E6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Середня кількість справ та матеріалів, що перебували на розгляді в звітний період в розрахунку на одного суддю</w:t>
                  </w:r>
                </w:p>
              </w:tc>
              <w:tc>
                <w:tcPr>
                  <w:tcW w:w="881" w:type="pct"/>
                  <w:shd w:val="clear" w:color="auto" w:fill="DDD9C3" w:themeFill="background2" w:themeFillShade="E6"/>
                  <w:noWrap/>
                  <w:vAlign w:val="center"/>
                  <w:hideMark/>
                </w:tcPr>
                <w:p w:rsidR="003A5A97" w:rsidRPr="00C931BD" w:rsidRDefault="003A5A97" w:rsidP="009405B8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9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37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DE9D9" w:themeFill="accent6" w:themeFillTint="33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Середня тривалість розгляду справи (днів)</w:t>
                  </w:r>
                </w:p>
              </w:tc>
              <w:tc>
                <w:tcPr>
                  <w:tcW w:w="881" w:type="pct"/>
                  <w:shd w:val="clear" w:color="auto" w:fill="FDE9D9" w:themeFill="accent6" w:themeFillTint="33"/>
                  <w:vAlign w:val="center"/>
                  <w:hideMark/>
                </w:tcPr>
                <w:p w:rsidR="003A5A97" w:rsidRPr="00C931BD" w:rsidRDefault="009405B8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кримінального судочинства</w:t>
                  </w:r>
                </w:p>
              </w:tc>
              <w:tc>
                <w:tcPr>
                  <w:tcW w:w="881" w:type="pct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9405B8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36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ind w:firstLineChars="200" w:firstLine="48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справи кримінального провадження (з гр.4 ряд.1 розділу 1)</w:t>
                  </w:r>
                </w:p>
              </w:tc>
              <w:tc>
                <w:tcPr>
                  <w:tcW w:w="881" w:type="pct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16</w:t>
                  </w:r>
                  <w:r w:rsidR="009405B8"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ind w:firstLineChars="200" w:firstLine="48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справи досудового розслідування (слідчі судді) (з гр.4 ряд.2 розділу 1)</w:t>
                  </w:r>
                </w:p>
              </w:tc>
              <w:tc>
                <w:tcPr>
                  <w:tcW w:w="881" w:type="pct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адміністративного судочинства</w:t>
                  </w:r>
                </w:p>
              </w:tc>
              <w:tc>
                <w:tcPr>
                  <w:tcW w:w="881" w:type="pct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9405B8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73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цивільного судочинства</w:t>
                  </w:r>
                </w:p>
              </w:tc>
              <w:tc>
                <w:tcPr>
                  <w:tcW w:w="881" w:type="pct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9405B8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</w:tr>
            <w:tr w:rsidR="003A5A97" w:rsidRPr="00C931BD" w:rsidTr="00A72475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 адміністративні правопорушення</w:t>
                  </w:r>
                </w:p>
              </w:tc>
              <w:tc>
                <w:tcPr>
                  <w:tcW w:w="881" w:type="pct"/>
                  <w:shd w:val="clear" w:color="auto" w:fill="FABF8F" w:themeFill="accent6" w:themeFillTint="99"/>
                  <w:vAlign w:val="center"/>
                  <w:hideMark/>
                </w:tcPr>
                <w:p w:rsidR="003A5A97" w:rsidRPr="00C931BD" w:rsidRDefault="009405B8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C931B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41</w:t>
                  </w:r>
                </w:p>
              </w:tc>
            </w:tr>
          </w:tbl>
          <w:p w:rsidR="003A5A97" w:rsidRPr="00C931BD" w:rsidRDefault="003A5A97" w:rsidP="006D08EF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03425E" w:rsidRPr="00C931BD" w:rsidRDefault="0003425E" w:rsidP="00041F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25E" w:rsidRPr="00C931BD" w:rsidRDefault="0003425E" w:rsidP="0003425E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425E" w:rsidRPr="00C931BD" w:rsidSect="0033311C">
      <w:footerReference w:type="default" r:id="rId17"/>
      <w:pgSz w:w="11906" w:h="16838" w:code="9"/>
      <w:pgMar w:top="567" w:right="567" w:bottom="567" w:left="1701" w:header="709" w:footer="35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A8" w:rsidRDefault="00C267A8" w:rsidP="00E22C32">
      <w:pPr>
        <w:spacing w:after="0" w:line="240" w:lineRule="auto"/>
      </w:pPr>
      <w:r>
        <w:separator/>
      </w:r>
    </w:p>
  </w:endnote>
  <w:endnote w:type="continuationSeparator" w:id="0">
    <w:p w:rsidR="00C267A8" w:rsidRDefault="00C267A8" w:rsidP="00E2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46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7D95" w:rsidRPr="00C410F6" w:rsidRDefault="00FF5F98" w:rsidP="00C410F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2C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C7D95" w:rsidRPr="00E22C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2C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48F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E22C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A8" w:rsidRDefault="00C267A8" w:rsidP="00E22C32">
      <w:pPr>
        <w:spacing w:after="0" w:line="240" w:lineRule="auto"/>
      </w:pPr>
      <w:r>
        <w:separator/>
      </w:r>
    </w:p>
  </w:footnote>
  <w:footnote w:type="continuationSeparator" w:id="0">
    <w:p w:rsidR="00C267A8" w:rsidRDefault="00C267A8" w:rsidP="00E2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0FF"/>
    <w:multiLevelType w:val="hybridMultilevel"/>
    <w:tmpl w:val="04BCF8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C774F"/>
    <w:multiLevelType w:val="hybridMultilevel"/>
    <w:tmpl w:val="12C2DD8E"/>
    <w:lvl w:ilvl="0" w:tplc="483EEB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F1E49"/>
    <w:multiLevelType w:val="hybridMultilevel"/>
    <w:tmpl w:val="EF3A3F72"/>
    <w:lvl w:ilvl="0" w:tplc="FBA6C74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01687"/>
    <w:multiLevelType w:val="hybridMultilevel"/>
    <w:tmpl w:val="7BFCF4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B28B0"/>
    <w:multiLevelType w:val="hybridMultilevel"/>
    <w:tmpl w:val="85FA5A50"/>
    <w:lvl w:ilvl="0" w:tplc="4824F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9147E7"/>
    <w:multiLevelType w:val="hybridMultilevel"/>
    <w:tmpl w:val="B8147872"/>
    <w:lvl w:ilvl="0" w:tplc="57A8423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91C68"/>
    <w:multiLevelType w:val="hybridMultilevel"/>
    <w:tmpl w:val="04BCF8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C727C"/>
    <w:multiLevelType w:val="hybridMultilevel"/>
    <w:tmpl w:val="F7BC7672"/>
    <w:lvl w:ilvl="0" w:tplc="A4829628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5D0B26"/>
    <w:multiLevelType w:val="hybridMultilevel"/>
    <w:tmpl w:val="AC9C7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687F"/>
    <w:multiLevelType w:val="hybridMultilevel"/>
    <w:tmpl w:val="CAC477AA"/>
    <w:lvl w:ilvl="0" w:tplc="D396B99A">
      <w:start w:val="101"/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B66B5"/>
    <w:rsid w:val="00002DED"/>
    <w:rsid w:val="00017015"/>
    <w:rsid w:val="00017DD2"/>
    <w:rsid w:val="0002061C"/>
    <w:rsid w:val="0002376B"/>
    <w:rsid w:val="00025F47"/>
    <w:rsid w:val="00026560"/>
    <w:rsid w:val="00027AEC"/>
    <w:rsid w:val="000319DA"/>
    <w:rsid w:val="00031B14"/>
    <w:rsid w:val="0003425E"/>
    <w:rsid w:val="00034DE1"/>
    <w:rsid w:val="00035AE0"/>
    <w:rsid w:val="00035C29"/>
    <w:rsid w:val="00035EFF"/>
    <w:rsid w:val="00036624"/>
    <w:rsid w:val="00036E51"/>
    <w:rsid w:val="00041F63"/>
    <w:rsid w:val="00042DBF"/>
    <w:rsid w:val="000448B8"/>
    <w:rsid w:val="00044F21"/>
    <w:rsid w:val="00045828"/>
    <w:rsid w:val="000470DA"/>
    <w:rsid w:val="000532A9"/>
    <w:rsid w:val="000573A9"/>
    <w:rsid w:val="00060E01"/>
    <w:rsid w:val="0006185E"/>
    <w:rsid w:val="000629DA"/>
    <w:rsid w:val="00063767"/>
    <w:rsid w:val="00065ADA"/>
    <w:rsid w:val="00066EFD"/>
    <w:rsid w:val="00070CDE"/>
    <w:rsid w:val="00072572"/>
    <w:rsid w:val="000726F9"/>
    <w:rsid w:val="00073C75"/>
    <w:rsid w:val="00073E88"/>
    <w:rsid w:val="00074361"/>
    <w:rsid w:val="00083BE4"/>
    <w:rsid w:val="000841CA"/>
    <w:rsid w:val="000857CA"/>
    <w:rsid w:val="00091ED4"/>
    <w:rsid w:val="00092267"/>
    <w:rsid w:val="00093481"/>
    <w:rsid w:val="000942A6"/>
    <w:rsid w:val="000944D2"/>
    <w:rsid w:val="00097047"/>
    <w:rsid w:val="000A02BD"/>
    <w:rsid w:val="000A0F69"/>
    <w:rsid w:val="000A2C46"/>
    <w:rsid w:val="000A4AE0"/>
    <w:rsid w:val="000A4E5D"/>
    <w:rsid w:val="000A5C96"/>
    <w:rsid w:val="000A783B"/>
    <w:rsid w:val="000B08FE"/>
    <w:rsid w:val="000B3B37"/>
    <w:rsid w:val="000B44D6"/>
    <w:rsid w:val="000B6BCB"/>
    <w:rsid w:val="000B6D2A"/>
    <w:rsid w:val="000C6AA5"/>
    <w:rsid w:val="000C6C66"/>
    <w:rsid w:val="000C6DFC"/>
    <w:rsid w:val="000C748F"/>
    <w:rsid w:val="000D0687"/>
    <w:rsid w:val="000D1E7C"/>
    <w:rsid w:val="000D20F3"/>
    <w:rsid w:val="000D22FA"/>
    <w:rsid w:val="000D2E70"/>
    <w:rsid w:val="000D42D5"/>
    <w:rsid w:val="000E1869"/>
    <w:rsid w:val="000E251B"/>
    <w:rsid w:val="000E2F23"/>
    <w:rsid w:val="000E3EF5"/>
    <w:rsid w:val="000E4AAD"/>
    <w:rsid w:val="000E7C4E"/>
    <w:rsid w:val="000F00A1"/>
    <w:rsid w:val="000F05EC"/>
    <w:rsid w:val="000F0FC7"/>
    <w:rsid w:val="000F1132"/>
    <w:rsid w:val="000F22D3"/>
    <w:rsid w:val="000F3A84"/>
    <w:rsid w:val="000F3EB0"/>
    <w:rsid w:val="000F4114"/>
    <w:rsid w:val="000F4137"/>
    <w:rsid w:val="000F46ED"/>
    <w:rsid w:val="000F4D1A"/>
    <w:rsid w:val="000F52D0"/>
    <w:rsid w:val="000F56E4"/>
    <w:rsid w:val="000F5E5B"/>
    <w:rsid w:val="000F5E79"/>
    <w:rsid w:val="000F77EF"/>
    <w:rsid w:val="001001A2"/>
    <w:rsid w:val="00100559"/>
    <w:rsid w:val="00100AB0"/>
    <w:rsid w:val="00100C75"/>
    <w:rsid w:val="001026EB"/>
    <w:rsid w:val="00103823"/>
    <w:rsid w:val="001040CE"/>
    <w:rsid w:val="001071D1"/>
    <w:rsid w:val="00107E59"/>
    <w:rsid w:val="001112D3"/>
    <w:rsid w:val="001113C7"/>
    <w:rsid w:val="001117F5"/>
    <w:rsid w:val="00111B1C"/>
    <w:rsid w:val="001133A3"/>
    <w:rsid w:val="001160FE"/>
    <w:rsid w:val="001162A0"/>
    <w:rsid w:val="00117F05"/>
    <w:rsid w:val="0012100B"/>
    <w:rsid w:val="001235DA"/>
    <w:rsid w:val="001248DF"/>
    <w:rsid w:val="00124F90"/>
    <w:rsid w:val="00125B42"/>
    <w:rsid w:val="0013025E"/>
    <w:rsid w:val="001303CB"/>
    <w:rsid w:val="00130AE7"/>
    <w:rsid w:val="00134912"/>
    <w:rsid w:val="00135DE6"/>
    <w:rsid w:val="00135ECC"/>
    <w:rsid w:val="00135F5E"/>
    <w:rsid w:val="00137349"/>
    <w:rsid w:val="00141DF0"/>
    <w:rsid w:val="001429FD"/>
    <w:rsid w:val="00144B0D"/>
    <w:rsid w:val="001450CC"/>
    <w:rsid w:val="001454FB"/>
    <w:rsid w:val="001460F8"/>
    <w:rsid w:val="00146248"/>
    <w:rsid w:val="00147AD5"/>
    <w:rsid w:val="00150E86"/>
    <w:rsid w:val="00150E9B"/>
    <w:rsid w:val="0015170E"/>
    <w:rsid w:val="001541CA"/>
    <w:rsid w:val="001555A7"/>
    <w:rsid w:val="001565AA"/>
    <w:rsid w:val="00157976"/>
    <w:rsid w:val="00162252"/>
    <w:rsid w:val="00162662"/>
    <w:rsid w:val="001665CA"/>
    <w:rsid w:val="00167DF2"/>
    <w:rsid w:val="00170129"/>
    <w:rsid w:val="0017026E"/>
    <w:rsid w:val="001702F7"/>
    <w:rsid w:val="00170771"/>
    <w:rsid w:val="00170969"/>
    <w:rsid w:val="00171C45"/>
    <w:rsid w:val="00173093"/>
    <w:rsid w:val="001730A3"/>
    <w:rsid w:val="00173B37"/>
    <w:rsid w:val="0017486A"/>
    <w:rsid w:val="0018031C"/>
    <w:rsid w:val="00180346"/>
    <w:rsid w:val="001833CC"/>
    <w:rsid w:val="001839D0"/>
    <w:rsid w:val="0018593B"/>
    <w:rsid w:val="0018704C"/>
    <w:rsid w:val="00190696"/>
    <w:rsid w:val="001927AA"/>
    <w:rsid w:val="00193DBC"/>
    <w:rsid w:val="001A2216"/>
    <w:rsid w:val="001A526B"/>
    <w:rsid w:val="001A5D2D"/>
    <w:rsid w:val="001A622C"/>
    <w:rsid w:val="001A6C35"/>
    <w:rsid w:val="001A710D"/>
    <w:rsid w:val="001B1168"/>
    <w:rsid w:val="001B1A9B"/>
    <w:rsid w:val="001B1BBF"/>
    <w:rsid w:val="001B2166"/>
    <w:rsid w:val="001B2C9F"/>
    <w:rsid w:val="001B34E1"/>
    <w:rsid w:val="001B6D7E"/>
    <w:rsid w:val="001B6FE7"/>
    <w:rsid w:val="001C10A6"/>
    <w:rsid w:val="001C33F1"/>
    <w:rsid w:val="001C3D20"/>
    <w:rsid w:val="001C5FF5"/>
    <w:rsid w:val="001C6A02"/>
    <w:rsid w:val="001C6CF0"/>
    <w:rsid w:val="001D049A"/>
    <w:rsid w:val="001D2983"/>
    <w:rsid w:val="001D312F"/>
    <w:rsid w:val="001D3DEB"/>
    <w:rsid w:val="001D5352"/>
    <w:rsid w:val="001D54CA"/>
    <w:rsid w:val="001D69B0"/>
    <w:rsid w:val="001D69C8"/>
    <w:rsid w:val="001E016F"/>
    <w:rsid w:val="001E3949"/>
    <w:rsid w:val="001F0DB4"/>
    <w:rsid w:val="001F1D3E"/>
    <w:rsid w:val="001F5BA5"/>
    <w:rsid w:val="001F66A1"/>
    <w:rsid w:val="001F6909"/>
    <w:rsid w:val="00200585"/>
    <w:rsid w:val="00200741"/>
    <w:rsid w:val="00205F3E"/>
    <w:rsid w:val="002105DC"/>
    <w:rsid w:val="002114F2"/>
    <w:rsid w:val="00211F87"/>
    <w:rsid w:val="002128A0"/>
    <w:rsid w:val="00213523"/>
    <w:rsid w:val="0021449E"/>
    <w:rsid w:val="0021462B"/>
    <w:rsid w:val="00214C8A"/>
    <w:rsid w:val="00214F4F"/>
    <w:rsid w:val="00216C6F"/>
    <w:rsid w:val="002200D6"/>
    <w:rsid w:val="00221736"/>
    <w:rsid w:val="00221C54"/>
    <w:rsid w:val="00221D03"/>
    <w:rsid w:val="002222ED"/>
    <w:rsid w:val="00223613"/>
    <w:rsid w:val="002256A2"/>
    <w:rsid w:val="0023116F"/>
    <w:rsid w:val="00231C22"/>
    <w:rsid w:val="002336B8"/>
    <w:rsid w:val="00235149"/>
    <w:rsid w:val="00235A59"/>
    <w:rsid w:val="002368D1"/>
    <w:rsid w:val="00236F01"/>
    <w:rsid w:val="00237675"/>
    <w:rsid w:val="00243EFD"/>
    <w:rsid w:val="00244D7F"/>
    <w:rsid w:val="0024514E"/>
    <w:rsid w:val="002458EF"/>
    <w:rsid w:val="002459D7"/>
    <w:rsid w:val="002510D3"/>
    <w:rsid w:val="0025265B"/>
    <w:rsid w:val="00263017"/>
    <w:rsid w:val="00265757"/>
    <w:rsid w:val="00274072"/>
    <w:rsid w:val="002758C7"/>
    <w:rsid w:val="002760A8"/>
    <w:rsid w:val="002773DD"/>
    <w:rsid w:val="002777D2"/>
    <w:rsid w:val="00281414"/>
    <w:rsid w:val="0028149C"/>
    <w:rsid w:val="002828BB"/>
    <w:rsid w:val="002852C6"/>
    <w:rsid w:val="00287C3A"/>
    <w:rsid w:val="002918F7"/>
    <w:rsid w:val="002920B2"/>
    <w:rsid w:val="00292FD4"/>
    <w:rsid w:val="0029384D"/>
    <w:rsid w:val="00293C44"/>
    <w:rsid w:val="002978A8"/>
    <w:rsid w:val="002A0566"/>
    <w:rsid w:val="002A2404"/>
    <w:rsid w:val="002A4FD3"/>
    <w:rsid w:val="002A53F3"/>
    <w:rsid w:val="002A74F7"/>
    <w:rsid w:val="002A7921"/>
    <w:rsid w:val="002B0EA3"/>
    <w:rsid w:val="002B268E"/>
    <w:rsid w:val="002B2C27"/>
    <w:rsid w:val="002B4445"/>
    <w:rsid w:val="002B4C05"/>
    <w:rsid w:val="002B5E9F"/>
    <w:rsid w:val="002B6D84"/>
    <w:rsid w:val="002B7510"/>
    <w:rsid w:val="002B7977"/>
    <w:rsid w:val="002C13AD"/>
    <w:rsid w:val="002C1D0C"/>
    <w:rsid w:val="002C2AFE"/>
    <w:rsid w:val="002C4070"/>
    <w:rsid w:val="002C45D9"/>
    <w:rsid w:val="002C7E25"/>
    <w:rsid w:val="002D0E17"/>
    <w:rsid w:val="002D11DB"/>
    <w:rsid w:val="002D327E"/>
    <w:rsid w:val="002D34DA"/>
    <w:rsid w:val="002E0196"/>
    <w:rsid w:val="002E19E3"/>
    <w:rsid w:val="002E3944"/>
    <w:rsid w:val="002E5877"/>
    <w:rsid w:val="002E70DD"/>
    <w:rsid w:val="002E73E9"/>
    <w:rsid w:val="002F0DEB"/>
    <w:rsid w:val="002F0E7A"/>
    <w:rsid w:val="002F115A"/>
    <w:rsid w:val="002F1746"/>
    <w:rsid w:val="002F1ADF"/>
    <w:rsid w:val="002F3869"/>
    <w:rsid w:val="002F38F8"/>
    <w:rsid w:val="002F3EA2"/>
    <w:rsid w:val="002F40E6"/>
    <w:rsid w:val="002F4A5C"/>
    <w:rsid w:val="00305D6A"/>
    <w:rsid w:val="00310057"/>
    <w:rsid w:val="00310C2C"/>
    <w:rsid w:val="00312B50"/>
    <w:rsid w:val="00312BDC"/>
    <w:rsid w:val="0031330F"/>
    <w:rsid w:val="003133F5"/>
    <w:rsid w:val="003139A1"/>
    <w:rsid w:val="00313B25"/>
    <w:rsid w:val="0031417C"/>
    <w:rsid w:val="00314242"/>
    <w:rsid w:val="0032040D"/>
    <w:rsid w:val="00321F97"/>
    <w:rsid w:val="003221E3"/>
    <w:rsid w:val="0033176E"/>
    <w:rsid w:val="0033311C"/>
    <w:rsid w:val="00333B0D"/>
    <w:rsid w:val="00334AEE"/>
    <w:rsid w:val="0033755D"/>
    <w:rsid w:val="0033777C"/>
    <w:rsid w:val="003457CB"/>
    <w:rsid w:val="003461D5"/>
    <w:rsid w:val="00346579"/>
    <w:rsid w:val="00350016"/>
    <w:rsid w:val="00351E5C"/>
    <w:rsid w:val="003546C6"/>
    <w:rsid w:val="0035493B"/>
    <w:rsid w:val="00361C5F"/>
    <w:rsid w:val="0036215F"/>
    <w:rsid w:val="00363027"/>
    <w:rsid w:val="00363C30"/>
    <w:rsid w:val="00372EB4"/>
    <w:rsid w:val="0037379C"/>
    <w:rsid w:val="0037548F"/>
    <w:rsid w:val="00385C77"/>
    <w:rsid w:val="00385EFF"/>
    <w:rsid w:val="00386C3C"/>
    <w:rsid w:val="00387ADF"/>
    <w:rsid w:val="00391B4C"/>
    <w:rsid w:val="00391F87"/>
    <w:rsid w:val="003936A5"/>
    <w:rsid w:val="0039371E"/>
    <w:rsid w:val="00393B33"/>
    <w:rsid w:val="00394C6C"/>
    <w:rsid w:val="00395013"/>
    <w:rsid w:val="003959F2"/>
    <w:rsid w:val="00396F6F"/>
    <w:rsid w:val="003A51F5"/>
    <w:rsid w:val="003A5A97"/>
    <w:rsid w:val="003B1801"/>
    <w:rsid w:val="003B6625"/>
    <w:rsid w:val="003C0BE1"/>
    <w:rsid w:val="003C3D33"/>
    <w:rsid w:val="003C50A0"/>
    <w:rsid w:val="003C5D26"/>
    <w:rsid w:val="003C706C"/>
    <w:rsid w:val="003C7FAC"/>
    <w:rsid w:val="003D25FC"/>
    <w:rsid w:val="003E15BF"/>
    <w:rsid w:val="003E2780"/>
    <w:rsid w:val="003E5577"/>
    <w:rsid w:val="003E5723"/>
    <w:rsid w:val="003E7623"/>
    <w:rsid w:val="003E7F71"/>
    <w:rsid w:val="003F31D9"/>
    <w:rsid w:val="003F42F0"/>
    <w:rsid w:val="004019C9"/>
    <w:rsid w:val="00401FF4"/>
    <w:rsid w:val="00404106"/>
    <w:rsid w:val="00404FAB"/>
    <w:rsid w:val="00405C14"/>
    <w:rsid w:val="0040720A"/>
    <w:rsid w:val="00407F2F"/>
    <w:rsid w:val="004100F2"/>
    <w:rsid w:val="00410471"/>
    <w:rsid w:val="00410E37"/>
    <w:rsid w:val="0041132C"/>
    <w:rsid w:val="004142F4"/>
    <w:rsid w:val="00416E81"/>
    <w:rsid w:val="00420284"/>
    <w:rsid w:val="00420C88"/>
    <w:rsid w:val="00421F98"/>
    <w:rsid w:val="0042359A"/>
    <w:rsid w:val="00424A53"/>
    <w:rsid w:val="00427F4C"/>
    <w:rsid w:val="004313D6"/>
    <w:rsid w:val="00432A99"/>
    <w:rsid w:val="004377F7"/>
    <w:rsid w:val="00441F6D"/>
    <w:rsid w:val="004445EC"/>
    <w:rsid w:val="00444B67"/>
    <w:rsid w:val="00444D8D"/>
    <w:rsid w:val="004454C8"/>
    <w:rsid w:val="004472BD"/>
    <w:rsid w:val="0045125D"/>
    <w:rsid w:val="00454CE7"/>
    <w:rsid w:val="004576DC"/>
    <w:rsid w:val="00457C35"/>
    <w:rsid w:val="00465004"/>
    <w:rsid w:val="0047679E"/>
    <w:rsid w:val="00480AB7"/>
    <w:rsid w:val="00485FF9"/>
    <w:rsid w:val="0048660F"/>
    <w:rsid w:val="00486823"/>
    <w:rsid w:val="00491907"/>
    <w:rsid w:val="00493D96"/>
    <w:rsid w:val="0049644B"/>
    <w:rsid w:val="004970A6"/>
    <w:rsid w:val="00497252"/>
    <w:rsid w:val="0049765E"/>
    <w:rsid w:val="004A0F46"/>
    <w:rsid w:val="004A1677"/>
    <w:rsid w:val="004A1DCB"/>
    <w:rsid w:val="004A271C"/>
    <w:rsid w:val="004A2AC8"/>
    <w:rsid w:val="004A3234"/>
    <w:rsid w:val="004A35D2"/>
    <w:rsid w:val="004A39EB"/>
    <w:rsid w:val="004A465D"/>
    <w:rsid w:val="004A46FA"/>
    <w:rsid w:val="004A4FF0"/>
    <w:rsid w:val="004A6317"/>
    <w:rsid w:val="004B0848"/>
    <w:rsid w:val="004B1ADE"/>
    <w:rsid w:val="004B3369"/>
    <w:rsid w:val="004B38D7"/>
    <w:rsid w:val="004B3F9A"/>
    <w:rsid w:val="004C45BE"/>
    <w:rsid w:val="004C4E39"/>
    <w:rsid w:val="004C5010"/>
    <w:rsid w:val="004C57BB"/>
    <w:rsid w:val="004C5D77"/>
    <w:rsid w:val="004C5F0D"/>
    <w:rsid w:val="004C7D95"/>
    <w:rsid w:val="004D17CD"/>
    <w:rsid w:val="004D4631"/>
    <w:rsid w:val="004D5E46"/>
    <w:rsid w:val="004D6C8A"/>
    <w:rsid w:val="004E22ED"/>
    <w:rsid w:val="004E2383"/>
    <w:rsid w:val="004E2493"/>
    <w:rsid w:val="004E7D02"/>
    <w:rsid w:val="004F0E6E"/>
    <w:rsid w:val="004F1A98"/>
    <w:rsid w:val="004F6F00"/>
    <w:rsid w:val="004F7876"/>
    <w:rsid w:val="00500977"/>
    <w:rsid w:val="00503149"/>
    <w:rsid w:val="005044C1"/>
    <w:rsid w:val="00505726"/>
    <w:rsid w:val="0050610D"/>
    <w:rsid w:val="005069E0"/>
    <w:rsid w:val="00511E35"/>
    <w:rsid w:val="005135D8"/>
    <w:rsid w:val="00516D82"/>
    <w:rsid w:val="00516FC9"/>
    <w:rsid w:val="0051763B"/>
    <w:rsid w:val="00520258"/>
    <w:rsid w:val="00524C37"/>
    <w:rsid w:val="005319DF"/>
    <w:rsid w:val="00531D09"/>
    <w:rsid w:val="00531F20"/>
    <w:rsid w:val="005320F0"/>
    <w:rsid w:val="0053251B"/>
    <w:rsid w:val="00534828"/>
    <w:rsid w:val="00540612"/>
    <w:rsid w:val="00543221"/>
    <w:rsid w:val="00543A9B"/>
    <w:rsid w:val="005449DA"/>
    <w:rsid w:val="00544BC7"/>
    <w:rsid w:val="00545673"/>
    <w:rsid w:val="00545B93"/>
    <w:rsid w:val="00546614"/>
    <w:rsid w:val="005469CC"/>
    <w:rsid w:val="005470FD"/>
    <w:rsid w:val="005535AE"/>
    <w:rsid w:val="00553CE8"/>
    <w:rsid w:val="005548C5"/>
    <w:rsid w:val="00554FAE"/>
    <w:rsid w:val="005566B4"/>
    <w:rsid w:val="00561ACC"/>
    <w:rsid w:val="005620F2"/>
    <w:rsid w:val="00562AC4"/>
    <w:rsid w:val="00563124"/>
    <w:rsid w:val="00563A94"/>
    <w:rsid w:val="0056410E"/>
    <w:rsid w:val="00565416"/>
    <w:rsid w:val="0056783E"/>
    <w:rsid w:val="005712FE"/>
    <w:rsid w:val="00571EE4"/>
    <w:rsid w:val="005734FA"/>
    <w:rsid w:val="005758FD"/>
    <w:rsid w:val="005821E3"/>
    <w:rsid w:val="00583646"/>
    <w:rsid w:val="0058366F"/>
    <w:rsid w:val="00584E3B"/>
    <w:rsid w:val="005867B7"/>
    <w:rsid w:val="00592182"/>
    <w:rsid w:val="005921F4"/>
    <w:rsid w:val="005931B3"/>
    <w:rsid w:val="005936F2"/>
    <w:rsid w:val="005A0687"/>
    <w:rsid w:val="005A08C5"/>
    <w:rsid w:val="005A1E16"/>
    <w:rsid w:val="005A342F"/>
    <w:rsid w:val="005A4138"/>
    <w:rsid w:val="005A6760"/>
    <w:rsid w:val="005A7851"/>
    <w:rsid w:val="005B268F"/>
    <w:rsid w:val="005B38CB"/>
    <w:rsid w:val="005B3C7C"/>
    <w:rsid w:val="005B3F8A"/>
    <w:rsid w:val="005C213D"/>
    <w:rsid w:val="005C526F"/>
    <w:rsid w:val="005D06AC"/>
    <w:rsid w:val="005D2728"/>
    <w:rsid w:val="005D285F"/>
    <w:rsid w:val="005D3177"/>
    <w:rsid w:val="005D3B13"/>
    <w:rsid w:val="005D3C5C"/>
    <w:rsid w:val="005D60B3"/>
    <w:rsid w:val="005D65B0"/>
    <w:rsid w:val="005D72A9"/>
    <w:rsid w:val="005E176A"/>
    <w:rsid w:val="005E2029"/>
    <w:rsid w:val="005E28C9"/>
    <w:rsid w:val="005E3386"/>
    <w:rsid w:val="005E3787"/>
    <w:rsid w:val="005E468D"/>
    <w:rsid w:val="005E5838"/>
    <w:rsid w:val="005E6FCC"/>
    <w:rsid w:val="005E7811"/>
    <w:rsid w:val="005F1D87"/>
    <w:rsid w:val="005F33EE"/>
    <w:rsid w:val="005F4F7C"/>
    <w:rsid w:val="005F5434"/>
    <w:rsid w:val="005F7C4B"/>
    <w:rsid w:val="00600249"/>
    <w:rsid w:val="00601E0F"/>
    <w:rsid w:val="00602537"/>
    <w:rsid w:val="00605084"/>
    <w:rsid w:val="00610642"/>
    <w:rsid w:val="00613D33"/>
    <w:rsid w:val="00614621"/>
    <w:rsid w:val="00614971"/>
    <w:rsid w:val="00616489"/>
    <w:rsid w:val="00616C3A"/>
    <w:rsid w:val="00617CA2"/>
    <w:rsid w:val="0062117F"/>
    <w:rsid w:val="006214E4"/>
    <w:rsid w:val="00622263"/>
    <w:rsid w:val="00623400"/>
    <w:rsid w:val="00624D56"/>
    <w:rsid w:val="00625169"/>
    <w:rsid w:val="00625C1F"/>
    <w:rsid w:val="00626CFF"/>
    <w:rsid w:val="006270FA"/>
    <w:rsid w:val="00627B10"/>
    <w:rsid w:val="0063256D"/>
    <w:rsid w:val="006330A3"/>
    <w:rsid w:val="006342B7"/>
    <w:rsid w:val="006352D9"/>
    <w:rsid w:val="0063574D"/>
    <w:rsid w:val="0063584F"/>
    <w:rsid w:val="00643167"/>
    <w:rsid w:val="00643FEF"/>
    <w:rsid w:val="006441BD"/>
    <w:rsid w:val="006444BA"/>
    <w:rsid w:val="00645B7A"/>
    <w:rsid w:val="00646552"/>
    <w:rsid w:val="00646AEC"/>
    <w:rsid w:val="00650622"/>
    <w:rsid w:val="00650969"/>
    <w:rsid w:val="00651388"/>
    <w:rsid w:val="0065206D"/>
    <w:rsid w:val="006534C9"/>
    <w:rsid w:val="006541B8"/>
    <w:rsid w:val="006564CD"/>
    <w:rsid w:val="00660EA1"/>
    <w:rsid w:val="00662AD2"/>
    <w:rsid w:val="00667307"/>
    <w:rsid w:val="0067191B"/>
    <w:rsid w:val="0067253D"/>
    <w:rsid w:val="00673567"/>
    <w:rsid w:val="00674ED9"/>
    <w:rsid w:val="00675221"/>
    <w:rsid w:val="00675BB2"/>
    <w:rsid w:val="006767E5"/>
    <w:rsid w:val="00676E21"/>
    <w:rsid w:val="00680AF9"/>
    <w:rsid w:val="006823D4"/>
    <w:rsid w:val="00682742"/>
    <w:rsid w:val="00682759"/>
    <w:rsid w:val="00682775"/>
    <w:rsid w:val="00683463"/>
    <w:rsid w:val="006839B9"/>
    <w:rsid w:val="0069138F"/>
    <w:rsid w:val="00692023"/>
    <w:rsid w:val="00692726"/>
    <w:rsid w:val="006956B8"/>
    <w:rsid w:val="00696F7E"/>
    <w:rsid w:val="00697231"/>
    <w:rsid w:val="006A2CE5"/>
    <w:rsid w:val="006A61DA"/>
    <w:rsid w:val="006A79EC"/>
    <w:rsid w:val="006A7EB8"/>
    <w:rsid w:val="006B197E"/>
    <w:rsid w:val="006B2C58"/>
    <w:rsid w:val="006B2E47"/>
    <w:rsid w:val="006B4750"/>
    <w:rsid w:val="006B47FB"/>
    <w:rsid w:val="006B4CBA"/>
    <w:rsid w:val="006B6935"/>
    <w:rsid w:val="006B7213"/>
    <w:rsid w:val="006C1768"/>
    <w:rsid w:val="006C2EF2"/>
    <w:rsid w:val="006C2F4D"/>
    <w:rsid w:val="006C4054"/>
    <w:rsid w:val="006C58B9"/>
    <w:rsid w:val="006C7244"/>
    <w:rsid w:val="006C7845"/>
    <w:rsid w:val="006D08EF"/>
    <w:rsid w:val="006D0DEF"/>
    <w:rsid w:val="006D29A5"/>
    <w:rsid w:val="006D31DB"/>
    <w:rsid w:val="006D42E7"/>
    <w:rsid w:val="006D5EBF"/>
    <w:rsid w:val="006D7623"/>
    <w:rsid w:val="006E55D2"/>
    <w:rsid w:val="006E56F0"/>
    <w:rsid w:val="006E6DB6"/>
    <w:rsid w:val="006E775F"/>
    <w:rsid w:val="006E7EA3"/>
    <w:rsid w:val="006E7EC0"/>
    <w:rsid w:val="006F356B"/>
    <w:rsid w:val="006F3640"/>
    <w:rsid w:val="006F73B0"/>
    <w:rsid w:val="00702205"/>
    <w:rsid w:val="0070515C"/>
    <w:rsid w:val="00705882"/>
    <w:rsid w:val="007062AC"/>
    <w:rsid w:val="00706ED2"/>
    <w:rsid w:val="00706FE2"/>
    <w:rsid w:val="007107F6"/>
    <w:rsid w:val="007108E5"/>
    <w:rsid w:val="00713A40"/>
    <w:rsid w:val="00716038"/>
    <w:rsid w:val="007176FA"/>
    <w:rsid w:val="00717750"/>
    <w:rsid w:val="00717F71"/>
    <w:rsid w:val="00720CA2"/>
    <w:rsid w:val="0072185A"/>
    <w:rsid w:val="00725CBF"/>
    <w:rsid w:val="00726934"/>
    <w:rsid w:val="00730DB9"/>
    <w:rsid w:val="00731D8A"/>
    <w:rsid w:val="00734D62"/>
    <w:rsid w:val="00735D38"/>
    <w:rsid w:val="007433A4"/>
    <w:rsid w:val="00743BBB"/>
    <w:rsid w:val="00745311"/>
    <w:rsid w:val="0075212F"/>
    <w:rsid w:val="00753ACF"/>
    <w:rsid w:val="00754C21"/>
    <w:rsid w:val="007602ED"/>
    <w:rsid w:val="00760696"/>
    <w:rsid w:val="00761EF0"/>
    <w:rsid w:val="0076504F"/>
    <w:rsid w:val="007652E7"/>
    <w:rsid w:val="007658CD"/>
    <w:rsid w:val="00772247"/>
    <w:rsid w:val="00774791"/>
    <w:rsid w:val="00777020"/>
    <w:rsid w:val="00780611"/>
    <w:rsid w:val="00783ADC"/>
    <w:rsid w:val="00784CF3"/>
    <w:rsid w:val="00790B1A"/>
    <w:rsid w:val="00792702"/>
    <w:rsid w:val="007A0AEB"/>
    <w:rsid w:val="007A1B6C"/>
    <w:rsid w:val="007A1FB7"/>
    <w:rsid w:val="007A5DAF"/>
    <w:rsid w:val="007A675C"/>
    <w:rsid w:val="007A7E0E"/>
    <w:rsid w:val="007B12BC"/>
    <w:rsid w:val="007B504F"/>
    <w:rsid w:val="007B7022"/>
    <w:rsid w:val="007C3CCA"/>
    <w:rsid w:val="007C5C97"/>
    <w:rsid w:val="007C5E80"/>
    <w:rsid w:val="007D1287"/>
    <w:rsid w:val="007D1596"/>
    <w:rsid w:val="007D2D90"/>
    <w:rsid w:val="007D5311"/>
    <w:rsid w:val="007D68CD"/>
    <w:rsid w:val="007D6C0B"/>
    <w:rsid w:val="007E03E6"/>
    <w:rsid w:val="007E173D"/>
    <w:rsid w:val="007E43B0"/>
    <w:rsid w:val="007E4581"/>
    <w:rsid w:val="007E714A"/>
    <w:rsid w:val="007F03A3"/>
    <w:rsid w:val="007F3453"/>
    <w:rsid w:val="007F4659"/>
    <w:rsid w:val="007F56F7"/>
    <w:rsid w:val="00800190"/>
    <w:rsid w:val="00801205"/>
    <w:rsid w:val="00802A7B"/>
    <w:rsid w:val="00802B10"/>
    <w:rsid w:val="008057C3"/>
    <w:rsid w:val="00806111"/>
    <w:rsid w:val="00806EA2"/>
    <w:rsid w:val="00810C17"/>
    <w:rsid w:val="00813FC9"/>
    <w:rsid w:val="00822276"/>
    <w:rsid w:val="00822CBE"/>
    <w:rsid w:val="00824090"/>
    <w:rsid w:val="00824524"/>
    <w:rsid w:val="0082526A"/>
    <w:rsid w:val="00827DA0"/>
    <w:rsid w:val="008316C7"/>
    <w:rsid w:val="00831C67"/>
    <w:rsid w:val="00831FFA"/>
    <w:rsid w:val="008323C6"/>
    <w:rsid w:val="008347A1"/>
    <w:rsid w:val="00835AD6"/>
    <w:rsid w:val="00835BF5"/>
    <w:rsid w:val="00836EE5"/>
    <w:rsid w:val="00840460"/>
    <w:rsid w:val="008418CA"/>
    <w:rsid w:val="0084379C"/>
    <w:rsid w:val="0084640F"/>
    <w:rsid w:val="00846B7C"/>
    <w:rsid w:val="00850F45"/>
    <w:rsid w:val="00851FD5"/>
    <w:rsid w:val="00852336"/>
    <w:rsid w:val="00854327"/>
    <w:rsid w:val="00854944"/>
    <w:rsid w:val="0085559A"/>
    <w:rsid w:val="008557EE"/>
    <w:rsid w:val="00856166"/>
    <w:rsid w:val="008612B6"/>
    <w:rsid w:val="00863F8F"/>
    <w:rsid w:val="00864855"/>
    <w:rsid w:val="00867478"/>
    <w:rsid w:val="00867E57"/>
    <w:rsid w:val="0087018F"/>
    <w:rsid w:val="00874016"/>
    <w:rsid w:val="00874504"/>
    <w:rsid w:val="00875083"/>
    <w:rsid w:val="00875986"/>
    <w:rsid w:val="00877977"/>
    <w:rsid w:val="00877DCE"/>
    <w:rsid w:val="00883ECA"/>
    <w:rsid w:val="00884131"/>
    <w:rsid w:val="0088425D"/>
    <w:rsid w:val="00886FF9"/>
    <w:rsid w:val="00890961"/>
    <w:rsid w:val="00891BCD"/>
    <w:rsid w:val="0089470D"/>
    <w:rsid w:val="00894EB6"/>
    <w:rsid w:val="00896347"/>
    <w:rsid w:val="00897640"/>
    <w:rsid w:val="008A0A18"/>
    <w:rsid w:val="008A310D"/>
    <w:rsid w:val="008A4894"/>
    <w:rsid w:val="008A59AD"/>
    <w:rsid w:val="008A5E1E"/>
    <w:rsid w:val="008B135F"/>
    <w:rsid w:val="008B1B05"/>
    <w:rsid w:val="008B5BF6"/>
    <w:rsid w:val="008B65AF"/>
    <w:rsid w:val="008B704D"/>
    <w:rsid w:val="008B7075"/>
    <w:rsid w:val="008B77D4"/>
    <w:rsid w:val="008C0121"/>
    <w:rsid w:val="008C0AA7"/>
    <w:rsid w:val="008C25D0"/>
    <w:rsid w:val="008C2EB1"/>
    <w:rsid w:val="008C3B51"/>
    <w:rsid w:val="008C4A7A"/>
    <w:rsid w:val="008C53CE"/>
    <w:rsid w:val="008D2C27"/>
    <w:rsid w:val="008D2CB5"/>
    <w:rsid w:val="008D3D46"/>
    <w:rsid w:val="008E01D4"/>
    <w:rsid w:val="008E4826"/>
    <w:rsid w:val="008F1195"/>
    <w:rsid w:val="008F2EA8"/>
    <w:rsid w:val="008F46C9"/>
    <w:rsid w:val="008F6731"/>
    <w:rsid w:val="008F6AD6"/>
    <w:rsid w:val="008F6C79"/>
    <w:rsid w:val="009001B0"/>
    <w:rsid w:val="0090030C"/>
    <w:rsid w:val="009024FA"/>
    <w:rsid w:val="0090464D"/>
    <w:rsid w:val="00906500"/>
    <w:rsid w:val="00907623"/>
    <w:rsid w:val="00907669"/>
    <w:rsid w:val="00912170"/>
    <w:rsid w:val="00912707"/>
    <w:rsid w:val="00913105"/>
    <w:rsid w:val="0091362E"/>
    <w:rsid w:val="00913A6E"/>
    <w:rsid w:val="0091769D"/>
    <w:rsid w:val="00917F0F"/>
    <w:rsid w:val="009229B5"/>
    <w:rsid w:val="009233D3"/>
    <w:rsid w:val="00924EED"/>
    <w:rsid w:val="00925963"/>
    <w:rsid w:val="009259ED"/>
    <w:rsid w:val="009266E5"/>
    <w:rsid w:val="00931B07"/>
    <w:rsid w:val="00932651"/>
    <w:rsid w:val="00933AFF"/>
    <w:rsid w:val="00933B57"/>
    <w:rsid w:val="00934578"/>
    <w:rsid w:val="009348A3"/>
    <w:rsid w:val="009358AC"/>
    <w:rsid w:val="009368EB"/>
    <w:rsid w:val="00937C72"/>
    <w:rsid w:val="009405B8"/>
    <w:rsid w:val="00944B86"/>
    <w:rsid w:val="009452FD"/>
    <w:rsid w:val="009516D6"/>
    <w:rsid w:val="009516DC"/>
    <w:rsid w:val="00951816"/>
    <w:rsid w:val="00955445"/>
    <w:rsid w:val="00955AED"/>
    <w:rsid w:val="00956735"/>
    <w:rsid w:val="00956F03"/>
    <w:rsid w:val="0096183C"/>
    <w:rsid w:val="00961AD7"/>
    <w:rsid w:val="00964402"/>
    <w:rsid w:val="0096475C"/>
    <w:rsid w:val="00964DD2"/>
    <w:rsid w:val="009655D3"/>
    <w:rsid w:val="00971D64"/>
    <w:rsid w:val="00972F02"/>
    <w:rsid w:val="00974D1E"/>
    <w:rsid w:val="00980ADD"/>
    <w:rsid w:val="00980B6F"/>
    <w:rsid w:val="00982B33"/>
    <w:rsid w:val="00982DF5"/>
    <w:rsid w:val="0098315E"/>
    <w:rsid w:val="00984A9F"/>
    <w:rsid w:val="00987F51"/>
    <w:rsid w:val="009922D6"/>
    <w:rsid w:val="009923CA"/>
    <w:rsid w:val="009938A8"/>
    <w:rsid w:val="00997C1A"/>
    <w:rsid w:val="009A053F"/>
    <w:rsid w:val="009A1469"/>
    <w:rsid w:val="009A158F"/>
    <w:rsid w:val="009A1A97"/>
    <w:rsid w:val="009A591F"/>
    <w:rsid w:val="009A61AB"/>
    <w:rsid w:val="009A6714"/>
    <w:rsid w:val="009A7E9D"/>
    <w:rsid w:val="009B0FC1"/>
    <w:rsid w:val="009B3353"/>
    <w:rsid w:val="009B5F97"/>
    <w:rsid w:val="009B66A7"/>
    <w:rsid w:val="009B6773"/>
    <w:rsid w:val="009B7050"/>
    <w:rsid w:val="009C1AE0"/>
    <w:rsid w:val="009C1FA8"/>
    <w:rsid w:val="009C303E"/>
    <w:rsid w:val="009C33A4"/>
    <w:rsid w:val="009C501C"/>
    <w:rsid w:val="009C512B"/>
    <w:rsid w:val="009C5A48"/>
    <w:rsid w:val="009C69A8"/>
    <w:rsid w:val="009C7A9C"/>
    <w:rsid w:val="009C7C4B"/>
    <w:rsid w:val="009C7DD9"/>
    <w:rsid w:val="009D07C2"/>
    <w:rsid w:val="009D13A4"/>
    <w:rsid w:val="009D1E3C"/>
    <w:rsid w:val="009D3496"/>
    <w:rsid w:val="009D4B1B"/>
    <w:rsid w:val="009D6E88"/>
    <w:rsid w:val="009E0FB4"/>
    <w:rsid w:val="009E11B2"/>
    <w:rsid w:val="009E2467"/>
    <w:rsid w:val="009E2DB1"/>
    <w:rsid w:val="009E3943"/>
    <w:rsid w:val="009E3A2E"/>
    <w:rsid w:val="009E593D"/>
    <w:rsid w:val="009E6F01"/>
    <w:rsid w:val="009F0C53"/>
    <w:rsid w:val="009F1E72"/>
    <w:rsid w:val="009F2AEE"/>
    <w:rsid w:val="009F3C0B"/>
    <w:rsid w:val="009F4631"/>
    <w:rsid w:val="009F5E93"/>
    <w:rsid w:val="00A0174D"/>
    <w:rsid w:val="00A0213F"/>
    <w:rsid w:val="00A03217"/>
    <w:rsid w:val="00A051CD"/>
    <w:rsid w:val="00A06E86"/>
    <w:rsid w:val="00A1761D"/>
    <w:rsid w:val="00A17FCA"/>
    <w:rsid w:val="00A2002D"/>
    <w:rsid w:val="00A21DD1"/>
    <w:rsid w:val="00A223F1"/>
    <w:rsid w:val="00A261B7"/>
    <w:rsid w:val="00A26609"/>
    <w:rsid w:val="00A26C81"/>
    <w:rsid w:val="00A27EF1"/>
    <w:rsid w:val="00A3078A"/>
    <w:rsid w:val="00A31165"/>
    <w:rsid w:val="00A31E8D"/>
    <w:rsid w:val="00A32C20"/>
    <w:rsid w:val="00A35EB7"/>
    <w:rsid w:val="00A37654"/>
    <w:rsid w:val="00A37B54"/>
    <w:rsid w:val="00A417E5"/>
    <w:rsid w:val="00A425E1"/>
    <w:rsid w:val="00A43383"/>
    <w:rsid w:val="00A44A2A"/>
    <w:rsid w:val="00A45F96"/>
    <w:rsid w:val="00A46419"/>
    <w:rsid w:val="00A5188C"/>
    <w:rsid w:val="00A5507B"/>
    <w:rsid w:val="00A57B2D"/>
    <w:rsid w:val="00A60A5D"/>
    <w:rsid w:val="00A62CBD"/>
    <w:rsid w:val="00A63D69"/>
    <w:rsid w:val="00A65709"/>
    <w:rsid w:val="00A66AB2"/>
    <w:rsid w:val="00A670DE"/>
    <w:rsid w:val="00A67C82"/>
    <w:rsid w:val="00A70CDF"/>
    <w:rsid w:val="00A71484"/>
    <w:rsid w:val="00A71AC2"/>
    <w:rsid w:val="00A72475"/>
    <w:rsid w:val="00A73249"/>
    <w:rsid w:val="00A737FE"/>
    <w:rsid w:val="00A8020F"/>
    <w:rsid w:val="00A8048B"/>
    <w:rsid w:val="00A805DA"/>
    <w:rsid w:val="00A80BF6"/>
    <w:rsid w:val="00A82622"/>
    <w:rsid w:val="00A836B2"/>
    <w:rsid w:val="00A8433C"/>
    <w:rsid w:val="00A84A70"/>
    <w:rsid w:val="00A84BA1"/>
    <w:rsid w:val="00A85D3C"/>
    <w:rsid w:val="00A861D1"/>
    <w:rsid w:val="00A86265"/>
    <w:rsid w:val="00A87750"/>
    <w:rsid w:val="00A900D1"/>
    <w:rsid w:val="00A91ED1"/>
    <w:rsid w:val="00A95306"/>
    <w:rsid w:val="00AA12AF"/>
    <w:rsid w:val="00AA4E3E"/>
    <w:rsid w:val="00AB1987"/>
    <w:rsid w:val="00AB1A25"/>
    <w:rsid w:val="00AB20C7"/>
    <w:rsid w:val="00AB365F"/>
    <w:rsid w:val="00AB3D3C"/>
    <w:rsid w:val="00AB57DC"/>
    <w:rsid w:val="00AB5A98"/>
    <w:rsid w:val="00AB75E9"/>
    <w:rsid w:val="00AC10B8"/>
    <w:rsid w:val="00AC3DD9"/>
    <w:rsid w:val="00AC54A2"/>
    <w:rsid w:val="00AC591E"/>
    <w:rsid w:val="00AC68E5"/>
    <w:rsid w:val="00AD060F"/>
    <w:rsid w:val="00AD0733"/>
    <w:rsid w:val="00AD0852"/>
    <w:rsid w:val="00AD0C0C"/>
    <w:rsid w:val="00AD1D17"/>
    <w:rsid w:val="00AD76DA"/>
    <w:rsid w:val="00AE0625"/>
    <w:rsid w:val="00AE6599"/>
    <w:rsid w:val="00AE7CF2"/>
    <w:rsid w:val="00AF2187"/>
    <w:rsid w:val="00AF276B"/>
    <w:rsid w:val="00AF2F62"/>
    <w:rsid w:val="00AF3D02"/>
    <w:rsid w:val="00AF4387"/>
    <w:rsid w:val="00AF48B0"/>
    <w:rsid w:val="00AF5EB8"/>
    <w:rsid w:val="00B0115A"/>
    <w:rsid w:val="00B019A7"/>
    <w:rsid w:val="00B04009"/>
    <w:rsid w:val="00B046DA"/>
    <w:rsid w:val="00B10DC8"/>
    <w:rsid w:val="00B11626"/>
    <w:rsid w:val="00B1404E"/>
    <w:rsid w:val="00B16D97"/>
    <w:rsid w:val="00B200BD"/>
    <w:rsid w:val="00B22E6C"/>
    <w:rsid w:val="00B23009"/>
    <w:rsid w:val="00B236A4"/>
    <w:rsid w:val="00B24A5C"/>
    <w:rsid w:val="00B24CE2"/>
    <w:rsid w:val="00B2564A"/>
    <w:rsid w:val="00B26BE7"/>
    <w:rsid w:val="00B26C0C"/>
    <w:rsid w:val="00B26F19"/>
    <w:rsid w:val="00B27360"/>
    <w:rsid w:val="00B31495"/>
    <w:rsid w:val="00B32FA2"/>
    <w:rsid w:val="00B36DB6"/>
    <w:rsid w:val="00B37F41"/>
    <w:rsid w:val="00B42AD2"/>
    <w:rsid w:val="00B43261"/>
    <w:rsid w:val="00B44293"/>
    <w:rsid w:val="00B46BBF"/>
    <w:rsid w:val="00B47096"/>
    <w:rsid w:val="00B502E5"/>
    <w:rsid w:val="00B50A4B"/>
    <w:rsid w:val="00B51FE4"/>
    <w:rsid w:val="00B52A84"/>
    <w:rsid w:val="00B53720"/>
    <w:rsid w:val="00B53F24"/>
    <w:rsid w:val="00B56E9F"/>
    <w:rsid w:val="00B57DE9"/>
    <w:rsid w:val="00B60BA4"/>
    <w:rsid w:val="00B62296"/>
    <w:rsid w:val="00B64E79"/>
    <w:rsid w:val="00B673A2"/>
    <w:rsid w:val="00B71DC5"/>
    <w:rsid w:val="00B72616"/>
    <w:rsid w:val="00B73A1B"/>
    <w:rsid w:val="00B76A85"/>
    <w:rsid w:val="00B77D3F"/>
    <w:rsid w:val="00B80112"/>
    <w:rsid w:val="00B80EC0"/>
    <w:rsid w:val="00B82C92"/>
    <w:rsid w:val="00B83BED"/>
    <w:rsid w:val="00B83FFA"/>
    <w:rsid w:val="00B840F6"/>
    <w:rsid w:val="00B84507"/>
    <w:rsid w:val="00B8538A"/>
    <w:rsid w:val="00B868CA"/>
    <w:rsid w:val="00B919CA"/>
    <w:rsid w:val="00B944CF"/>
    <w:rsid w:val="00B94E6B"/>
    <w:rsid w:val="00B97B97"/>
    <w:rsid w:val="00BA0105"/>
    <w:rsid w:val="00BA0E99"/>
    <w:rsid w:val="00BA1EDC"/>
    <w:rsid w:val="00BA37AE"/>
    <w:rsid w:val="00BA6C83"/>
    <w:rsid w:val="00BB076F"/>
    <w:rsid w:val="00BB181A"/>
    <w:rsid w:val="00BB7A91"/>
    <w:rsid w:val="00BC0083"/>
    <w:rsid w:val="00BC1344"/>
    <w:rsid w:val="00BC14A9"/>
    <w:rsid w:val="00BC1E75"/>
    <w:rsid w:val="00BC296E"/>
    <w:rsid w:val="00BC3154"/>
    <w:rsid w:val="00BC6496"/>
    <w:rsid w:val="00BC6B92"/>
    <w:rsid w:val="00BD18DC"/>
    <w:rsid w:val="00BD225C"/>
    <w:rsid w:val="00BD4671"/>
    <w:rsid w:val="00BD7839"/>
    <w:rsid w:val="00BE2E43"/>
    <w:rsid w:val="00BE3028"/>
    <w:rsid w:val="00BE5EE7"/>
    <w:rsid w:val="00BE6061"/>
    <w:rsid w:val="00BF062C"/>
    <w:rsid w:val="00BF0A94"/>
    <w:rsid w:val="00BF0C6A"/>
    <w:rsid w:val="00BF4B6A"/>
    <w:rsid w:val="00BF4CF9"/>
    <w:rsid w:val="00BF52EC"/>
    <w:rsid w:val="00BF6FB8"/>
    <w:rsid w:val="00C00D50"/>
    <w:rsid w:val="00C0249C"/>
    <w:rsid w:val="00C07569"/>
    <w:rsid w:val="00C07AAA"/>
    <w:rsid w:val="00C101A8"/>
    <w:rsid w:val="00C11CA5"/>
    <w:rsid w:val="00C130C3"/>
    <w:rsid w:val="00C13D7E"/>
    <w:rsid w:val="00C141DB"/>
    <w:rsid w:val="00C1480D"/>
    <w:rsid w:val="00C162CE"/>
    <w:rsid w:val="00C200C0"/>
    <w:rsid w:val="00C23279"/>
    <w:rsid w:val="00C24636"/>
    <w:rsid w:val="00C24A62"/>
    <w:rsid w:val="00C26188"/>
    <w:rsid w:val="00C267A8"/>
    <w:rsid w:val="00C26FB6"/>
    <w:rsid w:val="00C27775"/>
    <w:rsid w:val="00C30343"/>
    <w:rsid w:val="00C3663A"/>
    <w:rsid w:val="00C36A57"/>
    <w:rsid w:val="00C37F47"/>
    <w:rsid w:val="00C410F6"/>
    <w:rsid w:val="00C41664"/>
    <w:rsid w:val="00C419FF"/>
    <w:rsid w:val="00C44931"/>
    <w:rsid w:val="00C44BBC"/>
    <w:rsid w:val="00C4528D"/>
    <w:rsid w:val="00C5135B"/>
    <w:rsid w:val="00C53012"/>
    <w:rsid w:val="00C534B2"/>
    <w:rsid w:val="00C54FCC"/>
    <w:rsid w:val="00C563FD"/>
    <w:rsid w:val="00C61134"/>
    <w:rsid w:val="00C620D5"/>
    <w:rsid w:val="00C62537"/>
    <w:rsid w:val="00C6653A"/>
    <w:rsid w:val="00C66AD8"/>
    <w:rsid w:val="00C6776C"/>
    <w:rsid w:val="00C703CF"/>
    <w:rsid w:val="00C765B7"/>
    <w:rsid w:val="00C770AF"/>
    <w:rsid w:val="00C77250"/>
    <w:rsid w:val="00C77D51"/>
    <w:rsid w:val="00C77EC6"/>
    <w:rsid w:val="00C809C9"/>
    <w:rsid w:val="00C81CE2"/>
    <w:rsid w:val="00C830CA"/>
    <w:rsid w:val="00C84019"/>
    <w:rsid w:val="00C8432C"/>
    <w:rsid w:val="00C9202B"/>
    <w:rsid w:val="00C9247C"/>
    <w:rsid w:val="00C92D10"/>
    <w:rsid w:val="00C931BD"/>
    <w:rsid w:val="00C94026"/>
    <w:rsid w:val="00C943A3"/>
    <w:rsid w:val="00C94AB9"/>
    <w:rsid w:val="00C95ECB"/>
    <w:rsid w:val="00C96727"/>
    <w:rsid w:val="00CA3112"/>
    <w:rsid w:val="00CA3E4E"/>
    <w:rsid w:val="00CA6C87"/>
    <w:rsid w:val="00CB05E1"/>
    <w:rsid w:val="00CB1A66"/>
    <w:rsid w:val="00CB2C6A"/>
    <w:rsid w:val="00CB374E"/>
    <w:rsid w:val="00CB58C3"/>
    <w:rsid w:val="00CB631F"/>
    <w:rsid w:val="00CC0B14"/>
    <w:rsid w:val="00CC1059"/>
    <w:rsid w:val="00CC11F5"/>
    <w:rsid w:val="00CC2A71"/>
    <w:rsid w:val="00CC4FD6"/>
    <w:rsid w:val="00CD1BEF"/>
    <w:rsid w:val="00CD3E71"/>
    <w:rsid w:val="00CD49A3"/>
    <w:rsid w:val="00CD4F6E"/>
    <w:rsid w:val="00CD7BDC"/>
    <w:rsid w:val="00CE2CEF"/>
    <w:rsid w:val="00CE43F2"/>
    <w:rsid w:val="00CE4ADB"/>
    <w:rsid w:val="00CE6E9D"/>
    <w:rsid w:val="00CE6FE5"/>
    <w:rsid w:val="00CF1259"/>
    <w:rsid w:val="00CF16EF"/>
    <w:rsid w:val="00CF309B"/>
    <w:rsid w:val="00CF325B"/>
    <w:rsid w:val="00CF5B24"/>
    <w:rsid w:val="00CF6BC5"/>
    <w:rsid w:val="00CF7828"/>
    <w:rsid w:val="00CF7E2F"/>
    <w:rsid w:val="00CF7F89"/>
    <w:rsid w:val="00D006A1"/>
    <w:rsid w:val="00D0533D"/>
    <w:rsid w:val="00D05DA9"/>
    <w:rsid w:val="00D0658E"/>
    <w:rsid w:val="00D0683D"/>
    <w:rsid w:val="00D07AA3"/>
    <w:rsid w:val="00D11521"/>
    <w:rsid w:val="00D13981"/>
    <w:rsid w:val="00D13ACB"/>
    <w:rsid w:val="00D13D03"/>
    <w:rsid w:val="00D14B4F"/>
    <w:rsid w:val="00D14E3E"/>
    <w:rsid w:val="00D16495"/>
    <w:rsid w:val="00D17436"/>
    <w:rsid w:val="00D269A5"/>
    <w:rsid w:val="00D301EE"/>
    <w:rsid w:val="00D30C36"/>
    <w:rsid w:val="00D30E43"/>
    <w:rsid w:val="00D315A5"/>
    <w:rsid w:val="00D31EC8"/>
    <w:rsid w:val="00D36786"/>
    <w:rsid w:val="00D400F9"/>
    <w:rsid w:val="00D42DB4"/>
    <w:rsid w:val="00D46D41"/>
    <w:rsid w:val="00D4706F"/>
    <w:rsid w:val="00D513B2"/>
    <w:rsid w:val="00D54235"/>
    <w:rsid w:val="00D5533B"/>
    <w:rsid w:val="00D5545C"/>
    <w:rsid w:val="00D559E8"/>
    <w:rsid w:val="00D563B2"/>
    <w:rsid w:val="00D57AAA"/>
    <w:rsid w:val="00D604D8"/>
    <w:rsid w:val="00D61132"/>
    <w:rsid w:val="00D61251"/>
    <w:rsid w:val="00D636AC"/>
    <w:rsid w:val="00D6674A"/>
    <w:rsid w:val="00D70005"/>
    <w:rsid w:val="00D73879"/>
    <w:rsid w:val="00D738D1"/>
    <w:rsid w:val="00D73ACE"/>
    <w:rsid w:val="00D73E88"/>
    <w:rsid w:val="00D73FC9"/>
    <w:rsid w:val="00D74A3A"/>
    <w:rsid w:val="00D76C4F"/>
    <w:rsid w:val="00D76DE8"/>
    <w:rsid w:val="00D8140A"/>
    <w:rsid w:val="00D828F1"/>
    <w:rsid w:val="00D83155"/>
    <w:rsid w:val="00D83BFF"/>
    <w:rsid w:val="00D83D61"/>
    <w:rsid w:val="00D85803"/>
    <w:rsid w:val="00D85DBD"/>
    <w:rsid w:val="00D85FF0"/>
    <w:rsid w:val="00D90867"/>
    <w:rsid w:val="00D91C4E"/>
    <w:rsid w:val="00D93C78"/>
    <w:rsid w:val="00D976E4"/>
    <w:rsid w:val="00DA37BB"/>
    <w:rsid w:val="00DA3CD5"/>
    <w:rsid w:val="00DA473B"/>
    <w:rsid w:val="00DA479B"/>
    <w:rsid w:val="00DA52C1"/>
    <w:rsid w:val="00DA5803"/>
    <w:rsid w:val="00DA7A49"/>
    <w:rsid w:val="00DB1640"/>
    <w:rsid w:val="00DB1BE6"/>
    <w:rsid w:val="00DB226A"/>
    <w:rsid w:val="00DB3FF2"/>
    <w:rsid w:val="00DB58F6"/>
    <w:rsid w:val="00DB66B5"/>
    <w:rsid w:val="00DB6856"/>
    <w:rsid w:val="00DC1C1D"/>
    <w:rsid w:val="00DC1F05"/>
    <w:rsid w:val="00DC298C"/>
    <w:rsid w:val="00DC5E25"/>
    <w:rsid w:val="00DD140C"/>
    <w:rsid w:val="00DD5BC0"/>
    <w:rsid w:val="00DD6A8E"/>
    <w:rsid w:val="00DE2E2A"/>
    <w:rsid w:val="00DF0B40"/>
    <w:rsid w:val="00DF2530"/>
    <w:rsid w:val="00DF4162"/>
    <w:rsid w:val="00DF44DE"/>
    <w:rsid w:val="00E050B4"/>
    <w:rsid w:val="00E06CAF"/>
    <w:rsid w:val="00E12629"/>
    <w:rsid w:val="00E1405F"/>
    <w:rsid w:val="00E1457B"/>
    <w:rsid w:val="00E159F3"/>
    <w:rsid w:val="00E16129"/>
    <w:rsid w:val="00E171F9"/>
    <w:rsid w:val="00E2122E"/>
    <w:rsid w:val="00E22B36"/>
    <w:rsid w:val="00E22C32"/>
    <w:rsid w:val="00E23296"/>
    <w:rsid w:val="00E24ACA"/>
    <w:rsid w:val="00E24F07"/>
    <w:rsid w:val="00E25CB8"/>
    <w:rsid w:val="00E26A65"/>
    <w:rsid w:val="00E270D6"/>
    <w:rsid w:val="00E31269"/>
    <w:rsid w:val="00E330F6"/>
    <w:rsid w:val="00E33A38"/>
    <w:rsid w:val="00E341EC"/>
    <w:rsid w:val="00E342A9"/>
    <w:rsid w:val="00E36D10"/>
    <w:rsid w:val="00E37FD7"/>
    <w:rsid w:val="00E420FB"/>
    <w:rsid w:val="00E435A6"/>
    <w:rsid w:val="00E43A2F"/>
    <w:rsid w:val="00E44345"/>
    <w:rsid w:val="00E46E34"/>
    <w:rsid w:val="00E4700D"/>
    <w:rsid w:val="00E53D20"/>
    <w:rsid w:val="00E54E80"/>
    <w:rsid w:val="00E551F0"/>
    <w:rsid w:val="00E604A6"/>
    <w:rsid w:val="00E613D5"/>
    <w:rsid w:val="00E64025"/>
    <w:rsid w:val="00E641CE"/>
    <w:rsid w:val="00E64337"/>
    <w:rsid w:val="00E66764"/>
    <w:rsid w:val="00E67BEF"/>
    <w:rsid w:val="00E70D56"/>
    <w:rsid w:val="00E71E87"/>
    <w:rsid w:val="00E761DA"/>
    <w:rsid w:val="00E77F69"/>
    <w:rsid w:val="00E80171"/>
    <w:rsid w:val="00E805BA"/>
    <w:rsid w:val="00E8095F"/>
    <w:rsid w:val="00E83970"/>
    <w:rsid w:val="00E83C2A"/>
    <w:rsid w:val="00E865ED"/>
    <w:rsid w:val="00E86C04"/>
    <w:rsid w:val="00E91B9C"/>
    <w:rsid w:val="00E922AF"/>
    <w:rsid w:val="00E931C8"/>
    <w:rsid w:val="00E95BAC"/>
    <w:rsid w:val="00E96F67"/>
    <w:rsid w:val="00E97AE5"/>
    <w:rsid w:val="00EA07B9"/>
    <w:rsid w:val="00EA0CEE"/>
    <w:rsid w:val="00EA0F31"/>
    <w:rsid w:val="00EA5D5E"/>
    <w:rsid w:val="00EA5EE0"/>
    <w:rsid w:val="00EB0F15"/>
    <w:rsid w:val="00EB15E4"/>
    <w:rsid w:val="00EB1A39"/>
    <w:rsid w:val="00EC1C24"/>
    <w:rsid w:val="00EC368B"/>
    <w:rsid w:val="00EC3E65"/>
    <w:rsid w:val="00EC49B1"/>
    <w:rsid w:val="00EC5EB8"/>
    <w:rsid w:val="00ED048A"/>
    <w:rsid w:val="00ED3EF1"/>
    <w:rsid w:val="00ED4BC3"/>
    <w:rsid w:val="00EE104B"/>
    <w:rsid w:val="00EE1834"/>
    <w:rsid w:val="00EE5BED"/>
    <w:rsid w:val="00EE614E"/>
    <w:rsid w:val="00EE682A"/>
    <w:rsid w:val="00EF1548"/>
    <w:rsid w:val="00EF3A5C"/>
    <w:rsid w:val="00EF4B2F"/>
    <w:rsid w:val="00EF554F"/>
    <w:rsid w:val="00EF6EC5"/>
    <w:rsid w:val="00F002A7"/>
    <w:rsid w:val="00F00E31"/>
    <w:rsid w:val="00F015E7"/>
    <w:rsid w:val="00F021DE"/>
    <w:rsid w:val="00F02531"/>
    <w:rsid w:val="00F03027"/>
    <w:rsid w:val="00F03A3C"/>
    <w:rsid w:val="00F044BC"/>
    <w:rsid w:val="00F04AA9"/>
    <w:rsid w:val="00F06176"/>
    <w:rsid w:val="00F06BA9"/>
    <w:rsid w:val="00F104C6"/>
    <w:rsid w:val="00F10B6F"/>
    <w:rsid w:val="00F10E59"/>
    <w:rsid w:val="00F113C1"/>
    <w:rsid w:val="00F117B1"/>
    <w:rsid w:val="00F141F6"/>
    <w:rsid w:val="00F1434E"/>
    <w:rsid w:val="00F15E30"/>
    <w:rsid w:val="00F17B08"/>
    <w:rsid w:val="00F20199"/>
    <w:rsid w:val="00F20459"/>
    <w:rsid w:val="00F21505"/>
    <w:rsid w:val="00F23EF5"/>
    <w:rsid w:val="00F2427C"/>
    <w:rsid w:val="00F26FF2"/>
    <w:rsid w:val="00F27266"/>
    <w:rsid w:val="00F2760B"/>
    <w:rsid w:val="00F308E1"/>
    <w:rsid w:val="00F30E1A"/>
    <w:rsid w:val="00F32908"/>
    <w:rsid w:val="00F34ACC"/>
    <w:rsid w:val="00F4024C"/>
    <w:rsid w:val="00F41EB1"/>
    <w:rsid w:val="00F4334E"/>
    <w:rsid w:val="00F4335F"/>
    <w:rsid w:val="00F4609B"/>
    <w:rsid w:val="00F460C2"/>
    <w:rsid w:val="00F50129"/>
    <w:rsid w:val="00F50CB0"/>
    <w:rsid w:val="00F53D03"/>
    <w:rsid w:val="00F55BEF"/>
    <w:rsid w:val="00F561C6"/>
    <w:rsid w:val="00F56415"/>
    <w:rsid w:val="00F56BCD"/>
    <w:rsid w:val="00F61085"/>
    <w:rsid w:val="00F61561"/>
    <w:rsid w:val="00F61805"/>
    <w:rsid w:val="00F6393A"/>
    <w:rsid w:val="00F63C8E"/>
    <w:rsid w:val="00F6603F"/>
    <w:rsid w:val="00F672A3"/>
    <w:rsid w:val="00F71795"/>
    <w:rsid w:val="00F719A8"/>
    <w:rsid w:val="00F73415"/>
    <w:rsid w:val="00F80732"/>
    <w:rsid w:val="00F8097B"/>
    <w:rsid w:val="00F813E1"/>
    <w:rsid w:val="00F81B2C"/>
    <w:rsid w:val="00F81B5B"/>
    <w:rsid w:val="00F82789"/>
    <w:rsid w:val="00F82880"/>
    <w:rsid w:val="00F83320"/>
    <w:rsid w:val="00F84C82"/>
    <w:rsid w:val="00F84FE1"/>
    <w:rsid w:val="00F86F34"/>
    <w:rsid w:val="00F87658"/>
    <w:rsid w:val="00F90284"/>
    <w:rsid w:val="00F93EBD"/>
    <w:rsid w:val="00FA0212"/>
    <w:rsid w:val="00FA0635"/>
    <w:rsid w:val="00FA5368"/>
    <w:rsid w:val="00FA6569"/>
    <w:rsid w:val="00FA77CD"/>
    <w:rsid w:val="00FB1E57"/>
    <w:rsid w:val="00FB30BE"/>
    <w:rsid w:val="00FB6150"/>
    <w:rsid w:val="00FC0AAB"/>
    <w:rsid w:val="00FC16AB"/>
    <w:rsid w:val="00FC1997"/>
    <w:rsid w:val="00FC2562"/>
    <w:rsid w:val="00FC308A"/>
    <w:rsid w:val="00FC38B3"/>
    <w:rsid w:val="00FD0BF6"/>
    <w:rsid w:val="00FD1023"/>
    <w:rsid w:val="00FD156F"/>
    <w:rsid w:val="00FD1E9F"/>
    <w:rsid w:val="00FD2EEC"/>
    <w:rsid w:val="00FD3515"/>
    <w:rsid w:val="00FD4121"/>
    <w:rsid w:val="00FD4C8B"/>
    <w:rsid w:val="00FD6BFF"/>
    <w:rsid w:val="00FD6F24"/>
    <w:rsid w:val="00FD6F2F"/>
    <w:rsid w:val="00FE0546"/>
    <w:rsid w:val="00FE17D6"/>
    <w:rsid w:val="00FE3467"/>
    <w:rsid w:val="00FE5325"/>
    <w:rsid w:val="00FE5B80"/>
    <w:rsid w:val="00FE63D2"/>
    <w:rsid w:val="00FE7C32"/>
    <w:rsid w:val="00FF0B9A"/>
    <w:rsid w:val="00FF1328"/>
    <w:rsid w:val="00FF14BD"/>
    <w:rsid w:val="00FF24C0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B66B5"/>
  </w:style>
  <w:style w:type="character" w:styleId="a3">
    <w:name w:val="page number"/>
    <w:basedOn w:val="a0"/>
    <w:rsid w:val="00DB66B5"/>
  </w:style>
  <w:style w:type="paragraph" w:styleId="a4">
    <w:name w:val="header"/>
    <w:basedOn w:val="a"/>
    <w:link w:val="a5"/>
    <w:rsid w:val="00DB66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ій колонтитул Знак"/>
    <w:basedOn w:val="a0"/>
    <w:link w:val="a4"/>
    <w:rsid w:val="00DB6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DB66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у виносці Знак"/>
    <w:basedOn w:val="a0"/>
    <w:link w:val="a6"/>
    <w:semiHidden/>
    <w:rsid w:val="00DB66B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5069E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22C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22C32"/>
    <w:rPr>
      <w:lang w:val="uk-UA"/>
    </w:rPr>
  </w:style>
  <w:style w:type="character" w:styleId="ab">
    <w:name w:val="Strong"/>
    <w:basedOn w:val="a0"/>
    <w:uiPriority w:val="22"/>
    <w:qFormat/>
    <w:rsid w:val="002114F2"/>
    <w:rPr>
      <w:b/>
      <w:bCs/>
    </w:rPr>
  </w:style>
  <w:style w:type="paragraph" w:styleId="2">
    <w:name w:val="Body Text Indent 2"/>
    <w:basedOn w:val="a"/>
    <w:link w:val="20"/>
    <w:rsid w:val="00B046DA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B046DA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>
          <a:noFill/>
        </a:ln>
        <a:effectLst/>
        <a:sp3d/>
      </c:spPr>
    </c:sideWall>
    <c:backWall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5183667768287913"/>
          <c:y val="0"/>
          <c:w val="0.80067846744487059"/>
          <c:h val="0.7097373070743016"/>
        </c:manualLayout>
      </c:layout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Закінчено кримінальних проваджень, із них: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1.6491523465227351E-2"/>
                  <c:y val="-1.087695445275322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Аркуш1!$B$2</c:f>
              <c:numCache>
                <c:formatCode>General</c:formatCode>
                <c:ptCount val="1"/>
                <c:pt idx="0">
                  <c:v>2702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C1-44E2-98D6-6E73EE85775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З постановлення вироку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4.2366166493339524E-3"/>
                  <c:y val="-2.197508792026443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Аркуш1!$C$2</c:f>
              <c:numCache>
                <c:formatCode>General</c:formatCode>
                <c:ptCount val="1"/>
                <c:pt idx="0">
                  <c:v>1764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C1-44E2-98D6-6E73EE85775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Закрито кримінальних проваджень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7.4685947275458494E-3"/>
                  <c:y val="-1.08769544527531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Аркуш1!$D$2</c:f>
              <c:numCache>
                <c:formatCode>General</c:formatCode>
                <c:ptCount val="1"/>
                <c:pt idx="0">
                  <c:v>884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C1-44E2-98D6-6E73EE85775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Із застосуванням заходів медичного характеру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1.5198996351871056E-2"/>
                  <c:y val="-1.4845329921795124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5C1-44E2-98D6-6E73EE857758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Для визначення підсудності</c:v>
                </c:pt>
              </c:strCache>
            </c:strRef>
          </c:tx>
          <c:dLbls>
            <c:dLbl>
              <c:idx val="0"/>
              <c:layout>
                <c:manualLayout>
                  <c:x val="1.0482180293501148E-2"/>
                  <c:y val="-1.6315431679129865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Аркуш1!$F$2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9E-4D30-B53D-4EDA706029BC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Із застосуванням заходів виховного характеру  </c:v>
                </c:pt>
              </c:strCache>
            </c:strRef>
          </c:tx>
          <c:dLbls>
            <c:dLbl>
              <c:idx val="0"/>
              <c:layout>
                <c:manualLayout>
                  <c:x val="1.464211834558969E-2"/>
                  <c:y val="-1.624970356216420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Аркуш1!$G$2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9E-4D30-B53D-4EDA706029BC}"/>
            </c:ext>
          </c:extLst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Повернуто прокурору</c:v>
                </c:pt>
              </c:strCache>
            </c:strRef>
          </c:tx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Аркуш1!$H$2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dLbls>
          <c:showVal val="1"/>
        </c:dLbls>
        <c:shape val="cylinder"/>
        <c:axId val="170222336"/>
        <c:axId val="170223872"/>
        <c:axId val="0"/>
      </c:bar3DChart>
      <c:catAx>
        <c:axId val="170222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0223872"/>
        <c:crosses val="autoZero"/>
        <c:auto val="1"/>
        <c:lblAlgn val="ctr"/>
        <c:lblOffset val="100"/>
      </c:catAx>
      <c:valAx>
        <c:axId val="1702238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702223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gradFill>
          <a:gsLst>
            <a:gs pos="0">
              <a:srgbClr val="C0504D">
                <a:lumMod val="40000"/>
                <a:lumOff val="60000"/>
              </a:srgbClr>
            </a:gs>
            <a:gs pos="64999">
              <a:srgbClr val="F0EBD5"/>
            </a:gs>
            <a:gs pos="100000">
              <a:srgbClr val="D1C39F"/>
            </a:gs>
          </a:gsLst>
          <a:lin ang="2700000" scaled="0"/>
        </a:gradFill>
        <a:ln w="25400">
          <a:noFill/>
        </a:ln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Аркуш1!$A$2:$A$7</c:f>
              <c:strCache>
                <c:ptCount val="6"/>
                <c:pt idx="0">
                  <c:v>Злочини проти життя та здоров'я особи - 1097</c:v>
                </c:pt>
                <c:pt idx="1">
                  <c:v>Злочини проти власності – 1055 </c:v>
                </c:pt>
                <c:pt idx="2">
                  <c:v>Злочини у сфері обігу наркотичних засобів – 627</c:v>
                </c:pt>
                <c:pt idx="3">
                  <c:v>Злочини проти безпеки руху та експлуатації транспорту - 487</c:v>
                </c:pt>
                <c:pt idx="4">
                  <c:v>Кримінальні правопорушення у сфері службової діяльності та професійної діяльності, пов'язаної з наданням публічних послуг – 300</c:v>
                </c:pt>
                <c:pt idx="5">
                  <c:v>Злочини проти основ національної безпеки України – 107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1097</c:v>
                </c:pt>
                <c:pt idx="1">
                  <c:v>1055</c:v>
                </c:pt>
                <c:pt idx="2">
                  <c:v>627</c:v>
                </c:pt>
                <c:pt idx="3">
                  <c:v>487</c:v>
                </c:pt>
                <c:pt idx="4">
                  <c:v>300</c:v>
                </c:pt>
                <c:pt idx="5">
                  <c:v>107</c:v>
                </c:pt>
              </c:numCache>
            </c:numRef>
          </c:val>
        </c:ser>
        <c:dLbls>
          <c:showPercent val="1"/>
        </c:dLbls>
      </c:pie3DChart>
      <c:spPr>
        <a:noFill/>
        <a:ln>
          <a:noFill/>
        </a:ln>
      </c:spPr>
    </c:plotArea>
    <c:legend>
      <c:legendPos val="t"/>
      <c:spPr>
        <a:ln>
          <a:solidFill>
            <a:schemeClr val="tx2">
              <a:lumMod val="20000"/>
              <a:lumOff val="80000"/>
            </a:schemeClr>
          </a:solidFill>
        </a:ln>
      </c:spPr>
    </c:legend>
    <c:plotVisOnly val="1"/>
  </c:chart>
  <c:spPr>
    <a:gradFill>
      <a:gsLst>
        <a:gs pos="0">
          <a:srgbClr val="C0504D">
            <a:lumMod val="40000"/>
            <a:lumOff val="60000"/>
          </a:srgbClr>
        </a:gs>
        <a:gs pos="64999">
          <a:srgbClr val="F0EBD5"/>
        </a:gs>
        <a:gs pos="100000">
          <a:srgbClr val="D1C39F"/>
        </a:gs>
      </a:gsLst>
      <a:lin ang="2700000" scaled="0"/>
    </a:gradFill>
    <a:ln>
      <a:solidFill>
        <a:schemeClr val="tx2">
          <a:lumMod val="40000"/>
          <a:lumOff val="60000"/>
        </a:schemeClr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B3-4093-A54E-A4CA5611091D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DB3-4093-A54E-A4CA5611091D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DB3-4093-A54E-A4CA5611091D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B3-4093-A54E-A4CA5611091D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104-4E2A-9BE4-57EC4030B581}"/>
              </c:ext>
            </c:extLst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2.3506973008970894E-2"/>
                  <c:y val="-2.2702937903219259E-2"/>
                </c:manualLayout>
              </c:layout>
              <c:dLblPos val="bestFit"/>
              <c:showVal val="1"/>
              <c:showPercent val="1"/>
            </c:dLbl>
            <c:dLbl>
              <c:idx val="2"/>
              <c:layout>
                <c:manualLayout>
                  <c:x val="9.7799225656494543E-2"/>
                  <c:y val="-2.6029270251951796E-2"/>
                </c:manualLayout>
              </c:layout>
              <c:dLblPos val="bestFit"/>
              <c:showVal val="1"/>
              <c:showPercent val="1"/>
            </c:dLbl>
            <c:dLbl>
              <c:idx val="3"/>
              <c:layout>
                <c:manualLayout>
                  <c:x val="3.5413320536425694E-2"/>
                  <c:y val="-5.7986896165078183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2700000" scaled="1"/>
                </a:gra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Val val="1"/>
              <c:showPercent val="1"/>
            </c:dLbl>
            <c:dLbl>
              <c:idx val="4"/>
              <c:delete val="1"/>
            </c:dLbl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2700000" scaled="1"/>
              </a:gra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4"/>
                <c:pt idx="1">
                  <c:v>Не розглянуто понад 6 місяців, 1 рік </c:v>
                </c:pt>
                <c:pt idx="2">
                  <c:v>Понад 1 рік до 2 років </c:v>
                </c:pt>
                <c:pt idx="3">
                  <c:v>Понад 2 роки 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1">
                  <c:v>322</c:v>
                </c:pt>
                <c:pt idx="2">
                  <c:v>323</c:v>
                </c:pt>
                <c:pt idx="3">
                  <c:v>435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B3-4093-A54E-A4CA5611091D}"/>
            </c:ext>
          </c:extLst>
        </c:ser>
        <c:dLbls>
          <c:showVal val="1"/>
        </c:dLbls>
      </c:pie3DChart>
      <c:spPr>
        <a:noFill/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10620188101487314"/>
          <c:y val="0.77059218288468467"/>
          <c:w val="0.82029289249291604"/>
          <c:h val="0.1737518304367109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rgbClr val="C0504D">
            <a:lumMod val="40000"/>
            <a:lumOff val="60000"/>
          </a:srgbClr>
        </a:gs>
        <a:gs pos="64999">
          <a:srgbClr val="F0EBD5"/>
        </a:gs>
        <a:gs pos="100000">
          <a:srgbClr val="D1C39F"/>
        </a:gs>
      </a:gsLst>
      <a:lin ang="2700000" scaled="0"/>
    </a:gradFill>
    <a:ln w="9525" cap="flat" cmpd="sng" algn="ctr">
      <a:solidFill>
        <a:schemeClr val="tx1"/>
      </a:solidFill>
      <a:round/>
    </a:ln>
    <a:effectLst/>
  </c:spPr>
  <c:txPr>
    <a:bodyPr/>
    <a:lstStyle/>
    <a:p>
      <a:pPr algn="just"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26"/>
  <c:chart>
    <c:plotArea>
      <c:layout>
        <c:manualLayout>
          <c:layoutTarget val="inner"/>
          <c:xMode val="edge"/>
          <c:yMode val="edge"/>
          <c:x val="0"/>
          <c:y val="4.3650793650793704E-2"/>
          <c:w val="0.69145942694663154"/>
          <c:h val="0.85693788276465443"/>
        </c:manualLayout>
      </c:layout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Вього закінчено проваджень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19034</c:v>
                </c:pt>
                <c:pt idx="1">
                  <c:v>13825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3B-4D5C-8804-EC42CFECE02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Із ухваленням рішення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Аркуш1!$C$2:$C$3</c:f>
              <c:numCache>
                <c:formatCode>General</c:formatCode>
                <c:ptCount val="2"/>
                <c:pt idx="0">
                  <c:v>16567</c:v>
                </c:pt>
                <c:pt idx="1">
                  <c:v>12099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3B-4D5C-8804-EC42CFECE02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Із закриттям провадження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Аркуш1!$D$2:$D$3</c:f>
              <c:numCache>
                <c:formatCode>General</c:formatCode>
                <c:ptCount val="2"/>
                <c:pt idx="0">
                  <c:v>1182</c:v>
                </c:pt>
                <c:pt idx="1">
                  <c:v>635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3B-4D5C-8804-EC42CFECE02A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Із залишенням без розгляду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Аркуш1!$E$2:$E$3</c:f>
              <c:numCache>
                <c:formatCode>General</c:formatCode>
                <c:ptCount val="2"/>
                <c:pt idx="0">
                  <c:v>1092</c:v>
                </c:pt>
                <c:pt idx="1">
                  <c:v>981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63B-4D5C-8804-EC42CFECE02A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Передано за підсудністю в інші суди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Аркуш1!$F$2:$F$3</c:f>
              <c:numCache>
                <c:formatCode>General</c:formatCode>
                <c:ptCount val="2"/>
                <c:pt idx="0">
                  <c:v>180</c:v>
                </c:pt>
                <c:pt idx="1">
                  <c:v>109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63B-4D5C-8804-EC42CFECE02A}"/>
            </c:ext>
          </c:extLst>
        </c:ser>
        <c:dLbls>
          <c:showVal val="1"/>
        </c:dLbls>
        <c:axId val="173717760"/>
        <c:axId val="173547520"/>
      </c:barChart>
      <c:catAx>
        <c:axId val="173717760"/>
        <c:scaling>
          <c:orientation val="minMax"/>
        </c:scaling>
        <c:axPos val="b"/>
        <c:numFmt formatCode="General" sourceLinked="0"/>
        <c:tickLblPos val="nextTo"/>
        <c:crossAx val="173547520"/>
        <c:crosses val="autoZero"/>
        <c:auto val="1"/>
        <c:lblAlgn val="ctr"/>
        <c:lblOffset val="100"/>
      </c:catAx>
      <c:valAx>
        <c:axId val="17354752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73717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210649169913574"/>
          <c:y val="0.18306664248822727"/>
          <c:w val="0.29513852795809681"/>
          <c:h val="0.64227181155641722"/>
        </c:manualLayout>
      </c:layout>
    </c:legend>
    <c:plotVisOnly val="1"/>
    <c:dispBlanksAs val="gap"/>
  </c:chart>
  <c:spPr>
    <a:gradFill>
      <a:gsLst>
        <a:gs pos="0">
          <a:srgbClr val="C0504D">
            <a:lumMod val="40000"/>
            <a:lumOff val="60000"/>
          </a:srgbClr>
        </a:gs>
        <a:gs pos="64999">
          <a:srgbClr val="F0EBD5"/>
        </a:gs>
        <a:gs pos="100000">
          <a:srgbClr val="D1C39F"/>
        </a:gs>
      </a:gsLst>
      <a:lin ang="27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840082107862792E-2"/>
          <c:y val="4.6279952830868679E-2"/>
          <c:w val="0.88925669932806251"/>
          <c:h val="0.77241586105288662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explosion val="13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A9-4478-B266-E050BB333119}"/>
              </c:ext>
            </c:extLst>
          </c:dPt>
          <c:dPt>
            <c:idx val="1"/>
            <c:explosion val="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9A9-4478-B266-E050BB333119}"/>
              </c:ext>
            </c:extLst>
          </c:dPt>
          <c:dPt>
            <c:idx val="2"/>
            <c:explosion val="1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A9-4478-B266-E050BB333119}"/>
              </c:ext>
            </c:extLst>
          </c:dPt>
          <c:dLbls>
            <c:dLbl>
              <c:idx val="0"/>
              <c:layout>
                <c:manualLayout>
                  <c:x val="4.5865712061951086E-2"/>
                  <c:y val="-7.240323038066408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A9-4478-B266-E050BB333119}"/>
                </c:ext>
              </c:extLst>
            </c:dLbl>
            <c:dLbl>
              <c:idx val="1"/>
              <c:layout>
                <c:manualLayout>
                  <c:x val="-1.1857755385815415E-2"/>
                  <c:y val="7.538980312733395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A9-4478-B266-E050BB333119}"/>
                </c:ext>
              </c:extLst>
            </c:dLbl>
            <c:dLbl>
              <c:idx val="2"/>
              <c:layout>
                <c:manualLayout>
                  <c:x val="1.6303738459259483E-2"/>
                  <c:y val="-1.615635778886116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A9-4478-B266-E050BB333119}"/>
                </c:ext>
              </c:extLst>
            </c:dLbl>
            <c:dLbl>
              <c:idx val="3"/>
              <c:layout>
                <c:manualLayout>
                  <c:x val="1.9831762274851835E-2"/>
                  <c:y val="-9.1517378632363748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A9-4478-B266-E050BB3331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Спори, що виникають із сімейних відносин</c:v>
                </c:pt>
                <c:pt idx="1">
                  <c:v>Спори, із правочинів</c:v>
                </c:pt>
                <c:pt idx="2">
                  <c:v>Спори, із відносин спадкування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5599</c:v>
                </c:pt>
                <c:pt idx="1">
                  <c:v>10462</c:v>
                </c:pt>
                <c:pt idx="2">
                  <c:v>1126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A9-4478-B266-E050BB333119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9104519882E-2"/>
          <c:y val="0.86483010810089722"/>
          <c:w val="0.89999991820904246"/>
          <c:h val="0.1114410783397835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2">
            <a:lumMod val="20000"/>
            <a:lumOff val="8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Відкрито провадження - 586</c:v>
                </c:pt>
                <c:pt idx="1">
                  <c:v>Повернуто - 73</c:v>
                </c:pt>
                <c:pt idx="2">
                  <c:v>Залишено без розгляду - 4</c:v>
                </c:pt>
                <c:pt idx="3">
                  <c:v>Відмовлено у відкритті провадження - 5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586</c:v>
                </c:pt>
                <c:pt idx="1">
                  <c:v>73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axId val="148596608"/>
        <c:axId val="148598144"/>
      </c:barChart>
      <c:catAx>
        <c:axId val="148596608"/>
        <c:scaling>
          <c:orientation val="minMax"/>
        </c:scaling>
        <c:axPos val="b"/>
        <c:tickLblPos val="nextTo"/>
        <c:crossAx val="148598144"/>
        <c:crosses val="autoZero"/>
        <c:auto val="1"/>
        <c:lblAlgn val="ctr"/>
        <c:lblOffset val="100"/>
      </c:catAx>
      <c:valAx>
        <c:axId val="148598144"/>
        <c:scaling>
          <c:orientation val="minMax"/>
        </c:scaling>
        <c:axPos val="l"/>
        <c:majorGridlines/>
        <c:numFmt formatCode="General" sourceLinked="1"/>
        <c:tickLblPos val="nextTo"/>
        <c:crossAx val="148596608"/>
        <c:crosses val="autoZero"/>
        <c:crossBetween val="between"/>
      </c:valAx>
      <c:spPr>
        <a:noFill/>
      </c:spPr>
    </c:plotArea>
    <c:plotVisOnly val="1"/>
  </c:chart>
  <c:spPr>
    <a:gradFill>
      <a:gsLst>
        <a:gs pos="0">
          <a:schemeClr val="accent2">
            <a:lumMod val="20000"/>
            <a:lumOff val="8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992683921045817"/>
          <c:y val="8.1942744395929606E-2"/>
          <c:w val="0.82788099763391665"/>
          <c:h val="0.57017559464561285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2A-4A69-8081-E003352B3855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E2A-4A69-8081-E003352B3855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2A-4A69-8081-E003352B3855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E2A-4A69-8081-E003352B3855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86913686014136"/>
                      <c:h val="5.110274341043571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E2A-4A69-8081-E003352B3855}"/>
                </c:ext>
              </c:extLst>
            </c:dLbl>
            <c:dLbl>
              <c:idx val="1"/>
              <c:layout>
                <c:manualLayout>
                  <c:x val="-2.0367375367434392E-2"/>
                  <c:y val="2.857066212608308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2A-4A69-8081-E003352B3855}"/>
                </c:ext>
              </c:extLst>
            </c:dLbl>
            <c:dLbl>
              <c:idx val="2"/>
              <c:layout>
                <c:manualLayout>
                  <c:x val="2.8398933783230391E-3"/>
                  <c:y val="-1.1198173918881341E-2"/>
                </c:manualLayout>
              </c:layout>
              <c:dLblPos val="bestFit"/>
              <c:showVal val="1"/>
              <c:showPercent val="1"/>
            </c:dLbl>
            <c:dLbl>
              <c:idx val="3"/>
              <c:layout>
                <c:manualLayout>
                  <c:x val="3.0527280321663401E-2"/>
                  <c:y val="-3.1169429034525374E-2"/>
                </c:manualLayout>
              </c:layout>
              <c:dLblPos val="bestFit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2A-4A69-8081-E003352B38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Percent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1">
                  <c:v>Справи щодо забезпечення громадського порядку та безпеки, національної безпеки та оборони України</c:v>
                </c:pt>
                <c:pt idx="2">
                  <c:v>Провадження щодо захисту політичних (крім виборчих) та громадянських прав</c:v>
                </c:pt>
                <c:pt idx="3">
                  <c:v>Провадження з приводу регулювання містобудівної діяльності та землекористування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1">
                  <c:v>672</c:v>
                </c:pt>
                <c:pt idx="2">
                  <c:v>15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2A-4A69-8081-E003352B3855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3441437929266548"/>
          <c:y val="0.65321565222598188"/>
          <c:w val="0.82257009428709271"/>
          <c:h val="0.3467843477740189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rgbClr val="C0504D">
            <a:lumMod val="20000"/>
            <a:lumOff val="8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Розглянуто протоколів про адміністративні правопорушення - 15300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1160598477602951E-3"/>
                  <c:y val="0.49613474375750438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17171</c:v>
                </c:pt>
              </c:numCache>
            </c:num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15300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85-44CD-A41A-A6A61B5EE8B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Залишок нерозглянутих справ на кінець звітного періоду - 1280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7.2396062828323279E-3"/>
                  <c:y val="0.12622957150956485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17171</c:v>
                </c:pt>
              </c:numCache>
            </c:num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1280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85-44CD-A41A-A6A61B5EE8B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Повернуто протоколів про адміністративне правопорушення - 591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2836513024804941E-3"/>
                  <c:y val="9.689194971876324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17171</c:v>
                </c:pt>
              </c:numCache>
            </c:num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591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85-44CD-A41A-A6A61B5EE8B1}"/>
            </c:ext>
          </c:extLst>
        </c:ser>
        <c:shape val="cylinder"/>
        <c:axId val="173953408"/>
        <c:axId val="173954944"/>
        <c:axId val="0"/>
      </c:bar3DChart>
      <c:catAx>
        <c:axId val="17395340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73954944"/>
        <c:crosses val="autoZero"/>
        <c:auto val="1"/>
        <c:lblAlgn val="ctr"/>
        <c:lblOffset val="100"/>
      </c:catAx>
      <c:valAx>
        <c:axId val="1739549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one"/>
        <c:crossAx val="173953408"/>
        <c:crosses val="autoZero"/>
        <c:crossBetween val="between"/>
      </c:val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2">
            <a:lumMod val="20000"/>
            <a:lumOff val="8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6.0795094578694912E-2"/>
          <c:w val="1"/>
          <c:h val="0.7435724701079031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37"/>
          <c:dPt>
            <c:idx val="0"/>
            <c:explosion val="2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9C9-4093-9B58-365F2B3D070C}"/>
              </c:ext>
            </c:extLst>
          </c:dPt>
          <c:dPt>
            <c:idx val="1"/>
            <c:explosion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99-44D5-947D-604B99525B35}"/>
              </c:ext>
            </c:extLst>
          </c:dPt>
          <c:dPt>
            <c:idx val="2"/>
            <c:explosion val="25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C9-4093-9B58-365F2B3D070C}"/>
              </c:ext>
            </c:extLst>
          </c:dPt>
          <c:dLbls>
            <c:dLbl>
              <c:idx val="0"/>
              <c:layout>
                <c:manualLayout>
                  <c:x val="7.0791760652062809E-3"/>
                  <c:y val="-8.3546668735374197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C9-4093-9B58-365F2B3D070C}"/>
                </c:ext>
              </c:extLst>
            </c:dLbl>
            <c:dLbl>
              <c:idx val="1"/>
              <c:layout>
                <c:manualLayout>
                  <c:x val="-3.3067839004746552E-2"/>
                  <c:y val="3.9491938507686612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1.3966661985584444E-2"/>
                  <c:y val="-6.067239771262040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C9-4093-9B58-365F2B3D070C}"/>
                </c:ext>
              </c:extLst>
            </c:dLbl>
            <c:dLbl>
              <c:idx val="3"/>
              <c:layout>
                <c:manualLayout>
                  <c:x val="2.1037656751239441E-2"/>
                  <c:y val="-6.3367079115111448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C9-4093-9B58-365F2B3D07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Повернуто </c:v>
                </c:pt>
                <c:pt idx="1">
                  <c:v>Розглянуто і накладено адміністративне стягнення </c:v>
                </c:pt>
                <c:pt idx="2">
                  <c:v>Залишок на кінець звітного періоду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65</c:v>
                </c:pt>
                <c:pt idx="1">
                  <c:v>2056</c:v>
                </c:pt>
                <c:pt idx="2">
                  <c:v>320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C9-4093-9B58-365F2B3D070C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827366702185075"/>
          <c:y val="0.63926276456822217"/>
          <c:w val="0.50345249297703842"/>
          <c:h val="0.3361066935598617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rgbClr val="C0504D">
            <a:lumMod val="20000"/>
            <a:lumOff val="8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9525" cap="flat" cmpd="sng" algn="ctr">
      <a:solidFill>
        <a:schemeClr val="accent4">
          <a:lumMod val="20000"/>
          <a:lumOff val="80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76D7-2014-4798-9B72-BF33EED1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22</Pages>
  <Words>17230</Words>
  <Characters>9822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statist01</cp:lastModifiedBy>
  <cp:revision>277</cp:revision>
  <cp:lastPrinted>2025-02-28T06:39:00Z</cp:lastPrinted>
  <dcterms:created xsi:type="dcterms:W3CDTF">2025-02-28T06:15:00Z</dcterms:created>
  <dcterms:modified xsi:type="dcterms:W3CDTF">2026-03-05T14:54:00Z</dcterms:modified>
</cp:coreProperties>
</file>