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D0D7855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436942ED" w14:textId="77777777" w:rsidR="00566910" w:rsidRDefault="00566910" w:rsidP="00566910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26A9D285" w14:textId="663D4CEB" w:rsidR="00996AF1" w:rsidRPr="00A52E6E" w:rsidRDefault="00996AF1" w:rsidP="00996AF1">
      <w:pPr>
        <w:ind w:left="5812"/>
        <w:rPr>
          <w:color w:val="FF0000"/>
        </w:rPr>
      </w:pPr>
      <w:bookmarkStart w:id="0" w:name="_GoBack"/>
      <w:bookmarkEnd w:id="0"/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19D41935" w:rsidR="005E2A36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78D7CD22" w14:textId="77777777" w:rsidR="00157654" w:rsidRPr="00D6540C" w:rsidRDefault="00157654" w:rsidP="005E2A36">
      <w:pPr>
        <w:jc w:val="center"/>
        <w:rPr>
          <w:b/>
          <w:sz w:val="20"/>
          <w:szCs w:val="20"/>
          <w:lang w:eastAsia="en-US"/>
        </w:rPr>
      </w:pPr>
    </w:p>
    <w:p w14:paraId="0E9F33C8" w14:textId="37D1EC59" w:rsidR="001E11CF" w:rsidRPr="00E24BB9" w:rsidRDefault="005E2A36" w:rsidP="00157654">
      <w:pPr>
        <w:tabs>
          <w:tab w:val="left" w:pos="0"/>
        </w:tabs>
        <w:ind w:right="-1" w:firstLine="709"/>
        <w:jc w:val="center"/>
        <w:rPr>
          <w:b/>
        </w:rPr>
      </w:pPr>
      <w:r w:rsidRPr="00E24BB9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E24BB9">
        <w:rPr>
          <w:b/>
          <w:lang w:eastAsia="en-US"/>
        </w:rPr>
        <w:t xml:space="preserve"> </w:t>
      </w:r>
      <w:r w:rsidR="00E24BB9" w:rsidRPr="00E24BB9">
        <w:rPr>
          <w:b/>
          <w:lang w:eastAsia="en-US"/>
        </w:rPr>
        <w:t xml:space="preserve">контролера І категорії (завідувача складу матеріально-технічних засобів) </w:t>
      </w:r>
      <w:r w:rsidR="00E24BB9" w:rsidRPr="00E24BB9">
        <w:rPr>
          <w:rFonts w:eastAsiaTheme="minorHAnsi"/>
          <w:b/>
          <w:lang w:eastAsia="en-US" w:bidi="en-US"/>
        </w:rPr>
        <w:t>господарського взводу</w:t>
      </w:r>
      <w:bookmarkStart w:id="1" w:name="_Hlk194484269"/>
      <w:r w:rsidR="001E11CF" w:rsidRPr="00E24BB9">
        <w:rPr>
          <w:rFonts w:eastAsiaTheme="minorHAnsi"/>
          <w:b/>
          <w:lang w:eastAsia="en-US" w:bidi="en-US"/>
        </w:rPr>
        <w:t xml:space="preserve"> територіального управління Служби судової охорони у Вінницькій</w:t>
      </w:r>
      <w:r w:rsidR="00DA4BBF" w:rsidRPr="00E24BB9">
        <w:rPr>
          <w:rFonts w:eastAsiaTheme="minorHAnsi"/>
          <w:b/>
          <w:lang w:eastAsia="en-US" w:bidi="en-US"/>
        </w:rPr>
        <w:t xml:space="preserve"> </w:t>
      </w:r>
      <w:r w:rsidR="005D7C81" w:rsidRPr="00E24BB9">
        <w:rPr>
          <w:rFonts w:eastAsiaTheme="minorHAnsi"/>
          <w:b/>
          <w:lang w:eastAsia="en-US" w:bidi="en-US"/>
        </w:rPr>
        <w:t>області</w:t>
      </w:r>
    </w:p>
    <w:bookmarkEnd w:id="1"/>
    <w:p w14:paraId="4663EACA" w14:textId="0C922BF1" w:rsidR="00AF2478" w:rsidRPr="00157654" w:rsidRDefault="00AF2478" w:rsidP="00157654">
      <w:pPr>
        <w:tabs>
          <w:tab w:val="left" w:pos="0"/>
        </w:tabs>
        <w:ind w:right="-1" w:firstLine="709"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5D8EDD10" w14:textId="3FF79373" w:rsidR="005E2A36" w:rsidRPr="00E24BB9" w:rsidRDefault="00E41E71" w:rsidP="003F6A8A">
      <w:pPr>
        <w:tabs>
          <w:tab w:val="left" w:pos="0"/>
        </w:tabs>
        <w:ind w:right="-1" w:firstLine="709"/>
        <w:jc w:val="both"/>
        <w:rPr>
          <w:rFonts w:eastAsiaTheme="minorHAnsi"/>
          <w:b/>
          <w:lang w:eastAsia="en-US" w:bidi="en-US"/>
        </w:rPr>
      </w:pPr>
      <w:r w:rsidRPr="00E24BB9">
        <w:rPr>
          <w:b/>
        </w:rPr>
        <w:t xml:space="preserve">1. </w:t>
      </w:r>
      <w:r w:rsidR="005E2A36" w:rsidRPr="00E24BB9">
        <w:rPr>
          <w:b/>
        </w:rPr>
        <w:t>Основні повноваження</w:t>
      </w:r>
      <w:r w:rsidR="003114BA" w:rsidRPr="00E24BB9">
        <w:rPr>
          <w:b/>
        </w:rPr>
        <w:t xml:space="preserve"> </w:t>
      </w:r>
      <w:r w:rsidR="00E24BB9" w:rsidRPr="00E24BB9">
        <w:rPr>
          <w:b/>
          <w:lang w:eastAsia="en-US"/>
        </w:rPr>
        <w:t xml:space="preserve">контролера І категорії (завідувача складу матеріально-технічних засобів) </w:t>
      </w:r>
      <w:r w:rsidR="00E24BB9" w:rsidRPr="00E24BB9">
        <w:rPr>
          <w:rFonts w:eastAsiaTheme="minorHAnsi"/>
          <w:b/>
          <w:lang w:eastAsia="en-US" w:bidi="en-US"/>
        </w:rPr>
        <w:t>господарського взводу</w:t>
      </w:r>
      <w:r w:rsidR="00E24BB9" w:rsidRPr="00E24BB9">
        <w:rPr>
          <w:b/>
        </w:rPr>
        <w:t xml:space="preserve"> </w:t>
      </w:r>
      <w:r w:rsidR="003F6A8A" w:rsidRPr="00E24BB9">
        <w:rPr>
          <w:rFonts w:eastAsiaTheme="minorHAnsi"/>
          <w:b/>
          <w:lang w:eastAsia="en-US" w:bidi="en-US"/>
        </w:rPr>
        <w:t>територіального управління Служби судової охорони у Вінницькій області</w:t>
      </w:r>
      <w:r w:rsidR="00AC1032" w:rsidRPr="00E24BB9">
        <w:rPr>
          <w:b/>
          <w:lang w:eastAsia="en-US"/>
        </w:rPr>
        <w:t>:</w:t>
      </w:r>
    </w:p>
    <w:p w14:paraId="3477601B" w14:textId="77777777" w:rsidR="003650B2" w:rsidRPr="006F0AF8" w:rsidRDefault="003650B2" w:rsidP="003650B2">
      <w:pPr>
        <w:ind w:left="6" w:firstLine="702"/>
        <w:contextualSpacing/>
        <w:jc w:val="both"/>
      </w:pPr>
      <w:r w:rsidRPr="006F0AF8">
        <w:t>1) забезпечує виконання покладених завдань за напрямами службової діяльності;</w:t>
      </w:r>
    </w:p>
    <w:p w14:paraId="62AEB1DD" w14:textId="77777777" w:rsidR="003650B2" w:rsidRPr="006F0AF8" w:rsidRDefault="003650B2" w:rsidP="003650B2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2) вживає заходи з організації забезпечення майном яке перебуває на складі</w:t>
      </w:r>
      <w:r w:rsidRPr="006F0AF8">
        <w:rPr>
          <w:noProof/>
        </w:rPr>
        <w:t>;</w:t>
      </w:r>
    </w:p>
    <w:p w14:paraId="62EA651E" w14:textId="77777777" w:rsidR="003650B2" w:rsidRPr="006F0AF8" w:rsidRDefault="003650B2" w:rsidP="003650B2">
      <w:pPr>
        <w:ind w:firstLine="709"/>
        <w:contextualSpacing/>
        <w:jc w:val="both"/>
        <w:rPr>
          <w:noProof/>
        </w:rPr>
      </w:pPr>
      <w:r w:rsidRPr="006F0AF8">
        <w:rPr>
          <w:noProof/>
        </w:rPr>
        <w:t xml:space="preserve">3) організовує поточну організаційно-виконавчу роботу складу; </w:t>
      </w:r>
    </w:p>
    <w:p w14:paraId="55361713" w14:textId="77777777" w:rsidR="003650B2" w:rsidRPr="006F0AF8" w:rsidRDefault="003650B2" w:rsidP="003650B2">
      <w:pPr>
        <w:ind w:firstLine="709"/>
        <w:contextualSpacing/>
        <w:jc w:val="both"/>
      </w:pPr>
      <w:r w:rsidRPr="006F0AF8">
        <w:t>4) здійснює заходи забезпечення підрозділу майном, його отримання, видачу, зберігання та облік;</w:t>
      </w:r>
    </w:p>
    <w:p w14:paraId="17201251" w14:textId="415FEEAA" w:rsidR="003650B2" w:rsidRPr="006F0AF8" w:rsidRDefault="003650B2" w:rsidP="003650B2">
      <w:pPr>
        <w:ind w:firstLine="709"/>
        <w:jc w:val="both"/>
      </w:pPr>
      <w:r w:rsidRPr="006F0AF8">
        <w:t xml:space="preserve">5) за дорученням керівництва підрозділу виконує інші повноваження, які належать до компетенції </w:t>
      </w:r>
      <w:r>
        <w:t>взводу</w:t>
      </w:r>
      <w:r w:rsidRPr="006F0AF8">
        <w:t>.</w:t>
      </w:r>
    </w:p>
    <w:p w14:paraId="65ADD862" w14:textId="77777777" w:rsidR="003650B2" w:rsidRDefault="003650B2" w:rsidP="007A2E83">
      <w:pPr>
        <w:tabs>
          <w:tab w:val="left" w:pos="0"/>
        </w:tabs>
        <w:ind w:left="360" w:firstLine="491"/>
        <w:rPr>
          <w:b/>
        </w:rPr>
      </w:pPr>
    </w:p>
    <w:p w14:paraId="058309CE" w14:textId="446B5BCE" w:rsidR="007A2E83" w:rsidRPr="00FA476B" w:rsidRDefault="007A2E83" w:rsidP="007A2E83">
      <w:pPr>
        <w:tabs>
          <w:tab w:val="left" w:pos="0"/>
        </w:tabs>
        <w:ind w:left="360" w:firstLine="491"/>
        <w:rPr>
          <w:b/>
        </w:rPr>
      </w:pPr>
      <w:r w:rsidRPr="00FA476B">
        <w:rPr>
          <w:b/>
        </w:rPr>
        <w:t>2. Умови оплати праці:</w:t>
      </w:r>
    </w:p>
    <w:p w14:paraId="0F1BEA0C" w14:textId="10825CF8" w:rsidR="007A2E83" w:rsidRDefault="007A2E83" w:rsidP="007A2E83">
      <w:pPr>
        <w:tabs>
          <w:tab w:val="left" w:pos="0"/>
        </w:tabs>
        <w:ind w:firstLine="851"/>
        <w:jc w:val="both"/>
      </w:pPr>
      <w:r w:rsidRPr="00FA476B">
        <w:t xml:space="preserve">1) посадовий оклад – 3260,00 гривень </w:t>
      </w:r>
      <w:r w:rsidRPr="00641605">
        <w:t xml:space="preserve">відповідно до постанови Кабінету Міністрів України від 03.04.2019 № 289 «Про грошове забезпечення співробітників Служби судової охорони» </w:t>
      </w:r>
    </w:p>
    <w:p w14:paraId="743556C1" w14:textId="77777777" w:rsidR="005C6BAB" w:rsidRPr="00641605" w:rsidRDefault="005C6BAB" w:rsidP="007A2E83">
      <w:pPr>
        <w:tabs>
          <w:tab w:val="left" w:pos="0"/>
        </w:tabs>
        <w:ind w:firstLine="851"/>
        <w:jc w:val="both"/>
      </w:pPr>
    </w:p>
    <w:p w14:paraId="261A135B" w14:textId="78087F0C" w:rsidR="007A2E83" w:rsidRDefault="007A2E83" w:rsidP="00E55ECD">
      <w:pPr>
        <w:tabs>
          <w:tab w:val="left" w:pos="0"/>
        </w:tabs>
        <w:spacing w:line="244" w:lineRule="auto"/>
        <w:ind w:firstLine="851"/>
        <w:jc w:val="both"/>
      </w:pPr>
      <w:r w:rsidRPr="0064160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8FEF7A7" w14:textId="77777777" w:rsidR="009979E0" w:rsidRPr="00E55ECD" w:rsidRDefault="009979E0" w:rsidP="00E55ECD">
      <w:pPr>
        <w:tabs>
          <w:tab w:val="left" w:pos="0"/>
        </w:tabs>
        <w:spacing w:line="244" w:lineRule="auto"/>
        <w:ind w:firstLine="851"/>
        <w:jc w:val="both"/>
      </w:pPr>
    </w:p>
    <w:p w14:paraId="516542DA" w14:textId="77777777" w:rsidR="007A2E83" w:rsidRPr="00641605" w:rsidRDefault="007A2E83" w:rsidP="007A2E83">
      <w:pPr>
        <w:spacing w:line="244" w:lineRule="auto"/>
        <w:ind w:firstLine="851"/>
        <w:jc w:val="both"/>
      </w:pPr>
      <w:r w:rsidRPr="00641605">
        <w:rPr>
          <w:b/>
        </w:rPr>
        <w:t>3. Інформація про строковість чи безстроковість призначення на посаду:</w:t>
      </w:r>
    </w:p>
    <w:p w14:paraId="287E60AE" w14:textId="3D4E20F3" w:rsidR="007A2E83" w:rsidRDefault="007A2E83" w:rsidP="004F61CA">
      <w:pPr>
        <w:spacing w:line="244" w:lineRule="auto"/>
        <w:ind w:firstLine="851"/>
        <w:jc w:val="both"/>
      </w:pPr>
      <w:r w:rsidRPr="00641605">
        <w:t xml:space="preserve"> безстроково.</w:t>
      </w:r>
    </w:p>
    <w:p w14:paraId="7952E769" w14:textId="77777777" w:rsidR="005C6BAB" w:rsidRPr="00E55ECD" w:rsidRDefault="005C6BAB" w:rsidP="004F61CA">
      <w:pPr>
        <w:spacing w:line="244" w:lineRule="auto"/>
        <w:ind w:firstLine="851"/>
        <w:jc w:val="both"/>
      </w:pPr>
    </w:p>
    <w:p w14:paraId="134FB5AD" w14:textId="77777777" w:rsidR="007A2E83" w:rsidRPr="00641605" w:rsidRDefault="007A2E83" w:rsidP="007A2E83">
      <w:pPr>
        <w:spacing w:line="244" w:lineRule="auto"/>
        <w:ind w:firstLine="851"/>
        <w:jc w:val="both"/>
      </w:pPr>
      <w:r w:rsidRPr="00641605">
        <w:rPr>
          <w:b/>
        </w:rPr>
        <w:t>4. Перелік документів, необхідних для участі в конкурсі, та строк їх подання:</w:t>
      </w:r>
    </w:p>
    <w:p w14:paraId="7D95CD64" w14:textId="77777777" w:rsidR="007A2E83" w:rsidRPr="00667578" w:rsidRDefault="007A2E83" w:rsidP="007A2E83">
      <w:pPr>
        <w:spacing w:line="244" w:lineRule="auto"/>
        <w:ind w:firstLine="851"/>
        <w:jc w:val="both"/>
      </w:pPr>
      <w:r w:rsidRPr="00667578">
        <w:lastRenderedPageBreak/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76F57DFF" w14:textId="77777777" w:rsidR="007A2E83" w:rsidRPr="00667578" w:rsidRDefault="007A2E83" w:rsidP="007A2E83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42EF8577" w14:textId="77777777" w:rsidR="007A2E83" w:rsidRPr="00895547" w:rsidRDefault="007A2E83" w:rsidP="007A2E83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79DFFA5F" w14:textId="77777777" w:rsidR="007A2E83" w:rsidRPr="00667578" w:rsidRDefault="007A2E83" w:rsidP="007A2E83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20950E0B" w14:textId="77777777" w:rsidR="007A2E83" w:rsidRPr="00667578" w:rsidRDefault="007A2E83" w:rsidP="007A2E83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1487578" w14:textId="77777777" w:rsidR="007A2E83" w:rsidRPr="00667578" w:rsidRDefault="007A2E83" w:rsidP="007A2E83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23CF3C49" w14:textId="77777777" w:rsidR="007A2E83" w:rsidRPr="00667578" w:rsidRDefault="007A2E83" w:rsidP="007A2E83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24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0487F21" w14:textId="77777777" w:rsidR="007A2E83" w:rsidRPr="00667578" w:rsidRDefault="007A2E83" w:rsidP="007A2E83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5842012F" w14:textId="77777777" w:rsidR="007A2E83" w:rsidRPr="00667578" w:rsidRDefault="007A2E83" w:rsidP="007A2E83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7344D00" w14:textId="5F4C4C11" w:rsidR="007A2E83" w:rsidRPr="00667578" w:rsidRDefault="007A2E83" w:rsidP="007A2E83">
      <w:pPr>
        <w:ind w:firstLine="851"/>
        <w:jc w:val="both"/>
      </w:pPr>
      <w:r w:rsidRPr="00667578">
        <w:t>1</w:t>
      </w:r>
      <w:r>
        <w:t>0</w:t>
      </w:r>
      <w:r w:rsidRPr="00667578">
        <w:t>) сертифікат наркологічного огляду та медична довідка психіатричного огляду</w:t>
      </w:r>
      <w:r w:rsidR="00E24BB9">
        <w:t xml:space="preserve"> </w:t>
      </w:r>
      <w:r w:rsidR="00553A34" w:rsidRPr="00AE525D">
        <w:rPr>
          <w:lang w:val="ru-RU"/>
        </w:rPr>
        <w:t>(форма 100-2/о)</w:t>
      </w:r>
      <w:r w:rsidRPr="00667578">
        <w:t xml:space="preserve">; </w:t>
      </w:r>
    </w:p>
    <w:p w14:paraId="72466934" w14:textId="115367DE" w:rsidR="009979E0" w:rsidRPr="00E55ECD" w:rsidRDefault="007A2E83" w:rsidP="004F61CA">
      <w:pPr>
        <w:ind w:firstLine="851"/>
        <w:jc w:val="both"/>
        <w:rPr>
          <w:rFonts w:eastAsia="Times New Roman"/>
          <w:lang w:eastAsia="uk-UA"/>
        </w:rPr>
      </w:pPr>
      <w:bookmarkStart w:id="2" w:name="_Hlk186468892"/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>.</w:t>
      </w:r>
      <w:bookmarkEnd w:id="2"/>
    </w:p>
    <w:p w14:paraId="10F59845" w14:textId="7C849EE0" w:rsidR="009979E0" w:rsidRDefault="007A2E83" w:rsidP="004F61CA">
      <w:pPr>
        <w:spacing w:line="244" w:lineRule="auto"/>
        <w:ind w:firstLine="851"/>
        <w:jc w:val="both"/>
      </w:pPr>
      <w:r w:rsidRPr="00641605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06D001C5" w14:textId="77777777" w:rsidR="005C6BAB" w:rsidRPr="00641605" w:rsidRDefault="005C6BAB" w:rsidP="004F61CA">
      <w:pPr>
        <w:spacing w:line="244" w:lineRule="auto"/>
        <w:ind w:firstLine="851"/>
        <w:jc w:val="both"/>
      </w:pPr>
    </w:p>
    <w:p w14:paraId="157EA8DD" w14:textId="408183AB" w:rsidR="002031FB" w:rsidRPr="005C6BAB" w:rsidRDefault="002031FB" w:rsidP="002031FB">
      <w:pPr>
        <w:ind w:firstLine="773"/>
        <w:jc w:val="both"/>
      </w:pPr>
      <w:r w:rsidRPr="005C6BAB">
        <w:t>Документи приймаються з 0</w:t>
      </w:r>
      <w:r w:rsidRPr="005C6BAB">
        <w:rPr>
          <w:lang w:val="ru-RU"/>
        </w:rPr>
        <w:t>9</w:t>
      </w:r>
      <w:r w:rsidRPr="005C6BAB">
        <w:t xml:space="preserve">.00 год. </w:t>
      </w:r>
      <w:r w:rsidR="00F01C4E">
        <w:t xml:space="preserve">01 липня </w:t>
      </w:r>
      <w:r w:rsidRPr="005C6BAB">
        <w:t>202</w:t>
      </w:r>
      <w:r w:rsidRPr="005C6BAB">
        <w:rPr>
          <w:lang w:val="ru-RU"/>
        </w:rPr>
        <w:t>5</w:t>
      </w:r>
      <w:r w:rsidRPr="005C6BAB">
        <w:t xml:space="preserve"> року до 1</w:t>
      </w:r>
      <w:r w:rsidR="005C6BAB">
        <w:t>6</w:t>
      </w:r>
      <w:r w:rsidRPr="005C6BAB">
        <w:t xml:space="preserve">.00 год.    </w:t>
      </w:r>
      <w:r w:rsidRPr="005C6BAB">
        <w:rPr>
          <w:lang w:val="ru-RU"/>
        </w:rPr>
        <w:t xml:space="preserve">                   </w:t>
      </w:r>
      <w:r w:rsidR="005C6BAB">
        <w:rPr>
          <w:lang w:val="ru-RU"/>
        </w:rPr>
        <w:t xml:space="preserve">04 </w:t>
      </w:r>
      <w:proofErr w:type="spellStart"/>
      <w:r w:rsidR="003B3A23">
        <w:rPr>
          <w:lang w:val="ru-RU"/>
        </w:rPr>
        <w:t>серпня</w:t>
      </w:r>
      <w:proofErr w:type="spellEnd"/>
      <w:r w:rsidR="003B3A23">
        <w:rPr>
          <w:lang w:val="ru-RU"/>
        </w:rPr>
        <w:t xml:space="preserve"> </w:t>
      </w:r>
      <w:r w:rsidRPr="005C6BAB">
        <w:rPr>
          <w:lang w:val="ru-RU"/>
        </w:rPr>
        <w:t xml:space="preserve">2025 </w:t>
      </w:r>
      <w:r w:rsidRPr="005C6BAB">
        <w:t xml:space="preserve">року за </w:t>
      </w:r>
      <w:proofErr w:type="spellStart"/>
      <w:r w:rsidRPr="005C6BAB">
        <w:t>адресою</w:t>
      </w:r>
      <w:proofErr w:type="spellEnd"/>
      <w:r w:rsidRPr="005C6BAB">
        <w:t>: м. Вінниця, вул. Гонти, 39.</w:t>
      </w:r>
    </w:p>
    <w:p w14:paraId="69BD5513" w14:textId="77777777" w:rsidR="005C6BAB" w:rsidRPr="004F61CA" w:rsidRDefault="005C6BAB" w:rsidP="002031FB">
      <w:pPr>
        <w:ind w:firstLine="773"/>
        <w:jc w:val="both"/>
        <w:rPr>
          <w:b/>
          <w:bCs/>
        </w:rPr>
      </w:pPr>
    </w:p>
    <w:p w14:paraId="1654451C" w14:textId="71162EDA" w:rsidR="009979E0" w:rsidRPr="005C6BAB" w:rsidRDefault="007A2E83" w:rsidP="005C6BAB">
      <w:pPr>
        <w:tabs>
          <w:tab w:val="left" w:pos="0"/>
        </w:tabs>
        <w:ind w:right="-1" w:firstLine="709"/>
        <w:jc w:val="both"/>
      </w:pPr>
      <w:r w:rsidRPr="005C6BAB">
        <w:t>На</w:t>
      </w:r>
      <w:r w:rsidRPr="005C6BAB">
        <w:rPr>
          <w:lang w:eastAsia="en-US"/>
        </w:rPr>
        <w:t xml:space="preserve"> </w:t>
      </w:r>
      <w:r w:rsidR="00E24BB9" w:rsidRPr="004675EC">
        <w:rPr>
          <w:lang w:eastAsia="en-US"/>
        </w:rPr>
        <w:t>контролера</w:t>
      </w:r>
      <w:r w:rsidR="00E24BB9" w:rsidRPr="00637647">
        <w:rPr>
          <w:lang w:eastAsia="en-US"/>
        </w:rPr>
        <w:t xml:space="preserve"> І категорії (завідувач</w:t>
      </w:r>
      <w:r w:rsidR="00E24BB9">
        <w:rPr>
          <w:lang w:eastAsia="en-US"/>
        </w:rPr>
        <w:t>а</w:t>
      </w:r>
      <w:r w:rsidR="00E24BB9" w:rsidRPr="00637647">
        <w:rPr>
          <w:lang w:eastAsia="en-US"/>
        </w:rPr>
        <w:t xml:space="preserve"> складу матеріально-технічних засобів)</w:t>
      </w:r>
      <w:r w:rsidR="00E24BB9">
        <w:rPr>
          <w:lang w:eastAsia="en-US"/>
        </w:rPr>
        <w:t xml:space="preserve"> </w:t>
      </w:r>
      <w:r w:rsidR="00E24BB9" w:rsidRPr="00730739">
        <w:rPr>
          <w:rFonts w:eastAsiaTheme="minorHAnsi"/>
          <w:lang w:eastAsia="en-US" w:bidi="en-US"/>
        </w:rPr>
        <w:t>господарського взводу</w:t>
      </w:r>
      <w:r w:rsidR="005C6BAB" w:rsidRPr="005C6BAB">
        <w:rPr>
          <w:rFonts w:eastAsiaTheme="minorHAnsi"/>
          <w:lang w:eastAsia="en-US" w:bidi="en-US"/>
        </w:rPr>
        <w:t xml:space="preserve"> територіального управління Служби судової охорони у Вінницькій області</w:t>
      </w:r>
      <w:r w:rsidR="005C6BAB">
        <w:rPr>
          <w:rFonts w:eastAsiaTheme="minorHAnsi"/>
          <w:lang w:eastAsia="en-US" w:bidi="en-US"/>
        </w:rPr>
        <w:t xml:space="preserve"> </w:t>
      </w:r>
      <w:r w:rsidR="000A133D" w:rsidRPr="005C6BAB">
        <w:rPr>
          <w:rFonts w:eastAsiaTheme="minorHAnsi"/>
          <w:lang w:eastAsia="en-US" w:bidi="en-US"/>
        </w:rPr>
        <w:t xml:space="preserve">територіального управління Служби судової охорони у Вінницькій області </w:t>
      </w:r>
      <w:r w:rsidRPr="005C6BAB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12F4AB" w14:textId="77777777" w:rsidR="007A2E83" w:rsidRPr="002031FB" w:rsidRDefault="007A2E83" w:rsidP="007A2E83">
      <w:pPr>
        <w:spacing w:before="120" w:after="120" w:line="216" w:lineRule="auto"/>
        <w:ind w:firstLine="851"/>
        <w:jc w:val="both"/>
        <w:rPr>
          <w:lang w:val="ru-RU"/>
        </w:rPr>
      </w:pPr>
      <w:r w:rsidRPr="002031FB">
        <w:rPr>
          <w:b/>
        </w:rPr>
        <w:t xml:space="preserve">5. Місце, дата та час початку проведення конкурсу: </w:t>
      </w:r>
    </w:p>
    <w:p w14:paraId="2F560DF7" w14:textId="36C9DA52" w:rsidR="009979E0" w:rsidRPr="00E55ECD" w:rsidRDefault="007A2E83" w:rsidP="004F61CA">
      <w:pPr>
        <w:spacing w:before="120" w:after="120" w:line="216" w:lineRule="auto"/>
        <w:ind w:firstLine="851"/>
        <w:jc w:val="both"/>
        <w:rPr>
          <w:lang w:val="ru-RU"/>
        </w:rPr>
      </w:pPr>
      <w:r w:rsidRPr="002031FB">
        <w:rPr>
          <w:lang w:val="ru-RU"/>
        </w:rPr>
        <w:lastRenderedPageBreak/>
        <w:t xml:space="preserve">м. </w:t>
      </w:r>
      <w:proofErr w:type="spellStart"/>
      <w:r w:rsidRPr="002031FB">
        <w:rPr>
          <w:lang w:val="ru-RU"/>
        </w:rPr>
        <w:t>Вінниця</w:t>
      </w:r>
      <w:proofErr w:type="spellEnd"/>
      <w:r w:rsidRPr="002031FB">
        <w:rPr>
          <w:lang w:val="ru-RU"/>
        </w:rPr>
        <w:t xml:space="preserve">, </w:t>
      </w:r>
      <w:proofErr w:type="spellStart"/>
      <w:r w:rsidRPr="002031FB">
        <w:rPr>
          <w:lang w:val="ru-RU"/>
        </w:rPr>
        <w:t>вул</w:t>
      </w:r>
      <w:proofErr w:type="spellEnd"/>
      <w:r w:rsidRPr="002031FB">
        <w:rPr>
          <w:lang w:val="ru-RU"/>
        </w:rPr>
        <w:t xml:space="preserve">. </w:t>
      </w:r>
      <w:proofErr w:type="spellStart"/>
      <w:r w:rsidRPr="002031FB">
        <w:rPr>
          <w:lang w:val="ru-RU"/>
        </w:rPr>
        <w:t>Гонти</w:t>
      </w:r>
      <w:proofErr w:type="spellEnd"/>
      <w:r w:rsidRPr="002031FB">
        <w:rPr>
          <w:lang w:val="ru-RU"/>
        </w:rPr>
        <w:t xml:space="preserve">, 39, </w:t>
      </w:r>
      <w:proofErr w:type="spellStart"/>
      <w:r w:rsidRPr="002031FB">
        <w:rPr>
          <w:lang w:val="ru-RU"/>
        </w:rPr>
        <w:t>територіальне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управління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Служби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судової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охорони</w:t>
      </w:r>
      <w:proofErr w:type="spellEnd"/>
      <w:r w:rsidRPr="002031FB">
        <w:rPr>
          <w:lang w:val="ru-RU"/>
        </w:rPr>
        <w:t xml:space="preserve"> у </w:t>
      </w:r>
      <w:proofErr w:type="spellStart"/>
      <w:r w:rsidRPr="002031FB">
        <w:rPr>
          <w:lang w:val="ru-RU"/>
        </w:rPr>
        <w:t>Вінницькій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області</w:t>
      </w:r>
      <w:proofErr w:type="spellEnd"/>
      <w:r w:rsidRPr="002031FB">
        <w:rPr>
          <w:lang w:val="ru-RU"/>
        </w:rPr>
        <w:t xml:space="preserve"> з 0</w:t>
      </w:r>
      <w:r w:rsidR="001D765C">
        <w:rPr>
          <w:lang w:val="ru-RU"/>
        </w:rPr>
        <w:t>8</w:t>
      </w:r>
      <w:r w:rsidRPr="002031FB">
        <w:rPr>
          <w:lang w:val="ru-RU"/>
        </w:rPr>
        <w:t>.</w:t>
      </w:r>
      <w:r w:rsidR="001D765C">
        <w:rPr>
          <w:lang w:val="ru-RU"/>
        </w:rPr>
        <w:t>3</w:t>
      </w:r>
      <w:r w:rsidRPr="002031FB">
        <w:rPr>
          <w:lang w:val="ru-RU"/>
        </w:rPr>
        <w:t xml:space="preserve">0 год  </w:t>
      </w:r>
      <w:r w:rsidR="00B71EAC">
        <w:rPr>
          <w:lang w:val="ru-RU"/>
        </w:rPr>
        <w:t xml:space="preserve">07 </w:t>
      </w:r>
      <w:proofErr w:type="spellStart"/>
      <w:r w:rsidR="00B71EAC">
        <w:rPr>
          <w:lang w:val="ru-RU"/>
        </w:rPr>
        <w:t>серпня</w:t>
      </w:r>
      <w:proofErr w:type="spellEnd"/>
      <w:r w:rsidR="00B71EAC">
        <w:rPr>
          <w:lang w:val="ru-RU"/>
        </w:rPr>
        <w:t xml:space="preserve"> </w:t>
      </w:r>
      <w:r w:rsidRPr="002031FB">
        <w:rPr>
          <w:lang w:val="ru-RU"/>
        </w:rPr>
        <w:t>202</w:t>
      </w:r>
      <w:r w:rsidR="002031FB" w:rsidRPr="002031FB">
        <w:rPr>
          <w:lang w:val="ru-RU"/>
        </w:rPr>
        <w:t>5</w:t>
      </w:r>
      <w:r w:rsidRPr="002031FB">
        <w:rPr>
          <w:lang w:val="ru-RU"/>
        </w:rPr>
        <w:t xml:space="preserve"> року.</w:t>
      </w:r>
    </w:p>
    <w:p w14:paraId="5C729193" w14:textId="77777777" w:rsidR="007A2E83" w:rsidRPr="0039524D" w:rsidRDefault="007A2E83" w:rsidP="007A2E83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39524D">
        <w:rPr>
          <w:b/>
        </w:rPr>
        <w:t xml:space="preserve">6. </w:t>
      </w:r>
      <w:proofErr w:type="spellStart"/>
      <w:r w:rsidRPr="0039524D">
        <w:rPr>
          <w:b/>
          <w:snapToGrid w:val="0"/>
          <w:lang w:val="ru-RU"/>
        </w:rPr>
        <w:t>Контактний</w:t>
      </w:r>
      <w:proofErr w:type="spellEnd"/>
      <w:r w:rsidRPr="0039524D">
        <w:rPr>
          <w:b/>
          <w:snapToGrid w:val="0"/>
          <w:lang w:val="ru-RU"/>
        </w:rPr>
        <w:t xml:space="preserve"> номер </w:t>
      </w:r>
      <w:proofErr w:type="spellStart"/>
      <w:r w:rsidRPr="0039524D">
        <w:rPr>
          <w:b/>
          <w:snapToGrid w:val="0"/>
          <w:lang w:val="ru-RU"/>
        </w:rPr>
        <w:t>телеф</w:t>
      </w:r>
      <w:r w:rsidRPr="0039524D">
        <w:rPr>
          <w:b/>
          <w:snapToGrid w:val="0"/>
        </w:rPr>
        <w:t>ону</w:t>
      </w:r>
      <w:proofErr w:type="spellEnd"/>
      <w:r w:rsidRPr="0039524D">
        <w:rPr>
          <w:b/>
          <w:snapToGrid w:val="0"/>
        </w:rPr>
        <w:t xml:space="preserve"> та адреса електронної пошти </w:t>
      </w:r>
      <w:proofErr w:type="spellStart"/>
      <w:r w:rsidRPr="0039524D">
        <w:rPr>
          <w:b/>
          <w:snapToGrid w:val="0"/>
          <w:lang w:val="ru-RU"/>
        </w:rPr>
        <w:t>відділу</w:t>
      </w:r>
      <w:proofErr w:type="spellEnd"/>
      <w:r w:rsidRPr="0039524D">
        <w:rPr>
          <w:b/>
          <w:snapToGrid w:val="0"/>
          <w:lang w:val="ru-RU"/>
        </w:rPr>
        <w:t xml:space="preserve"> по </w:t>
      </w:r>
      <w:proofErr w:type="spellStart"/>
      <w:r w:rsidRPr="0039524D">
        <w:rPr>
          <w:b/>
          <w:snapToGrid w:val="0"/>
          <w:lang w:val="ru-RU"/>
        </w:rPr>
        <w:t>роботі</w:t>
      </w:r>
      <w:proofErr w:type="spellEnd"/>
      <w:r w:rsidRPr="0039524D">
        <w:rPr>
          <w:b/>
          <w:snapToGrid w:val="0"/>
          <w:lang w:val="ru-RU"/>
        </w:rPr>
        <w:t xml:space="preserve"> з персоналом </w:t>
      </w:r>
      <w:r w:rsidRPr="0039524D">
        <w:rPr>
          <w:b/>
          <w:snapToGrid w:val="0"/>
        </w:rPr>
        <w:t xml:space="preserve">для питань щодо проведення конкурсу: </w:t>
      </w:r>
    </w:p>
    <w:p w14:paraId="32478A59" w14:textId="77777777" w:rsidR="007A2E83" w:rsidRPr="0039524D" w:rsidRDefault="007A2E83" w:rsidP="007A2E83">
      <w:pPr>
        <w:ind w:firstLine="709"/>
        <w:jc w:val="both"/>
      </w:pPr>
      <w:proofErr w:type="spellStart"/>
      <w:r w:rsidRPr="0039524D">
        <w:t>тел</w:t>
      </w:r>
      <w:proofErr w:type="spellEnd"/>
      <w:r w:rsidRPr="0039524D">
        <w:t xml:space="preserve">. 096-015-37-37; </w:t>
      </w:r>
      <w:proofErr w:type="spellStart"/>
      <w:r w:rsidRPr="0039524D">
        <w:rPr>
          <w:lang w:val="en-US"/>
        </w:rPr>
        <w:t>vrp</w:t>
      </w:r>
      <w:proofErr w:type="spellEnd"/>
      <w:r w:rsidRPr="0039524D">
        <w:rPr>
          <w:lang w:val="ru-RU"/>
        </w:rPr>
        <w:t>.</w:t>
      </w:r>
      <w:proofErr w:type="spellStart"/>
      <w:r w:rsidRPr="0039524D">
        <w:rPr>
          <w:lang w:val="en-US"/>
        </w:rPr>
        <w:t>vn</w:t>
      </w:r>
      <w:proofErr w:type="spellEnd"/>
      <w:r w:rsidRPr="0039524D">
        <w:rPr>
          <w:lang w:val="ru-RU"/>
        </w:rPr>
        <w:t>@</w:t>
      </w:r>
      <w:proofErr w:type="spellStart"/>
      <w:r w:rsidRPr="0039524D">
        <w:rPr>
          <w:lang w:val="en-US"/>
        </w:rPr>
        <w:t>sso</w:t>
      </w:r>
      <w:proofErr w:type="spellEnd"/>
      <w:r w:rsidRPr="0039524D">
        <w:rPr>
          <w:lang w:val="ru-RU"/>
        </w:rPr>
        <w:t>.</w:t>
      </w:r>
      <w:r w:rsidRPr="0039524D">
        <w:rPr>
          <w:lang w:val="en-US"/>
        </w:rPr>
        <w:t>gov</w:t>
      </w:r>
      <w:r w:rsidRPr="0039524D">
        <w:rPr>
          <w:lang w:val="ru-RU"/>
        </w:rPr>
        <w:t>.</w:t>
      </w:r>
      <w:proofErr w:type="spellStart"/>
      <w:r w:rsidRPr="0039524D">
        <w:rPr>
          <w:lang w:val="en-US"/>
        </w:rPr>
        <w:t>ua</w:t>
      </w:r>
      <w:proofErr w:type="spellEnd"/>
    </w:p>
    <w:p w14:paraId="7D9338EB" w14:textId="77777777" w:rsidR="007A2E83" w:rsidRPr="0039524D" w:rsidRDefault="007A2E83" w:rsidP="007A2E83">
      <w:pPr>
        <w:spacing w:before="240" w:after="240"/>
        <w:jc w:val="center"/>
        <w:rPr>
          <w:b/>
        </w:rPr>
      </w:pPr>
      <w:r w:rsidRPr="0039524D">
        <w:rPr>
          <w:b/>
        </w:rPr>
        <w:t>Кваліфікаційні вимоги</w:t>
      </w:r>
    </w:p>
    <w:tbl>
      <w:tblPr>
        <w:tblW w:w="10012" w:type="dxa"/>
        <w:tblInd w:w="-142" w:type="dxa"/>
        <w:tblLook w:val="04A0" w:firstRow="1" w:lastRow="0" w:firstColumn="1" w:lastColumn="0" w:noHBand="0" w:noVBand="1"/>
      </w:tblPr>
      <w:tblGrid>
        <w:gridCol w:w="142"/>
        <w:gridCol w:w="3294"/>
        <w:gridCol w:w="796"/>
        <w:gridCol w:w="187"/>
        <w:gridCol w:w="5502"/>
        <w:gridCol w:w="91"/>
      </w:tblGrid>
      <w:tr w:rsidR="007A2E83" w:rsidRPr="00E57B4D" w14:paraId="1BB4FF29" w14:textId="77777777" w:rsidTr="00E55ECD">
        <w:trPr>
          <w:gridBefore w:val="1"/>
          <w:wBefore w:w="142" w:type="dxa"/>
          <w:trHeight w:val="571"/>
        </w:trPr>
        <w:tc>
          <w:tcPr>
            <w:tcW w:w="4090" w:type="dxa"/>
            <w:gridSpan w:val="2"/>
            <w:hideMark/>
          </w:tcPr>
          <w:p w14:paraId="13FB7F3E" w14:textId="77777777" w:rsidR="007A2E83" w:rsidRPr="00FA476B" w:rsidRDefault="007A2E83" w:rsidP="00CB4E92">
            <w:pPr>
              <w:spacing w:line="254" w:lineRule="auto"/>
              <w:jc w:val="both"/>
            </w:pPr>
            <w:r w:rsidRPr="00FA476B">
              <w:t>1. Освіта</w:t>
            </w:r>
          </w:p>
        </w:tc>
        <w:tc>
          <w:tcPr>
            <w:tcW w:w="5780" w:type="dxa"/>
            <w:gridSpan w:val="3"/>
          </w:tcPr>
          <w:p w14:paraId="324D2858" w14:textId="77777777" w:rsidR="007A2E83" w:rsidRPr="00FA476B" w:rsidRDefault="007A2E83" w:rsidP="00CB4E92">
            <w:pPr>
              <w:ind w:left="6" w:right="-3" w:hanging="6"/>
              <w:contextualSpacing/>
              <w:jc w:val="both"/>
            </w:pPr>
            <w:r w:rsidRPr="00FA476B">
              <w:t>повна загальна середня освіта.</w:t>
            </w:r>
          </w:p>
          <w:p w14:paraId="551181FF" w14:textId="77777777" w:rsidR="007A2E83" w:rsidRPr="00FA476B" w:rsidRDefault="007A2E83" w:rsidP="00CB4E92">
            <w:pPr>
              <w:ind w:left="6" w:hanging="6"/>
              <w:contextualSpacing/>
              <w:jc w:val="both"/>
            </w:pPr>
          </w:p>
        </w:tc>
      </w:tr>
      <w:tr w:rsidR="007A2E83" w:rsidRPr="00E57B4D" w14:paraId="031CD063" w14:textId="77777777" w:rsidTr="00E55ECD">
        <w:trPr>
          <w:gridBefore w:val="1"/>
          <w:wBefore w:w="142" w:type="dxa"/>
          <w:trHeight w:val="1053"/>
        </w:trPr>
        <w:tc>
          <w:tcPr>
            <w:tcW w:w="4090" w:type="dxa"/>
            <w:gridSpan w:val="2"/>
            <w:hideMark/>
          </w:tcPr>
          <w:p w14:paraId="09AD947A" w14:textId="77777777" w:rsidR="007A2E83" w:rsidRPr="00FA476B" w:rsidRDefault="007A2E83" w:rsidP="00CB4E92">
            <w:pPr>
              <w:spacing w:line="254" w:lineRule="auto"/>
              <w:jc w:val="both"/>
            </w:pPr>
            <w:r w:rsidRPr="00FA476B">
              <w:t>2. Досвід роботи</w:t>
            </w:r>
          </w:p>
        </w:tc>
        <w:tc>
          <w:tcPr>
            <w:tcW w:w="5780" w:type="dxa"/>
            <w:gridSpan w:val="3"/>
          </w:tcPr>
          <w:p w14:paraId="6325B1DC" w14:textId="77777777" w:rsidR="007A2E83" w:rsidRPr="00FA476B" w:rsidRDefault="007A2E83" w:rsidP="00CB4E92">
            <w:pPr>
              <w:ind w:left="6" w:hanging="6"/>
              <w:contextualSpacing/>
              <w:jc w:val="both"/>
            </w:pPr>
            <w:r w:rsidRPr="00FA476B">
              <w:t xml:space="preserve">досвід роботи в державних органах влади, органах системи правосуддя, правоохоронних органах чи військових формуваннях – не менше ніж 1 рік </w:t>
            </w:r>
            <w:r w:rsidRPr="00FA476B">
              <w:rPr>
                <w:i/>
                <w:iCs/>
              </w:rPr>
              <w:t>(надати підтверджуючі документи)</w:t>
            </w:r>
            <w:r w:rsidRPr="00FA476B">
              <w:t>.</w:t>
            </w:r>
          </w:p>
          <w:p w14:paraId="38251ED6" w14:textId="77777777" w:rsidR="007A2E83" w:rsidRPr="00FA476B" w:rsidRDefault="007A2E83" w:rsidP="00CB4E92">
            <w:pPr>
              <w:ind w:left="6" w:hanging="6"/>
              <w:contextualSpacing/>
              <w:jc w:val="both"/>
            </w:pPr>
            <w:r w:rsidRPr="00FA476B">
              <w:t xml:space="preserve"> </w:t>
            </w:r>
          </w:p>
        </w:tc>
      </w:tr>
      <w:tr w:rsidR="007A2E83" w:rsidRPr="00E57B4D" w14:paraId="51B302CC" w14:textId="77777777" w:rsidTr="00E55ECD">
        <w:trPr>
          <w:gridBefore w:val="1"/>
          <w:wBefore w:w="142" w:type="dxa"/>
          <w:trHeight w:val="691"/>
        </w:trPr>
        <w:tc>
          <w:tcPr>
            <w:tcW w:w="4090" w:type="dxa"/>
            <w:gridSpan w:val="2"/>
            <w:hideMark/>
          </w:tcPr>
          <w:p w14:paraId="037314E0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3. Володіння державною</w:t>
            </w:r>
          </w:p>
          <w:p w14:paraId="70F47D9C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мовою</w:t>
            </w:r>
          </w:p>
        </w:tc>
        <w:tc>
          <w:tcPr>
            <w:tcW w:w="5780" w:type="dxa"/>
            <w:gridSpan w:val="3"/>
            <w:hideMark/>
          </w:tcPr>
          <w:p w14:paraId="6E83CF42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вільне володіння державною мовою.</w:t>
            </w:r>
          </w:p>
        </w:tc>
      </w:tr>
      <w:tr w:rsidR="00E55ECD" w:rsidRPr="005E2DA8" w14:paraId="3772FFFB" w14:textId="77777777" w:rsidTr="00E55ECD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482E68B0" w14:textId="77777777" w:rsidR="00E55ECD" w:rsidRPr="005E2DA8" w:rsidRDefault="00E55ECD" w:rsidP="00E55ECD">
            <w:pPr>
              <w:spacing w:line="254" w:lineRule="auto"/>
              <w:jc w:val="center"/>
              <w:rPr>
                <w:b/>
              </w:rPr>
            </w:pPr>
            <w:r w:rsidRPr="005E2DA8">
              <w:rPr>
                <w:b/>
              </w:rPr>
              <w:t>Вимоги до компетентності</w:t>
            </w:r>
          </w:p>
        </w:tc>
      </w:tr>
      <w:tr w:rsidR="00E55ECD" w:rsidRPr="005E2DA8" w14:paraId="274FEFBF" w14:textId="77777777" w:rsidTr="00E55ECD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51D30411" w14:textId="77777777" w:rsidR="00E55ECD" w:rsidRPr="005E2DA8" w:rsidRDefault="00E55ECD" w:rsidP="00163762">
            <w:pPr>
              <w:spacing w:line="254" w:lineRule="auto"/>
              <w:rPr>
                <w:b/>
              </w:rPr>
            </w:pPr>
          </w:p>
        </w:tc>
      </w:tr>
      <w:tr w:rsidR="00E55ECD" w:rsidRPr="005E2DA8" w14:paraId="65862F6F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40AD379F" w14:textId="77777777" w:rsidR="00E55ECD" w:rsidRPr="005E2DA8" w:rsidRDefault="00E55ECD" w:rsidP="00163762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593" w:type="dxa"/>
            <w:gridSpan w:val="2"/>
            <w:hideMark/>
          </w:tcPr>
          <w:p w14:paraId="503BA24E" w14:textId="77777777" w:rsidR="00E55ECD" w:rsidRPr="005E2DA8" w:rsidRDefault="00E55ECD" w:rsidP="00E55ECD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1CF38594" w14:textId="3BC38D84" w:rsidR="00E55ECD" w:rsidRPr="00F117B5" w:rsidRDefault="00E55ECD" w:rsidP="00F117B5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F117B5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  <w:r w:rsidR="00F117B5">
              <w:rPr>
                <w:lang w:val="ru-RU"/>
              </w:rPr>
              <w:t xml:space="preserve"> </w:t>
            </w: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45583F6E" w14:textId="77777777" w:rsidR="00E55ECD" w:rsidRPr="005E2DA8" w:rsidRDefault="00E55ECD" w:rsidP="00E55ECD">
            <w:pPr>
              <w:spacing w:line="254" w:lineRule="auto"/>
              <w:ind w:left="156"/>
              <w:jc w:val="both"/>
            </w:pPr>
          </w:p>
        </w:tc>
      </w:tr>
      <w:tr w:rsidR="00E55ECD" w:rsidRPr="005E2DA8" w14:paraId="7EE05641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10CF73C7" w14:textId="77777777" w:rsidR="00F117B5" w:rsidRDefault="00F117B5" w:rsidP="00163762">
            <w:pPr>
              <w:spacing w:line="254" w:lineRule="auto"/>
              <w:ind w:left="-105"/>
            </w:pPr>
          </w:p>
          <w:p w14:paraId="67D6924F" w14:textId="013CB3EE" w:rsidR="00E55ECD" w:rsidRPr="005E2DA8" w:rsidRDefault="00E55ECD" w:rsidP="00163762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593" w:type="dxa"/>
            <w:gridSpan w:val="2"/>
          </w:tcPr>
          <w:p w14:paraId="6FB5EF29" w14:textId="77777777" w:rsidR="00F117B5" w:rsidRDefault="00F117B5" w:rsidP="00E55ECD">
            <w:pPr>
              <w:spacing w:line="254" w:lineRule="auto"/>
              <w:ind w:left="156"/>
              <w:jc w:val="both"/>
            </w:pPr>
          </w:p>
          <w:p w14:paraId="2DB7CA80" w14:textId="01994342" w:rsidR="00E55ECD" w:rsidRPr="005E2DA8" w:rsidRDefault="00E55ECD" w:rsidP="00E55ECD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E55ECD" w:rsidRPr="005E2DA8" w14:paraId="29294AEB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7F59FFEF" w14:textId="77777777" w:rsidR="00E55ECD" w:rsidRPr="005E2DA8" w:rsidRDefault="00E55ECD" w:rsidP="00163762">
            <w:pPr>
              <w:spacing w:line="254" w:lineRule="auto"/>
              <w:ind w:left="-105"/>
            </w:pPr>
          </w:p>
          <w:p w14:paraId="3ABC6BA3" w14:textId="77777777" w:rsidR="00E55ECD" w:rsidRPr="005E2DA8" w:rsidRDefault="00E55ECD" w:rsidP="00163762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593" w:type="dxa"/>
            <w:gridSpan w:val="2"/>
          </w:tcPr>
          <w:p w14:paraId="697A10C6" w14:textId="77777777" w:rsidR="00E55ECD" w:rsidRPr="005E2DA8" w:rsidRDefault="00E55ECD" w:rsidP="00163762">
            <w:pPr>
              <w:spacing w:line="254" w:lineRule="auto"/>
              <w:ind w:left="156"/>
              <w:jc w:val="both"/>
            </w:pPr>
          </w:p>
          <w:p w14:paraId="0AE25D7D" w14:textId="77777777" w:rsidR="00E55ECD" w:rsidRPr="005E2DA8" w:rsidRDefault="00E55ECD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E55ECD" w:rsidRPr="005E2DA8" w14:paraId="19ECF3C0" w14:textId="77777777" w:rsidTr="00E55ECD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49F0C48E" w14:textId="77777777" w:rsidR="00F117B5" w:rsidRDefault="00F117B5" w:rsidP="00163762">
            <w:pPr>
              <w:spacing w:before="240" w:line="257" w:lineRule="auto"/>
              <w:rPr>
                <w:lang w:val="ru-RU"/>
              </w:rPr>
            </w:pPr>
          </w:p>
          <w:p w14:paraId="302BF04A" w14:textId="5818C956" w:rsidR="00E55ECD" w:rsidRPr="005E2DA8" w:rsidRDefault="00E55ECD" w:rsidP="00163762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485" w:type="dxa"/>
            <w:gridSpan w:val="3"/>
          </w:tcPr>
          <w:p w14:paraId="10E516C2" w14:textId="77777777" w:rsidR="00F117B5" w:rsidRDefault="00F117B5" w:rsidP="00E55EC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7BD4F804" w14:textId="77777777" w:rsidR="00F117B5" w:rsidRDefault="00F117B5" w:rsidP="00E55EC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51753E89" w14:textId="3FA6C4B4" w:rsidR="00E55ECD" w:rsidRPr="005E2DA8" w:rsidRDefault="00E55ECD" w:rsidP="00E55EC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 xml:space="preserve"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</w:t>
            </w:r>
            <w:r w:rsidRPr="005E2DA8">
              <w:rPr>
                <w:shd w:val="clear" w:color="auto" w:fill="FFFFFF"/>
              </w:rPr>
              <w:lastRenderedPageBreak/>
              <w:t>себе зобов’язання, чітко їх дотримуватись і виконувати.</w:t>
            </w:r>
          </w:p>
        </w:tc>
      </w:tr>
      <w:tr w:rsidR="00E55ECD" w:rsidRPr="005E2DA8" w14:paraId="161B70DE" w14:textId="77777777" w:rsidTr="00E55ECD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28C39500" w14:textId="77777777" w:rsidR="00F117B5" w:rsidRDefault="00F117B5" w:rsidP="00163762">
            <w:pPr>
              <w:spacing w:line="257" w:lineRule="auto"/>
            </w:pPr>
          </w:p>
          <w:p w14:paraId="2F3572D6" w14:textId="4B1CBE76" w:rsidR="00E55ECD" w:rsidRPr="005E2DA8" w:rsidRDefault="00E55ECD" w:rsidP="00163762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485" w:type="dxa"/>
            <w:gridSpan w:val="3"/>
          </w:tcPr>
          <w:p w14:paraId="709CD177" w14:textId="77777777" w:rsidR="00F117B5" w:rsidRDefault="00F117B5" w:rsidP="00E55ECD">
            <w:pPr>
              <w:spacing w:line="252" w:lineRule="auto"/>
              <w:ind w:left="1131"/>
              <w:jc w:val="both"/>
            </w:pPr>
          </w:p>
          <w:p w14:paraId="30834745" w14:textId="343BAE5C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принциповість, рішучість і вимогливість під час прийняття рішень;</w:t>
            </w:r>
          </w:p>
          <w:p w14:paraId="3751FF81" w14:textId="77777777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системність;</w:t>
            </w:r>
          </w:p>
          <w:p w14:paraId="5FC3BEBE" w14:textId="77777777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самоорганізація та саморозвиток;</w:t>
            </w:r>
          </w:p>
          <w:p w14:paraId="737978C7" w14:textId="77777777" w:rsidR="00E55ECD" w:rsidRPr="005E2DA8" w:rsidRDefault="00E55ECD" w:rsidP="00E55ECD">
            <w:pPr>
              <w:spacing w:line="257" w:lineRule="auto"/>
              <w:ind w:left="1131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E55ECD" w:rsidRPr="005E2DA8" w14:paraId="6F2CECAB" w14:textId="77777777" w:rsidTr="00E55ECD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870"/>
        </w:trPr>
        <w:tc>
          <w:tcPr>
            <w:tcW w:w="3436" w:type="dxa"/>
            <w:gridSpan w:val="2"/>
          </w:tcPr>
          <w:p w14:paraId="35C5B0D1" w14:textId="77777777" w:rsidR="00E55ECD" w:rsidRPr="005E2DA8" w:rsidRDefault="00E55ECD" w:rsidP="00163762">
            <w:pPr>
              <w:spacing w:line="257" w:lineRule="auto"/>
            </w:pPr>
          </w:p>
          <w:p w14:paraId="7C1D164B" w14:textId="77777777" w:rsidR="00E55ECD" w:rsidRPr="005E2DA8" w:rsidRDefault="00E55ECD" w:rsidP="00163762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485" w:type="dxa"/>
            <w:gridSpan w:val="3"/>
          </w:tcPr>
          <w:p w14:paraId="02ED2952" w14:textId="77777777" w:rsidR="00E55ECD" w:rsidRPr="005E2DA8" w:rsidRDefault="00E55ECD" w:rsidP="00163762">
            <w:pPr>
              <w:spacing w:line="252" w:lineRule="auto"/>
              <w:ind w:left="1273"/>
              <w:jc w:val="both"/>
            </w:pPr>
          </w:p>
          <w:p w14:paraId="5F56DBD2" w14:textId="77777777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</w:p>
          <w:p w14:paraId="223BE780" w14:textId="77777777" w:rsidR="00E55ECD" w:rsidRPr="005E2DA8" w:rsidRDefault="00E55ECD" w:rsidP="00E55ECD">
            <w:pPr>
              <w:spacing w:line="257" w:lineRule="auto"/>
              <w:ind w:left="1131"/>
              <w:jc w:val="both"/>
              <w:rPr>
                <w:lang w:val="ru-RU"/>
              </w:rPr>
            </w:pP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tr w:rsidR="007A2E83" w:rsidRPr="00E57B4D" w14:paraId="4981AEAE" w14:textId="77777777" w:rsidTr="00E55ECD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  <w:hideMark/>
          </w:tcPr>
          <w:p w14:paraId="5BE9C2F3" w14:textId="77777777" w:rsidR="007A2E83" w:rsidRPr="00E57B4D" w:rsidRDefault="007A2E83" w:rsidP="00E55ECD">
            <w:pPr>
              <w:spacing w:line="254" w:lineRule="auto"/>
              <w:rPr>
                <w:b/>
              </w:rPr>
            </w:pPr>
          </w:p>
          <w:p w14:paraId="31E8C2B0" w14:textId="77777777" w:rsidR="007A2E83" w:rsidRPr="00E57B4D" w:rsidRDefault="007A2E83" w:rsidP="00CB4E92">
            <w:pPr>
              <w:spacing w:line="254" w:lineRule="auto"/>
              <w:jc w:val="center"/>
              <w:rPr>
                <w:b/>
              </w:rPr>
            </w:pPr>
            <w:r w:rsidRPr="00E57B4D">
              <w:rPr>
                <w:b/>
              </w:rPr>
              <w:t>Професійні знання</w:t>
            </w:r>
          </w:p>
        </w:tc>
      </w:tr>
      <w:tr w:rsidR="007A2E83" w:rsidRPr="00E57B4D" w14:paraId="3AE8E8B3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0F1733C3" w14:textId="77777777" w:rsidR="007A2E83" w:rsidRPr="00E57B4D" w:rsidRDefault="007A2E83" w:rsidP="00CB4E92">
            <w:pPr>
              <w:spacing w:line="254" w:lineRule="auto"/>
            </w:pPr>
            <w:r w:rsidRPr="00E57B4D">
              <w:t>1. Знання законодавства</w:t>
            </w:r>
          </w:p>
        </w:tc>
        <w:tc>
          <w:tcPr>
            <w:tcW w:w="5593" w:type="dxa"/>
            <w:gridSpan w:val="2"/>
            <w:hideMark/>
          </w:tcPr>
          <w:p w14:paraId="08297E8F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7A2E83" w:rsidRPr="00E57B4D" w14:paraId="38CEB253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1433F013" w14:textId="77777777" w:rsidR="007A2E83" w:rsidRPr="00E57B4D" w:rsidRDefault="007A2E83" w:rsidP="00CB4E92">
            <w:pPr>
              <w:spacing w:line="254" w:lineRule="auto"/>
            </w:pPr>
            <w:r w:rsidRPr="00E57B4D">
              <w:t xml:space="preserve">2. Знання спеціального законодавства </w:t>
            </w:r>
          </w:p>
        </w:tc>
        <w:tc>
          <w:tcPr>
            <w:tcW w:w="5593" w:type="dxa"/>
            <w:gridSpan w:val="2"/>
          </w:tcPr>
          <w:p w14:paraId="278DC299" w14:textId="77777777" w:rsidR="007A2E83" w:rsidRPr="00E57B4D" w:rsidRDefault="007A2E83" w:rsidP="00CB4E92">
            <w:pPr>
              <w:spacing w:line="254" w:lineRule="auto"/>
              <w:ind w:left="88"/>
              <w:contextualSpacing/>
              <w:jc w:val="both"/>
            </w:pPr>
            <w:r w:rsidRPr="00E57B4D">
              <w:t>знання:</w:t>
            </w:r>
          </w:p>
          <w:p w14:paraId="046F3C2E" w14:textId="77777777" w:rsidR="007A2E83" w:rsidRPr="00E57B4D" w:rsidRDefault="007A2E83" w:rsidP="00CB4E92">
            <w:pPr>
              <w:spacing w:line="254" w:lineRule="auto"/>
              <w:ind w:left="88"/>
              <w:contextualSpacing/>
              <w:jc w:val="both"/>
            </w:pPr>
            <w:r w:rsidRPr="00E57B4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3A6466F6" w14:textId="77777777" w:rsidR="007A2E83" w:rsidRPr="00E57B4D" w:rsidRDefault="007A2E83" w:rsidP="00CB4E92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E57B4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3B051DB3" w14:textId="7237FC8F" w:rsidR="005E2A36" w:rsidRPr="00396445" w:rsidRDefault="005E2A36" w:rsidP="005E2A36">
      <w:pPr>
        <w:jc w:val="both"/>
        <w:rPr>
          <w:i/>
        </w:rPr>
      </w:pPr>
    </w:p>
    <w:sectPr w:rsidR="005E2A36" w:rsidRPr="00396445" w:rsidSect="00F117B5">
      <w:pgSz w:w="11906" w:h="16838"/>
      <w:pgMar w:top="851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0A133D"/>
    <w:rsid w:val="00116072"/>
    <w:rsid w:val="00125833"/>
    <w:rsid w:val="00157654"/>
    <w:rsid w:val="00166842"/>
    <w:rsid w:val="00173ADB"/>
    <w:rsid w:val="0018701D"/>
    <w:rsid w:val="001B4758"/>
    <w:rsid w:val="001D24D1"/>
    <w:rsid w:val="001D6A37"/>
    <w:rsid w:val="001D765C"/>
    <w:rsid w:val="001E11CF"/>
    <w:rsid w:val="002031FB"/>
    <w:rsid w:val="002039ED"/>
    <w:rsid w:val="0025168F"/>
    <w:rsid w:val="002740BD"/>
    <w:rsid w:val="002853B1"/>
    <w:rsid w:val="0028639D"/>
    <w:rsid w:val="002967BA"/>
    <w:rsid w:val="002A4F3C"/>
    <w:rsid w:val="002B1424"/>
    <w:rsid w:val="002D6569"/>
    <w:rsid w:val="00310801"/>
    <w:rsid w:val="003114BA"/>
    <w:rsid w:val="00353BCF"/>
    <w:rsid w:val="003650B2"/>
    <w:rsid w:val="00370943"/>
    <w:rsid w:val="00383764"/>
    <w:rsid w:val="00396445"/>
    <w:rsid w:val="003B3A23"/>
    <w:rsid w:val="003D7E54"/>
    <w:rsid w:val="003F6A8A"/>
    <w:rsid w:val="00454DA7"/>
    <w:rsid w:val="0047204D"/>
    <w:rsid w:val="004730FA"/>
    <w:rsid w:val="004A26A4"/>
    <w:rsid w:val="004B0E36"/>
    <w:rsid w:val="004B3F98"/>
    <w:rsid w:val="004C1F87"/>
    <w:rsid w:val="004C526C"/>
    <w:rsid w:val="004D6B2D"/>
    <w:rsid w:val="004F61CA"/>
    <w:rsid w:val="00507CC1"/>
    <w:rsid w:val="00514950"/>
    <w:rsid w:val="005203ED"/>
    <w:rsid w:val="00520493"/>
    <w:rsid w:val="00553A34"/>
    <w:rsid w:val="00562856"/>
    <w:rsid w:val="00566910"/>
    <w:rsid w:val="005744E7"/>
    <w:rsid w:val="0058026F"/>
    <w:rsid w:val="00594AFE"/>
    <w:rsid w:val="005C6BAB"/>
    <w:rsid w:val="005D3B93"/>
    <w:rsid w:val="005D7C81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1872"/>
    <w:rsid w:val="007A2E83"/>
    <w:rsid w:val="007A6929"/>
    <w:rsid w:val="00801F43"/>
    <w:rsid w:val="00827488"/>
    <w:rsid w:val="00877899"/>
    <w:rsid w:val="00894215"/>
    <w:rsid w:val="00895547"/>
    <w:rsid w:val="008A19C6"/>
    <w:rsid w:val="008B7B2E"/>
    <w:rsid w:val="008F697D"/>
    <w:rsid w:val="00953263"/>
    <w:rsid w:val="00965AD6"/>
    <w:rsid w:val="00973CCF"/>
    <w:rsid w:val="00980E7C"/>
    <w:rsid w:val="00996AF1"/>
    <w:rsid w:val="009979E0"/>
    <w:rsid w:val="00A52E6E"/>
    <w:rsid w:val="00A7197C"/>
    <w:rsid w:val="00AB54FC"/>
    <w:rsid w:val="00AC1032"/>
    <w:rsid w:val="00AD76ED"/>
    <w:rsid w:val="00AF2478"/>
    <w:rsid w:val="00B44A5E"/>
    <w:rsid w:val="00B53460"/>
    <w:rsid w:val="00B71EAC"/>
    <w:rsid w:val="00B8499C"/>
    <w:rsid w:val="00B92F64"/>
    <w:rsid w:val="00C060BB"/>
    <w:rsid w:val="00C22490"/>
    <w:rsid w:val="00C35A8C"/>
    <w:rsid w:val="00C707A1"/>
    <w:rsid w:val="00C749CC"/>
    <w:rsid w:val="00C83BD3"/>
    <w:rsid w:val="00C83F62"/>
    <w:rsid w:val="00C8775F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540C"/>
    <w:rsid w:val="00D66A01"/>
    <w:rsid w:val="00D91900"/>
    <w:rsid w:val="00DA4BBF"/>
    <w:rsid w:val="00DC4C0F"/>
    <w:rsid w:val="00DD7F04"/>
    <w:rsid w:val="00E2130D"/>
    <w:rsid w:val="00E236DD"/>
    <w:rsid w:val="00E24BB9"/>
    <w:rsid w:val="00E41E71"/>
    <w:rsid w:val="00E55ECD"/>
    <w:rsid w:val="00E67320"/>
    <w:rsid w:val="00E923FB"/>
    <w:rsid w:val="00ED0E67"/>
    <w:rsid w:val="00ED7EA6"/>
    <w:rsid w:val="00F01C4E"/>
    <w:rsid w:val="00F117B5"/>
    <w:rsid w:val="00F57113"/>
    <w:rsid w:val="00FB7767"/>
    <w:rsid w:val="00FB7910"/>
    <w:rsid w:val="00FE3F7D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33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4506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28</cp:revision>
  <cp:lastPrinted>2025-02-12T13:09:00Z</cp:lastPrinted>
  <dcterms:created xsi:type="dcterms:W3CDTF">2025-04-02T08:01:00Z</dcterms:created>
  <dcterms:modified xsi:type="dcterms:W3CDTF">2025-06-27T07:41:00Z</dcterms:modified>
</cp:coreProperties>
</file>