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4" w:rsidRPr="0012124F" w:rsidRDefault="00E01411" w:rsidP="00753EA4">
      <w:pPr>
        <w:rPr>
          <w:rFonts w:ascii="Roboto Condensed Light" w:hAnsi="Roboto Condensed Light"/>
          <w:sz w:val="28"/>
          <w:szCs w:val="28"/>
        </w:rPr>
      </w:pPr>
      <w:r w:rsidRPr="0012124F">
        <w:rPr>
          <w:rFonts w:ascii="Roboto Condensed Light" w:hAnsi="Roboto Condensed Light"/>
          <w:noProof/>
          <w:sz w:val="28"/>
          <w:szCs w:val="28"/>
          <w:lang w:eastAsia="uk-UA"/>
        </w:rPr>
        <w:drawing>
          <wp:inline distT="0" distB="0" distL="0" distR="0" wp14:anchorId="0C42AE63" wp14:editId="7528C582">
            <wp:extent cx="932698" cy="1162050"/>
            <wp:effectExtent l="0" t="0" r="1270" b="0"/>
            <wp:docPr id="1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2698" cy="1162050"/>
                    </a:xfrm>
                    <a:prstGeom prst="rect">
                      <a:avLst/>
                    </a:prstGeom>
                    <a:noFill/>
                    <a:ln>
                      <a:noFill/>
                    </a:ln>
                  </pic:spPr>
                </pic:pic>
              </a:graphicData>
            </a:graphic>
          </wp:inline>
        </w:drawing>
      </w:r>
    </w:p>
    <w:p w:rsidR="005F3B50" w:rsidRDefault="005F3B50" w:rsidP="00753EA4">
      <w:pPr>
        <w:rPr>
          <w:rFonts w:ascii="Roboto Condensed Light" w:hAnsi="Roboto Condensed Light"/>
          <w:sz w:val="28"/>
          <w:szCs w:val="28"/>
        </w:rPr>
      </w:pPr>
    </w:p>
    <w:p w:rsidR="005F3B50" w:rsidRPr="005F3B50" w:rsidRDefault="005F3B50" w:rsidP="00753EA4">
      <w:pPr>
        <w:rPr>
          <w:rFonts w:ascii="Roboto Condensed Light" w:hAnsi="Roboto Condensed Light"/>
          <w:b/>
          <w:sz w:val="28"/>
          <w:szCs w:val="28"/>
        </w:rPr>
      </w:pPr>
      <w:r w:rsidRPr="005F3B50">
        <w:rPr>
          <w:rFonts w:ascii="Roboto Condensed Light" w:hAnsi="Roboto Condensed Light"/>
          <w:b/>
          <w:sz w:val="28"/>
          <w:szCs w:val="28"/>
        </w:rPr>
        <w:t xml:space="preserve">Ухвала Верховного Суду від 07.11.2024 № </w:t>
      </w:r>
      <w:proofErr w:type="spellStart"/>
      <w:r w:rsidRPr="005F3B50">
        <w:rPr>
          <w:rFonts w:ascii="Roboto Condensed Light" w:hAnsi="Roboto Condensed Light"/>
          <w:b/>
          <w:sz w:val="28"/>
          <w:szCs w:val="28"/>
        </w:rPr>
        <w:t>Пз</w:t>
      </w:r>
      <w:proofErr w:type="spellEnd"/>
      <w:r w:rsidRPr="005F3B50">
        <w:rPr>
          <w:rFonts w:ascii="Roboto Condensed Light" w:hAnsi="Roboto Condensed Light"/>
          <w:b/>
          <w:sz w:val="28"/>
          <w:szCs w:val="28"/>
        </w:rPr>
        <w:t>/990/11/24</w:t>
      </w:r>
      <w:r w:rsidRPr="005F3B50">
        <w:rPr>
          <w:rFonts w:ascii="Roboto Condensed Light" w:hAnsi="Roboto Condensed Light"/>
          <w:b/>
          <w:sz w:val="28"/>
          <w:szCs w:val="28"/>
        </w:rPr>
        <w:t xml:space="preserve"> (№ </w:t>
      </w:r>
      <w:r w:rsidRPr="005F3B50">
        <w:rPr>
          <w:rFonts w:ascii="Roboto Condensed Light" w:hAnsi="Roboto Condensed Light"/>
          <w:b/>
          <w:sz w:val="28"/>
          <w:szCs w:val="28"/>
        </w:rPr>
        <w:t>400/6254/24</w:t>
      </w:r>
      <w:r w:rsidRPr="005F3B50">
        <w:rPr>
          <w:rFonts w:ascii="Roboto Condensed Light" w:hAnsi="Roboto Condensed Light"/>
          <w:b/>
          <w:sz w:val="28"/>
          <w:szCs w:val="28"/>
        </w:rPr>
        <w:t>)</w:t>
      </w:r>
    </w:p>
    <w:p w:rsidR="00753EA4" w:rsidRPr="0012124F" w:rsidRDefault="00753EA4" w:rsidP="00753EA4">
      <w:pPr>
        <w:rPr>
          <w:rFonts w:ascii="Roboto Condensed Light" w:hAnsi="Roboto Condensed Light"/>
          <w:sz w:val="28"/>
          <w:szCs w:val="28"/>
        </w:rPr>
      </w:pPr>
      <w:r w:rsidRPr="0012124F">
        <w:rPr>
          <w:rFonts w:ascii="Roboto Condensed Light" w:hAnsi="Roboto Condensed Light"/>
          <w:sz w:val="28"/>
          <w:szCs w:val="28"/>
        </w:rPr>
        <w:t>УХВАЛА</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07 листопада 2024 року</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м. Київ</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справа № 400/6254/24</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провадження № </w:t>
      </w:r>
      <w:proofErr w:type="spellStart"/>
      <w:r w:rsidRPr="00E01411">
        <w:rPr>
          <w:rFonts w:ascii="Roboto Condensed Light" w:hAnsi="Roboto Condensed Light"/>
          <w:sz w:val="24"/>
          <w:szCs w:val="24"/>
        </w:rPr>
        <w:t>Пз</w:t>
      </w:r>
      <w:proofErr w:type="spellEnd"/>
      <w:r w:rsidRPr="00E01411">
        <w:rPr>
          <w:rFonts w:ascii="Roboto Condensed Light" w:hAnsi="Roboto Condensed Light"/>
          <w:sz w:val="24"/>
          <w:szCs w:val="24"/>
        </w:rPr>
        <w:t>/990/11/24</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Верховний Суд у складі колегії суддів Касаційного адміністративного суду: судді-доповідача Коваленко Н.В., суддів </w:t>
      </w:r>
      <w:proofErr w:type="spellStart"/>
      <w:r w:rsidRPr="00E01411">
        <w:rPr>
          <w:rFonts w:ascii="Roboto Condensed Light" w:hAnsi="Roboto Condensed Light"/>
          <w:sz w:val="24"/>
          <w:szCs w:val="24"/>
        </w:rPr>
        <w:t>Бевзенка</w:t>
      </w:r>
      <w:proofErr w:type="spellEnd"/>
      <w:r w:rsidRPr="00E01411">
        <w:rPr>
          <w:rFonts w:ascii="Roboto Condensed Light" w:hAnsi="Roboto Condensed Light"/>
          <w:sz w:val="24"/>
          <w:szCs w:val="24"/>
        </w:rPr>
        <w:t xml:space="preserve"> В.М., </w:t>
      </w:r>
      <w:proofErr w:type="spellStart"/>
      <w:r w:rsidRPr="00E01411">
        <w:rPr>
          <w:rFonts w:ascii="Roboto Condensed Light" w:hAnsi="Roboto Condensed Light"/>
          <w:sz w:val="24"/>
          <w:szCs w:val="24"/>
        </w:rPr>
        <w:t>Берназюка</w:t>
      </w:r>
      <w:proofErr w:type="spellEnd"/>
      <w:r w:rsidRPr="00E01411">
        <w:rPr>
          <w:rFonts w:ascii="Roboto Condensed Light" w:hAnsi="Roboto Condensed Light"/>
          <w:sz w:val="24"/>
          <w:szCs w:val="24"/>
        </w:rPr>
        <w:t xml:space="preserve"> Я.О., Стеценка С.Г., </w:t>
      </w:r>
      <w:proofErr w:type="spellStart"/>
      <w:r w:rsidRPr="00E01411">
        <w:rPr>
          <w:rFonts w:ascii="Roboto Condensed Light" w:hAnsi="Roboto Condensed Light"/>
          <w:sz w:val="24"/>
          <w:szCs w:val="24"/>
        </w:rPr>
        <w:t>Чиркіна</w:t>
      </w:r>
      <w:proofErr w:type="spellEnd"/>
      <w:r w:rsidRPr="00E01411">
        <w:rPr>
          <w:rFonts w:ascii="Roboto Condensed Light" w:hAnsi="Roboto Condensed Light"/>
          <w:sz w:val="24"/>
          <w:szCs w:val="24"/>
        </w:rPr>
        <w:t xml:space="preserve"> С.М., розглянувши подання судді Миколаївського окружного адміністративного суду </w:t>
      </w:r>
      <w:proofErr w:type="spellStart"/>
      <w:r w:rsidRPr="00E01411">
        <w:rPr>
          <w:rFonts w:ascii="Roboto Condensed Light" w:hAnsi="Roboto Condensed Light"/>
          <w:sz w:val="24"/>
          <w:szCs w:val="24"/>
        </w:rPr>
        <w:t>Біоносенка</w:t>
      </w:r>
      <w:proofErr w:type="spellEnd"/>
      <w:r w:rsidRPr="00E01411">
        <w:rPr>
          <w:rFonts w:ascii="Roboto Condensed Light" w:hAnsi="Roboto Condensed Light"/>
          <w:sz w:val="24"/>
          <w:szCs w:val="24"/>
        </w:rPr>
        <w:t xml:space="preserve"> В.В. про розгляд Верховним Судом як зразкової справи № 400/6254/24 за позовом ОСОБА_1 до Головного управління Пенсійного фонду України в Миколаївській області про визнання дій протиправними та зобов`язання вчинити певні дії,</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УСТАНОВИВ:</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 03 липня 2024 року ОСОБА_1 звернувся до суду з позовом до Головного управління Пенсійного фонду України в Миколаївській області, в якому просив:</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визнати протиправними дії Головного управління Пенсійного фонду України в Миколаївській області щодо відмови у нарахуванні ОСОБА_1 з 01 травня 2024 року доплати до пенсії згідно з постановою Кабінету Міністрів України від 14 липня 2021 року № 713 «Про додатковий соціальний захист окремих категорій осіб»;</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зобов`язати Головне управління Пенсійного фонду України в Миколаївській області перерахувати та виплатити ОСОБА_1 з 01 травня 2024 року щомісячну доплату в розмірі 2000,00 грн згідно з постановою Кабінету Міністрів України від 14 липня 2021 року № 713 «Про додатковий соціальний захист окремих категорій осіб»;</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зобов`язати Головне управління Пенсійного фонду України перерахувати і виплатити              ОСОБА_1 з 01 травня 2024 року   індексацію згідно з постановою Кабінету Міністрів України від                       16 лютого 2022 року № 118 «Про індексацію пенсій та заходи щодо підвищення рівня соціального захисту найбільш вразливих верств населення у 2022 році», та індексацію згідно з постановою Кабінету Міністрів України від 24 лютого 2023 року № 168 «Про індексацію пенсій та заходи щодо підвищення рівня соціального захисту найбільш вразливих верств населення у 2023 році».</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2. Свої позовні вимоги ОСОБА_1 обґрунтовує тим, що він є пенсіонером і йому призначено пенсію відповідно до Закону України «Про пенсійне забезпечення осіб, звільнених з військової служби, та деяких інших осіб».</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lastRenderedPageBreak/>
        <w:t>3. Рішенням Миколаївського окружного адміністративного суду від 29 лютого 2024 року у справі № 400/962/24 зобов`язано здійснити позивачу перерахунок та виплату пенсії з 01 лютого 2021 року, 01 лютого 2022 року, 01 лютого 2023 року на підставі довідок Головного управління Державної служби України з надзвичайних ситуацій у Миколаївській області про розмір грошового забезпечення від 12 січня 2024 року № 5, № 6, № 7.</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4. Позивач вказує, що Головне управління Пенсійного фонду України в Миколаївській області виконуючи рішення Миколаївського окружного адміністративного суду від 29 лютого 2024 року у справі № 400/962/24 при проведенні перерахунку пенсії за довідками від 12 січня 2024 року № 5, № 6, № 7, протиправно скасувало доплату, передбачену постановою Кабінету Міністрів України від 14 липня 2021 року № 713 «Про додатковий соціальний захист окремих категорій осіб», та індексацію за 2022 та 2023 роки, посилаючись на те, що основний розмір пенсії  підвищився більше ніж на 2000,00 грн, тому щомісячна доплата відповідно до постанови Кабінету Міністрів України від 14 липня 2021 року № 713 «Про додатковий соціальний захист окремих категорій осіб» не встановлюється, а також постановами Кабінету Міністрів України № 168 та № 185 передбачено, що підвищення на коефіцієнти 1,197 і 1,0796 застосовується у разі перерахунку пенсії відповідно до Закону України «Про пенсійне забезпечення осіб, звільнених з військової служби, та деяких інших осіб», крім перерахунків у зв`язку з підвищенням грошового забезпечення.</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5. На переконання позивача, у нього є право на отримання щомісячної  доплати до пенсії в сумі 2000,00 грн відповідно до постанови Кабінету Міністрів України від 14 липня 2021 року № 713 «Про додатковий соціальний захист окремих категорій осіб», оскільки проведення перерахунку пенсії на виконання судового рішення є відновленням порушеного права, а не самостійним перерахунком пенсії відповідно до Закону України «Про пенсійне забезпечення осіб, звільнених з військової служби, та деяких інших осіб».</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6. Крім того, позивач вказує, що відповідно до абзацу 3 пункту 2 постанови Кабінету Міністрів України від 16 лютого 2022 року № 118 встановлено, що підвищення пенсії, передбачене цим пунктом, враховується під час подальших перерахунків пенсії відповідно до статті 63 Закону України «Про пенсійне забезпечення осіб, звільнених з військової служби та деяких інших осіб». Аналогічна норма закріплена в пункті 2 постанови Кабінету Міністрів України від 24 лютого 2023 року № 168, а тому відповідач протиправно не нараховує та не виплачує індексацію за 2022, 2023 роки після здійснення перерахунку пенсії.</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7. Не погоджуючись з діями відповідача, які виразились у </w:t>
      </w:r>
      <w:proofErr w:type="spellStart"/>
      <w:r w:rsidRPr="00E01411">
        <w:rPr>
          <w:rFonts w:ascii="Roboto Condensed Light" w:hAnsi="Roboto Condensed Light"/>
          <w:sz w:val="24"/>
          <w:szCs w:val="24"/>
        </w:rPr>
        <w:t>ненарахуванні</w:t>
      </w:r>
      <w:proofErr w:type="spellEnd"/>
      <w:r w:rsidRPr="00E01411">
        <w:rPr>
          <w:rFonts w:ascii="Roboto Condensed Light" w:hAnsi="Roboto Condensed Light"/>
          <w:sz w:val="24"/>
          <w:szCs w:val="24"/>
        </w:rPr>
        <w:t xml:space="preserve"> та невиплаті з 01 травня 2024 року доплати до пенсії згідно з постановою Кабінету Міністрів України від  14 липня 2021 року № 713 «Про додатковий соціальний захист окремих категорій осіб» та індексації згідно з постановами Кабінету Міністрів України від 16 лютого 2022 року № 118 «Про індексацію пенсій та заходи щодо підвищення рівня соціального захисту найбільш вразливих верств населення у 2022 році» та від 24 лютого 2023 року № 168 «Про індексацію пенсій та заходи щодо підвищення рівня соціального захисту найбільш вразливих верств населення у 2023 році», позивач звернувся до суду з позовом.</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8. Ухвалою Миколаївського окружного адміністративного суду від 08 липня 2024 року відкрито провадження у справі, вирішено розгляд справи провести суддею одноособово за правилами спрощеного позовного провадження без повідомлення (виклику) осіб.</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9. 24 вересня 2024 року в автоматизованій системі документообігу Касаційного адміністративного суду зареєстровано подання судді Миколаївського окружного адміністративного суду </w:t>
      </w:r>
      <w:proofErr w:type="spellStart"/>
      <w:r w:rsidRPr="00E01411">
        <w:rPr>
          <w:rFonts w:ascii="Roboto Condensed Light" w:hAnsi="Roboto Condensed Light"/>
          <w:sz w:val="24"/>
          <w:szCs w:val="24"/>
        </w:rPr>
        <w:t>Біоносенка</w:t>
      </w:r>
      <w:proofErr w:type="spellEnd"/>
      <w:r w:rsidRPr="00E01411">
        <w:rPr>
          <w:rFonts w:ascii="Roboto Condensed Light" w:hAnsi="Roboto Condensed Light"/>
          <w:sz w:val="24"/>
          <w:szCs w:val="24"/>
        </w:rPr>
        <w:t xml:space="preserve"> В.В. від 12 вересня 2024 року про розгляд справи                           № 400/6254/24 Верховним Судом як судом першої інстанції (далі - подання) в порядку частини першої статті 290 Кодексу адміністративного судочинства України.</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10. Вказане подання надійшло разом із матеріалами адміністративної справи № 400/6254/24, до якого долучено копії ухвал Миколаївського окружного адміністративного суду про відкриття провадження у справах № 400/7524/24, № 400/7706/24, № 400/8100/24, № 400/8304/24,                   </w:t>
      </w:r>
      <w:r w:rsidR="00F83CFF" w:rsidRPr="005F3B50">
        <w:rPr>
          <w:rFonts w:ascii="Roboto Condensed Light" w:hAnsi="Roboto Condensed Light"/>
          <w:sz w:val="24"/>
          <w:szCs w:val="24"/>
        </w:rPr>
        <w:t xml:space="preserve">  </w:t>
      </w:r>
      <w:r w:rsidRPr="00E01411">
        <w:rPr>
          <w:rFonts w:ascii="Roboto Condensed Light" w:hAnsi="Roboto Condensed Light"/>
          <w:sz w:val="24"/>
          <w:szCs w:val="24"/>
        </w:rPr>
        <w:t xml:space="preserve">   № 400/7307/24, № 400/7911/24, № 400/8125/24, № 400/6486/24, № 400/7689/24, № 400/8042/24 на підтвердження кількості подібних справ до тієї, що направлена до Верховного Суду для ухвалення зразкового рішення.</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11. Доцільність розгляду цієї справи Верховним Судом як зразкової обґрунтовано тим, що в провадженні лише Миколаївського окружного адміністративного суду перебуває декілька справ, спір в яких виник за аналогічних підстав, у відносинах, що регулюються одними нормами права: № 400/7524/24, № 400/7706/24, № 400/8100/24, № 400/8304/24, № 400/7307/24, № 400/7911/24, № 400/8125/24, № 400/6486/24, № 400/7689/24, № 400/8042/24.</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12. У зв`язку з відсутністю в поданні Миколаївського окружного адміністративного суду детального викладу фактичних обставин адміністративних справ № 400/7524/24, № 400/7706/24, № 400/8100/24, № 400/8304/24, № 400/7307/24, № 400/7911/24, № 400/8125/24, № 400/6486/24, № 400/7689/24, № 400/8042/24, що не дає змоги зробити однозначний висновок про їхню типовість, Верховний Суд ухвалою від 01 жовтня 2024 року з Миколаївського окружного адміністративного суду витребував матеріали зазначених адміністративних справ.</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13. На виконання ухвали Верховного Суду від 01 жовтня 2024 року, Миколаївський окружний адміністративний суд на адресу Суду направив копії матеріалів адміністративних справ                     </w:t>
      </w:r>
      <w:r w:rsidR="00366BF7" w:rsidRPr="005F3B50">
        <w:rPr>
          <w:rFonts w:ascii="Roboto Condensed Light" w:hAnsi="Roboto Condensed Light"/>
          <w:sz w:val="24"/>
          <w:szCs w:val="24"/>
        </w:rPr>
        <w:t xml:space="preserve">  </w:t>
      </w:r>
      <w:r w:rsidRPr="00E01411">
        <w:rPr>
          <w:rFonts w:ascii="Roboto Condensed Light" w:hAnsi="Roboto Condensed Light"/>
          <w:sz w:val="24"/>
          <w:szCs w:val="24"/>
        </w:rPr>
        <w:t xml:space="preserve"> № 400/7524/24, № 400/7706/24, № 400/8100/24, № 400/8304/24, № 400/7307/24, № 400/7911/24, № 400/8125/24, № 400/648</w:t>
      </w:r>
      <w:bookmarkStart w:id="0" w:name="_GoBack"/>
      <w:bookmarkEnd w:id="0"/>
      <w:r w:rsidRPr="00E01411">
        <w:rPr>
          <w:rFonts w:ascii="Roboto Condensed Light" w:hAnsi="Roboto Condensed Light"/>
          <w:sz w:val="24"/>
          <w:szCs w:val="24"/>
        </w:rPr>
        <w:t>6/24, № 400/7689/24, № 400/8042/24.</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14. Згідно з пунктом 21 частини першої статті 4 Кодексу адміністративного судочинства України типові адміністративні справи - адміністративні справи, відповідачем у яких є один і той самий суб`єкт владних повноважень (його відокремлені структурні підрозділи), спір у яких виник з аналогічних підстав, у відносинах, що регулюються одними нормами права, та у яких позивачами заявлено аналогічні вимоги.</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15. Відповідно до пункту 22 частини першої статті 4 Кодексу адміністративного судочинства України зразкова адміністративна справа - типова адміністративна справа, прийнята до провадження Верховним Судом як судом першої інстанції для постановлення зразкового рішення.</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16. Розглянувши матеріали типових справ у поєднанні зі справою, за якою надійшло подання про її розгляд як зразкової, Верховний Суд дійшов висновку, що ці справи відповідають ознакам типових, визначених пунктом 21 частини першої статті 4 Кодексу адміністративного судочинства України, оскільки у всіх цих справах:</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а) позивачі є пенсіонерами, яким призначено пенсію відповідно до Закону України «Про пенсійне забезпечення осіб, звільнених з військової служби, та деяких інших осіб»;</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б) позовні вимоги заявлені до територіального органу Пенсійного фонду України, на обліку в якому перебувають позивачі;</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в) спірні відносини стосуються правомірності дій пенсійного органу щодо припинення, після перерахунку на </w:t>
      </w:r>
      <w:proofErr w:type="spellStart"/>
      <w:r w:rsidRPr="00E01411">
        <w:rPr>
          <w:rFonts w:ascii="Roboto Condensed Light" w:hAnsi="Roboto Condensed Light"/>
          <w:sz w:val="24"/>
          <w:szCs w:val="24"/>
        </w:rPr>
        <w:t>виконаня</w:t>
      </w:r>
      <w:proofErr w:type="spellEnd"/>
      <w:r w:rsidRPr="00E01411">
        <w:rPr>
          <w:rFonts w:ascii="Roboto Condensed Light" w:hAnsi="Roboto Condensed Light"/>
          <w:sz w:val="24"/>
          <w:szCs w:val="24"/>
        </w:rPr>
        <w:t xml:space="preserve"> рішення суду пенсії позивачів, виплати щомісячної доплати до пенсії, передбаченої постановою Кабінету Міністрів України від 14 липня 2021 року № 713 «Про додатковий соціальний захист окремих категорій осіб» та індексації згідно з постановами Кабінету Міністрів України від 16 лютого 2022 року № 118 «Про індексацію пенсій та заходи щодо підвищення рівня соціального захисту найбільш вразливих верств населення у 2022 році» та від 24 лютого 2023 року № 168 «Про індексацію пенсій та заходи щодо підвищення рівня соціального захисту найбільш вразливих верств населення у 2023 році».</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г) позивачі заявили тотожні позовні вимоги:</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визнати протиправними дії відповідача щодо припинення нарахування та зобов`язати виплатити щомісячну доплату до пенсії, передбачену пунктом 1 постанови Кабінету Міністрів України від 14 липня 2021 року № 713 «Про додатковий соціальний захист окремих категорій осіб»;</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виплатити індексацію згідно з постановами Кабінету Міністрів України від 16 лютого 2022 року № 118 «Про індексацію пенсій та заходи щодо підвищення рівня соціального захисту найбільш вразливих верств населення у 2022 році» та від 24 лютого 2023 року № 168 «Про індексацію пенсій та заходи щодо підвищення рівня соціального захисту найбільш вразливих верств населення у 2023 році»;</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зобов`язати ГУ ПФУ продовжити нарахування й виплату спірної доплати (2000,00 грн) та індексації після перерахунку пенсії.</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17. Відповідно до частини п`ятої статті 290 Кодексу адміністративного судочинства України Верховний Суд вирішує зразкові справи за правилами спрощеного позовного провадження з урахуванням особливостей, визначених цією статтею.</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18. Згідно з пунктом 2 частини першої статті 263 Кодексу адміністративного судочинства України справи щодо 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 суд розглядає за правилами спрощеного позовного провадження без повідомлення учасників справи (у        письмовому провадженні).</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На підставі викладеного, керуючись статтями 257- 263, 290 Кодексу адміністративного судочинства України,</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УХВАЛИВ:</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1. Відкрити провадження в зразковій справі №     400/6254/24 за позовом ОСОБА_1 до Головного управління Пенсійного фонду України в Миколаївській області про визнання дій протиправними та зобов`язання вчинити певні дії.</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2. Справу розглядати за правилами спрощеного позовного провадження колегією суддів у складі п`яти суддів.</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3. Справу призначити до розгляду без повідомлення (виклику) сторін на 29 листопада 2024 року в приміщенні суду за </w:t>
      </w:r>
      <w:proofErr w:type="spellStart"/>
      <w:r w:rsidRPr="00E01411">
        <w:rPr>
          <w:rFonts w:ascii="Roboto Condensed Light" w:hAnsi="Roboto Condensed Light"/>
          <w:sz w:val="24"/>
          <w:szCs w:val="24"/>
        </w:rPr>
        <w:t>адресою</w:t>
      </w:r>
      <w:proofErr w:type="spellEnd"/>
      <w:r w:rsidRPr="00E01411">
        <w:rPr>
          <w:rFonts w:ascii="Roboto Condensed Light" w:hAnsi="Roboto Condensed Light"/>
          <w:sz w:val="24"/>
          <w:szCs w:val="24"/>
        </w:rPr>
        <w:t xml:space="preserve">: вул. Князів Острозьких, 8, </w:t>
      </w:r>
      <w:proofErr w:type="spellStart"/>
      <w:r w:rsidRPr="00E01411">
        <w:rPr>
          <w:rFonts w:ascii="Roboto Condensed Light" w:hAnsi="Roboto Condensed Light"/>
          <w:sz w:val="24"/>
          <w:szCs w:val="24"/>
        </w:rPr>
        <w:t>корп</w:t>
      </w:r>
      <w:proofErr w:type="spellEnd"/>
      <w:r w:rsidRPr="00E01411">
        <w:rPr>
          <w:rFonts w:ascii="Roboto Condensed Light" w:hAnsi="Roboto Condensed Light"/>
          <w:sz w:val="24"/>
          <w:szCs w:val="24"/>
        </w:rPr>
        <w:t>. 5, м. Київ, 01029.</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4. Установити відповідачу строк для подання відзиву на позовну заяву та доказів, які підтверджують обставини, на яких ґрунтуються заперечення відповідача, а також документів, що підтверджують надіслання (надання) відзиву й доданих до нього доказів позивачу, з дня вручення копії цієї ухвали не пізніше 15-го дня з дня її отримання.</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5. Установити відповідачу триденний строк із дня отримання відповіді на відзив для подання до суду заперечень проти відповіді на відзив і документів, що підтверджують надіслання (надання) заперечень і доданих до них доказів позивачу.</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6. Повідомити сторони, що відзив на позовну заяву (відзив), відповідь на відзив, заперечення та пояснення повинні відповідати вимогам частин другої-четвертої статті 162 Кодексу адміністративного судочинства України.</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7. Повідомити сторони, що інформацію в справі, яка розглядається, учасники справи можуть отримати за посиланням на офіційному </w:t>
      </w:r>
      <w:proofErr w:type="spellStart"/>
      <w:r w:rsidRPr="00E01411">
        <w:rPr>
          <w:rFonts w:ascii="Roboto Condensed Light" w:hAnsi="Roboto Condensed Light"/>
          <w:sz w:val="24"/>
          <w:szCs w:val="24"/>
        </w:rPr>
        <w:t>вебпорталі</w:t>
      </w:r>
      <w:proofErr w:type="spellEnd"/>
      <w:r w:rsidRPr="00E01411">
        <w:rPr>
          <w:rFonts w:ascii="Roboto Condensed Light" w:hAnsi="Roboto Condensed Light"/>
          <w:sz w:val="24"/>
          <w:szCs w:val="24"/>
        </w:rPr>
        <w:t xml:space="preserve"> судової влади України: в мережі Інтернет: supreme.court.gov.ua.</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8. Опублікувати цю ухвалу про відкриття провадження в зразковій справі на офіційному </w:t>
      </w:r>
      <w:proofErr w:type="spellStart"/>
      <w:r w:rsidRPr="00E01411">
        <w:rPr>
          <w:rFonts w:ascii="Roboto Condensed Light" w:hAnsi="Roboto Condensed Light"/>
          <w:sz w:val="24"/>
          <w:szCs w:val="24"/>
        </w:rPr>
        <w:t>вебпорталі</w:t>
      </w:r>
      <w:proofErr w:type="spellEnd"/>
      <w:r w:rsidRPr="00E01411">
        <w:rPr>
          <w:rFonts w:ascii="Roboto Condensed Light" w:hAnsi="Roboto Condensed Light"/>
          <w:sz w:val="24"/>
          <w:szCs w:val="24"/>
        </w:rPr>
        <w:t xml:space="preserve"> судової влади України, а також в одному із загальнодержавних друкованих засобів масової інформації.</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9. Роз`яснити, що з моменту опублікування оголошення вважається, що всі заінтересовані особи належним чином повідомлені про розгляд зразкової справи.</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Ухвала набирає законної сили з моменту її підписання не оскаржується.</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Суддя-доповідач                                                                                 Н.В. Коваленко</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Судді                                                                                              </w:t>
      </w:r>
      <w:r w:rsidR="00366BF7" w:rsidRPr="005F3B50">
        <w:rPr>
          <w:rFonts w:ascii="Roboto Condensed Light" w:hAnsi="Roboto Condensed Light"/>
          <w:sz w:val="24"/>
          <w:szCs w:val="24"/>
          <w:lang w:val="ru-RU"/>
        </w:rPr>
        <w:t xml:space="preserve">  </w:t>
      </w:r>
      <w:r w:rsidRPr="00E01411">
        <w:rPr>
          <w:rFonts w:ascii="Roboto Condensed Light" w:hAnsi="Roboto Condensed Light"/>
          <w:sz w:val="24"/>
          <w:szCs w:val="24"/>
        </w:rPr>
        <w:t xml:space="preserve">      В.М. Бевзенко          </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                                                                                                          </w:t>
      </w:r>
      <w:r w:rsidR="00366BF7" w:rsidRPr="005F3B50">
        <w:rPr>
          <w:rFonts w:ascii="Roboto Condensed Light" w:hAnsi="Roboto Condensed Light"/>
          <w:sz w:val="24"/>
          <w:szCs w:val="24"/>
          <w:lang w:val="ru-RU"/>
        </w:rPr>
        <w:t xml:space="preserve">    </w:t>
      </w:r>
      <w:r w:rsidRPr="00E01411">
        <w:rPr>
          <w:rFonts w:ascii="Roboto Condensed Light" w:hAnsi="Roboto Condensed Light"/>
          <w:sz w:val="24"/>
          <w:szCs w:val="24"/>
        </w:rPr>
        <w:t xml:space="preserve">  Я.О. Берназюк</w:t>
      </w:r>
    </w:p>
    <w:p w:rsidR="00753EA4"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                                                                                                        </w:t>
      </w:r>
      <w:r w:rsidR="00366BF7">
        <w:rPr>
          <w:rFonts w:ascii="Roboto Condensed Light" w:hAnsi="Roboto Condensed Light"/>
          <w:sz w:val="24"/>
          <w:szCs w:val="24"/>
          <w:lang w:val="en-US"/>
        </w:rPr>
        <w:t xml:space="preserve">    </w:t>
      </w:r>
      <w:r w:rsidRPr="00E01411">
        <w:rPr>
          <w:rFonts w:ascii="Roboto Condensed Light" w:hAnsi="Roboto Condensed Light"/>
          <w:sz w:val="24"/>
          <w:szCs w:val="24"/>
        </w:rPr>
        <w:t xml:space="preserve">    С.Г. Стеценко  </w:t>
      </w:r>
    </w:p>
    <w:p w:rsidR="00BA3D3B" w:rsidRPr="00E01411" w:rsidRDefault="00753EA4" w:rsidP="00E01411">
      <w:pPr>
        <w:jc w:val="both"/>
        <w:rPr>
          <w:rFonts w:ascii="Roboto Condensed Light" w:hAnsi="Roboto Condensed Light"/>
          <w:sz w:val="24"/>
          <w:szCs w:val="24"/>
        </w:rPr>
      </w:pPr>
      <w:r w:rsidRPr="00E01411">
        <w:rPr>
          <w:rFonts w:ascii="Roboto Condensed Light" w:hAnsi="Roboto Condensed Light"/>
          <w:sz w:val="24"/>
          <w:szCs w:val="24"/>
        </w:rPr>
        <w:t xml:space="preserve">                                                                                                            </w:t>
      </w:r>
      <w:r w:rsidR="00366BF7">
        <w:rPr>
          <w:rFonts w:ascii="Roboto Condensed Light" w:hAnsi="Roboto Condensed Light"/>
          <w:sz w:val="24"/>
          <w:szCs w:val="24"/>
          <w:lang w:val="en-US"/>
        </w:rPr>
        <w:t xml:space="preserve">    </w:t>
      </w:r>
      <w:r w:rsidRPr="00E01411">
        <w:rPr>
          <w:rFonts w:ascii="Roboto Condensed Light" w:hAnsi="Roboto Condensed Light"/>
          <w:sz w:val="24"/>
          <w:szCs w:val="24"/>
        </w:rPr>
        <w:t>С.М. Чиркін</w:t>
      </w:r>
    </w:p>
    <w:sectPr w:rsidR="00BA3D3B" w:rsidRPr="00E014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Condensed Light">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4"/>
    <w:rsid w:val="00096990"/>
    <w:rsid w:val="0012124F"/>
    <w:rsid w:val="00366BF7"/>
    <w:rsid w:val="005F3B50"/>
    <w:rsid w:val="00753EA4"/>
    <w:rsid w:val="007B12D0"/>
    <w:rsid w:val="008A2EDE"/>
    <w:rsid w:val="00BA3D3B"/>
    <w:rsid w:val="00C92112"/>
    <w:rsid w:val="00DE0154"/>
    <w:rsid w:val="00E01411"/>
    <w:rsid w:val="00F83C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E6D8"/>
  <w15:chartTrackingRefBased/>
  <w15:docId w15:val="{238819E5-B257-4100-BF3D-F05DDE0B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15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E0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9054</Words>
  <Characters>5161</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Замега Юрій</dc:creator>
  <cp:keywords/>
  <dc:description/>
  <cp:lastModifiedBy>БЕЗСМЕРТНА Галина Михайлівна</cp:lastModifiedBy>
  <cp:revision>2</cp:revision>
  <cp:lastPrinted>2024-11-11T13:08:00Z</cp:lastPrinted>
  <dcterms:created xsi:type="dcterms:W3CDTF">2024-11-15T10:02:00Z</dcterms:created>
  <dcterms:modified xsi:type="dcterms:W3CDTF">2024-11-15T10:02:00Z</dcterms:modified>
</cp:coreProperties>
</file>