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6F6D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 xml:space="preserve">Обґрунтування процедури закупівлі </w:t>
      </w:r>
    </w:p>
    <w:p w14:paraId="359EAE6C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>(на виконання вимог пункту 4-¹ постанови Кабінету Міністрів України від 11.10.2016 № 710 "Про ефективне використання державних коштів" (зі змінами)</w:t>
      </w:r>
    </w:p>
    <w:p w14:paraId="2F087433" w14:textId="0C113721" w:rsidR="00E36C92" w:rsidRDefault="00C36BEB" w:rsidP="00BB5C4D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</w:pPr>
      <w:r w:rsidRPr="00BC3233">
        <w:rPr>
          <w:rFonts w:ascii="Times New Roman" w:hAnsi="Times New Roman" w:cs="Times New Roman"/>
          <w:lang w:val="uk-UA"/>
        </w:rPr>
        <w:t xml:space="preserve">Індикатор закупівлі: </w:t>
      </w:r>
      <w:r w:rsidR="006F3CF7" w:rsidRPr="006F3CF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UA-2024-11-26-017884-a</w:t>
      </w:r>
    </w:p>
    <w:p w14:paraId="52A0345F" w14:textId="3B22544A" w:rsidR="00BB5C4D" w:rsidRPr="00BC3233" w:rsidRDefault="00087C86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технічних та якісних характеристик предмета закупівлі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017"/>
        <w:gridCol w:w="2916"/>
        <w:gridCol w:w="1412"/>
      </w:tblGrid>
      <w:tr w:rsidR="006F3CF7" w:rsidRPr="00BC3233" w14:paraId="654F52A2" w14:textId="55360E63" w:rsidTr="006F3CF7">
        <w:trPr>
          <w:trHeight w:val="430"/>
        </w:trPr>
        <w:tc>
          <w:tcPr>
            <w:tcW w:w="5017" w:type="dxa"/>
          </w:tcPr>
          <w:p w14:paraId="67060297" w14:textId="59CAA69A" w:rsidR="006F3CF7" w:rsidRPr="00BC3233" w:rsidRDefault="006F3CF7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Предмет закупівлі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, к</w:t>
            </w:r>
            <w:r w:rsidRPr="00950CC3">
              <w:rPr>
                <w:rFonts w:ascii="Times New Roman" w:eastAsia="Andale Sans UI" w:hAnsi="Times New Roman"/>
                <w:kern w:val="2"/>
                <w:sz w:val="20"/>
                <w:szCs w:val="20"/>
                <w:lang w:val="uk-UA"/>
              </w:rPr>
              <w:t>од згідно з Єдиним закупівельним словником</w:t>
            </w:r>
          </w:p>
        </w:tc>
        <w:tc>
          <w:tcPr>
            <w:tcW w:w="2916" w:type="dxa"/>
          </w:tcPr>
          <w:p w14:paraId="6C9E5224" w14:textId="77777777" w:rsidR="006F3CF7" w:rsidRPr="00BC3233" w:rsidRDefault="006F3CF7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Процедура закупівлі</w:t>
            </w:r>
          </w:p>
        </w:tc>
        <w:tc>
          <w:tcPr>
            <w:tcW w:w="1412" w:type="dxa"/>
          </w:tcPr>
          <w:p w14:paraId="15D2E188" w14:textId="32DA28A0" w:rsidR="006F3CF7" w:rsidRPr="00BC3233" w:rsidRDefault="006F3CF7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50CC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Кількість одиниць, шт.</w:t>
            </w:r>
          </w:p>
        </w:tc>
      </w:tr>
      <w:tr w:rsidR="006F3CF7" w:rsidRPr="00BC3233" w14:paraId="4D8EE58D" w14:textId="5622D1A8" w:rsidTr="006F3CF7">
        <w:trPr>
          <w:trHeight w:val="908"/>
        </w:trPr>
        <w:tc>
          <w:tcPr>
            <w:tcW w:w="5017" w:type="dxa"/>
          </w:tcPr>
          <w:p w14:paraId="2F21FC13" w14:textId="52CC2278" w:rsidR="006F3CF7" w:rsidRPr="006F3CF7" w:rsidRDefault="006F3CF7" w:rsidP="005A6D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сервер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>середнього</w:t>
            </w:r>
            <w:proofErr w:type="spellEnd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>рівня</w:t>
            </w:r>
            <w:proofErr w:type="spellEnd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>підключення</w:t>
            </w:r>
            <w:proofErr w:type="spellEnd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>від</w:t>
            </w:r>
            <w:proofErr w:type="spellEnd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40 до 80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  <w:highlight w:val="white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F3CF7">
              <w:rPr>
                <w:rFonts w:ascii="Times New Roman" w:hAnsi="Times New Roman"/>
                <w:sz w:val="24"/>
                <w:szCs w:val="24"/>
              </w:rPr>
              <w:t xml:space="preserve">код за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</w:rPr>
              <w:t>Єдиним</w:t>
            </w:r>
            <w:proofErr w:type="spellEnd"/>
            <w:r w:rsidRPr="006F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</w:rPr>
              <w:t>закупівельним</w:t>
            </w:r>
            <w:proofErr w:type="spellEnd"/>
            <w:r w:rsidRPr="006F3CF7">
              <w:rPr>
                <w:rFonts w:ascii="Times New Roman" w:hAnsi="Times New Roman"/>
                <w:sz w:val="24"/>
                <w:szCs w:val="24"/>
              </w:rPr>
              <w:t xml:space="preserve"> словником, ДК 021:2015 48820000-2 </w:t>
            </w:r>
            <w:proofErr w:type="spellStart"/>
            <w:r w:rsidRPr="006F3CF7">
              <w:rPr>
                <w:rFonts w:ascii="Times New Roman" w:hAnsi="Times New Roman"/>
                <w:sz w:val="24"/>
                <w:szCs w:val="24"/>
              </w:rPr>
              <w:t>Сервери</w:t>
            </w:r>
            <w:proofErr w:type="spellEnd"/>
          </w:p>
        </w:tc>
        <w:tc>
          <w:tcPr>
            <w:tcW w:w="2916" w:type="dxa"/>
          </w:tcPr>
          <w:p w14:paraId="45D03BF8" w14:textId="77777777" w:rsidR="006F3CF7" w:rsidRPr="00BC3233" w:rsidRDefault="006F3CF7" w:rsidP="00BB5C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1412" w:type="dxa"/>
          </w:tcPr>
          <w:p w14:paraId="10D1FD2A" w14:textId="427307A0" w:rsidR="006F3CF7" w:rsidRDefault="006F3CF7" w:rsidP="00BB5C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</w:tr>
    </w:tbl>
    <w:p w14:paraId="7E093653" w14:textId="77777777" w:rsidR="00087C86" w:rsidRDefault="00087C86" w:rsidP="00087C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2143F7F0" w14:textId="77777777" w:rsidR="00085883" w:rsidRDefault="00085883" w:rsidP="00087C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560"/>
      </w:tblGrid>
      <w:tr w:rsidR="006F3CF7" w:rsidRPr="006F3CF7" w14:paraId="3011385C" w14:textId="77777777" w:rsidTr="006F3CF7">
        <w:trPr>
          <w:tblCellSpacing w:w="0" w:type="dxa"/>
        </w:trPr>
        <w:tc>
          <w:tcPr>
            <w:tcW w:w="9356" w:type="dxa"/>
            <w:gridSpan w:val="2"/>
            <w:shd w:val="clear" w:color="auto" w:fill="FFFFFF"/>
            <w:vAlign w:val="center"/>
            <w:hideMark/>
          </w:tcPr>
          <w:p w14:paraId="02812912" w14:textId="77777777" w:rsidR="006F3CF7" w:rsidRPr="006F3CF7" w:rsidRDefault="006F3CF7" w:rsidP="006F3CF7">
            <w:pPr>
              <w:widowControl w:val="0"/>
              <w:tabs>
                <w:tab w:val="left" w:pos="709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Технічні, якісні та кількісні  характеристики</w:t>
            </w:r>
          </w:p>
        </w:tc>
      </w:tr>
      <w:tr w:rsidR="006F3CF7" w:rsidRPr="006F3CF7" w14:paraId="1BA3487D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1FABEA55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Корпус сервера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21497F3F" w14:textId="77777777" w:rsidR="006F3CF7" w:rsidRPr="006F3CF7" w:rsidRDefault="006F3CF7" w:rsidP="006F3CF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Форм-фактор - для встановлення в шафу, висота корпусу 1RU або 2 RU висоти серверної шафи; наявність направляючих для монтажу в стійку; наявність гнучкого рукава для укладки кабелів (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cable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arm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);</w:t>
            </w:r>
          </w:p>
        </w:tc>
      </w:tr>
      <w:tr w:rsidR="006F3CF7" w:rsidRPr="006F3CF7" w14:paraId="6E48D2A4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6220AA84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Процесор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1A3A7242" w14:textId="77777777" w:rsidR="006F3CF7" w:rsidRPr="006F3CF7" w:rsidRDefault="006F3CF7" w:rsidP="006F3CF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Встановлений процесор - не гірше ніж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Intel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Xeon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Silver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4510.;</w:t>
            </w:r>
          </w:p>
          <w:p w14:paraId="4F3DFB75" w14:textId="77777777" w:rsidR="006F3CF7" w:rsidRPr="006F3CF7" w:rsidRDefault="006F3CF7" w:rsidP="006F3CF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Кількість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ядер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процесору - не менше ніж 12;</w:t>
            </w:r>
          </w:p>
          <w:p w14:paraId="17E49B29" w14:textId="77777777" w:rsidR="006F3CF7" w:rsidRPr="006F3CF7" w:rsidRDefault="006F3CF7" w:rsidP="006F3CF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Кеш L3 процесору - не менше ніж 30 МБ;</w:t>
            </w:r>
          </w:p>
          <w:p w14:paraId="38213DB3" w14:textId="77777777" w:rsidR="006F3CF7" w:rsidRPr="006F3CF7" w:rsidRDefault="006F3CF7" w:rsidP="006F3CF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Тактова частота ядра процесору - не гірше ніж 2,4ГГц (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base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clock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);</w:t>
            </w:r>
          </w:p>
        </w:tc>
      </w:tr>
      <w:tr w:rsidR="006F3CF7" w:rsidRPr="006F3CF7" w14:paraId="43DC57D6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7AC5DCE1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Оперативна пам’ять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13B794F5" w14:textId="77777777" w:rsidR="006F3CF7" w:rsidRPr="006F3CF7" w:rsidRDefault="006F3CF7" w:rsidP="006F3C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Кількість ОЗП серверу - не менше ніж 64ГБ з обов’язковим використанням не менш ніж 4 каналів пам’яті; усі модулі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пам&amp;apos;яті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повинні бути встановлені виробником серверу на виробництві, рекомендовані ним, та мати відповідне маркування, якщо таке існує у виробника;</w:t>
            </w:r>
          </w:p>
          <w:p w14:paraId="04DA402B" w14:textId="77777777" w:rsidR="006F3CF7" w:rsidRPr="006F3CF7" w:rsidRDefault="006F3CF7" w:rsidP="006F3C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Тип ОЗП - не гірше ніж DDR5-4400;</w:t>
            </w:r>
          </w:p>
        </w:tc>
      </w:tr>
      <w:tr w:rsidR="006F3CF7" w:rsidRPr="006F3CF7" w14:paraId="104E4934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772278A4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Дискова підсистема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007B2BDC" w14:textId="77777777" w:rsidR="006F3CF7" w:rsidRPr="006F3CF7" w:rsidRDefault="006F3CF7" w:rsidP="006F3CF7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Дискова підсистема - наявність не менше 8 відсіків для дисків 2.5”; не менш ніж 3 накопичувача з підтримкою гарячої заміни; тип накопичувачів - SSD 12Gbps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Mixed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Use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SED або краще; об’єм кожного накопичувача – не менше, ніж 960ГБ; накопичувачі повинні бути від виробника серверу та мають бути встановлені на виробництві; наявність захисної передньої панелі з замком для запобігання несанкціонованого доступу до дисків та кнопок керування сервера;</w:t>
            </w:r>
          </w:p>
        </w:tc>
      </w:tr>
      <w:tr w:rsidR="006F3CF7" w:rsidRPr="006F3CF7" w14:paraId="38DA987F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265AFECC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Дисковий контролер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0BEDB237" w14:textId="77777777" w:rsidR="006F3CF7" w:rsidRPr="006F3CF7" w:rsidRDefault="006F3CF7" w:rsidP="006F3CF7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567"/>
                <w:tab w:val="left" w:pos="709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RAID Контролер - наявність в сервері апаратного RAID контролера; підтримка рівнів RAID не менше 0, 1, 10, 5, 6; енергонезалежна кеш пам’ять контролера не менше ніж 4ГБ;</w:t>
            </w:r>
          </w:p>
        </w:tc>
      </w:tr>
      <w:tr w:rsidR="006F3CF7" w:rsidRPr="006F3CF7" w14:paraId="170FBCD0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35191E49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Мережеві порти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1FABA618" w14:textId="77777777" w:rsidR="006F3CF7" w:rsidRPr="006F3CF7" w:rsidRDefault="006F3CF7" w:rsidP="006F3CF7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Порти підключення до комутаторів інфраструктури - 1GbE BASE-T - не менш ніж 2 шт.;</w:t>
            </w:r>
          </w:p>
        </w:tc>
      </w:tr>
      <w:tr w:rsidR="006F3CF7" w:rsidRPr="006F3CF7" w14:paraId="409FFC25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51CB4616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Порти 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7E4CA19D" w14:textId="77777777" w:rsidR="006F3CF7" w:rsidRPr="006F3CF7" w:rsidRDefault="006F3CF7" w:rsidP="006F3CF7">
            <w:pPr>
              <w:numPr>
                <w:ilvl w:val="0"/>
                <w:numId w:val="11"/>
              </w:numPr>
              <w:tabs>
                <w:tab w:val="clear" w:pos="720"/>
                <w:tab w:val="left" w:pos="8506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 менше 2 (двох) портів USB (один з яких обов’язково мають бути USB 3.X);</w:t>
            </w:r>
          </w:p>
          <w:p w14:paraId="5CE10C41" w14:textId="77777777" w:rsidR="006F3CF7" w:rsidRPr="006F3CF7" w:rsidRDefault="006F3CF7" w:rsidP="006F3CF7">
            <w:pPr>
              <w:numPr>
                <w:ilvl w:val="0"/>
                <w:numId w:val="11"/>
              </w:numPr>
              <w:tabs>
                <w:tab w:val="clear" w:pos="720"/>
                <w:tab w:val="left" w:pos="8506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графічний порт VGA</w:t>
            </w:r>
          </w:p>
        </w:tc>
      </w:tr>
      <w:tr w:rsidR="006F3CF7" w:rsidRPr="006F3CF7" w14:paraId="26AFF463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5498EBCF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Блоки живлення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099B5246" w14:textId="77777777" w:rsidR="006F3CF7" w:rsidRPr="006F3CF7" w:rsidRDefault="006F3CF7" w:rsidP="006F3CF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851"/>
                <w:tab w:val="left" w:pos="850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Блоки живлення - 2шт.., можливість працювати на 1 блоці живлення; наявність комплекту кабелів С13-С14 для підключення до мережі живлення;</w:t>
            </w:r>
          </w:p>
        </w:tc>
      </w:tr>
      <w:tr w:rsidR="006F3CF7" w:rsidRPr="006F3CF7" w14:paraId="7BF28F53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473F5334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Функції керування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6367D88A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Віддалене керування – наявність активного, відокремленого від мережевих адаптерів, порту віддаленого керування зі швидкістю не менше 1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Gb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/s; </w:t>
            </w:r>
          </w:p>
          <w:p w14:paraId="21EB207E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Ліцензія має покривати період не менший ніж гарантія на сам сервер;</w:t>
            </w:r>
          </w:p>
          <w:p w14:paraId="544A4D00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Підтримка інтегрованим контролером управління з веб-інтерфейсу користувача, призначеного для управління обчислювальною машиною;</w:t>
            </w:r>
          </w:p>
          <w:p w14:paraId="4178E0ED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Підтримка автоматичного інформування адміністратора засобами електронної пошти або виведенням повідомлення на консоль керування про наявність збоїв, а також попередження про прогнозовані порушення функціонування дискової підсистеми, модулів пам’яті, блоків живлення, вентиляторів та процесорів;</w:t>
            </w:r>
          </w:p>
          <w:p w14:paraId="5559BB77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Відображення інвентаризаційної інформації про встановлені компоненти серверу, включаючи версії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мікрокодів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Можливість збору інформації про рівень утилізації центрального процесора і оперативної </w:t>
            </w:r>
            <w:proofErr w:type="spellStart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пам&amp;apos;яті</w:t>
            </w:r>
            <w:proofErr w:type="spellEnd"/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сервера без необхідності встановлення агентського ПЗ у ОС; </w:t>
            </w:r>
          </w:p>
          <w:p w14:paraId="6E799620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можливість віддалено підключати клавіатуру, дисплей та маніпулятор типу “миша” (віддалений KVM доступ), CD і DVD дисководи, які визначаються обчислювальною машиною як локальні; підтримка віддаленого перезавантаження, вмикання/вимикання серверу, а також можливість завантаження з віртуального оптичного диску; </w:t>
            </w:r>
          </w:p>
          <w:p w14:paraId="498137EB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можливість використання апаратно-програмних засобів для підготовки до установки операційної системи (конфігурація томів, створення розділів, копіювання драйверів, створення файлів відповіді для інсталяторів ОС), які не потребують використання зовнішніх носіїв інформації; обов’язкова можливість підключення до централізованої системи контроля і управління обладнанням;</w:t>
            </w:r>
          </w:p>
          <w:p w14:paraId="7D4B1A98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підтримка використання шаблонів профілів для розгортання та швидкого внесення змін в інфраструктуру. Віддалена делегація доступу до файлів та віртуальних папок; </w:t>
            </w:r>
          </w:p>
          <w:p w14:paraId="45482C75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віддалений KVM доступ повинен працювати без встановлення додаткового програмного забезпечення за допомогою HTML5, шифрування трафіку ключом не менше 256 біт; </w:t>
            </w:r>
          </w:p>
          <w:p w14:paraId="7CDE6C6D" w14:textId="77777777" w:rsidR="006F3CF7" w:rsidRPr="006F3CF7" w:rsidRDefault="006F3CF7" w:rsidP="006F3CF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12"/>
                <w:tab w:val="left" w:pos="8506"/>
              </w:tabs>
              <w:spacing w:after="0" w:line="240" w:lineRule="auto"/>
              <w:ind w:left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підтримка запису відео екрану моменту збоїв у функціюванні програмного забезпечення та завантаження серверу.</w:t>
            </w:r>
          </w:p>
        </w:tc>
      </w:tr>
      <w:tr w:rsidR="006F3CF7" w:rsidRPr="006F3CF7" w14:paraId="7B829990" w14:textId="77777777" w:rsidTr="006F3CF7">
        <w:trPr>
          <w:tblCellSpacing w:w="0" w:type="dxa"/>
        </w:trPr>
        <w:tc>
          <w:tcPr>
            <w:tcW w:w="2796" w:type="dxa"/>
            <w:shd w:val="clear" w:color="auto" w:fill="FFFFFF"/>
            <w:vAlign w:val="center"/>
            <w:hideMark/>
          </w:tcPr>
          <w:p w14:paraId="23715B90" w14:textId="77777777" w:rsidR="006F3CF7" w:rsidRPr="006F3CF7" w:rsidRDefault="006F3CF7" w:rsidP="006F3CF7">
            <w:pPr>
              <w:widowControl w:val="0"/>
              <w:tabs>
                <w:tab w:val="left" w:pos="85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Технічна підтримка</w:t>
            </w:r>
          </w:p>
        </w:tc>
        <w:tc>
          <w:tcPr>
            <w:tcW w:w="6560" w:type="dxa"/>
            <w:shd w:val="clear" w:color="auto" w:fill="FFFFFF"/>
            <w:vAlign w:val="center"/>
            <w:hideMark/>
          </w:tcPr>
          <w:p w14:paraId="4ED27941" w14:textId="77777777" w:rsidR="006F3CF7" w:rsidRPr="006F3CF7" w:rsidRDefault="006F3CF7" w:rsidP="006F3CF7">
            <w:pPr>
              <w:widowControl w:val="0"/>
              <w:tabs>
                <w:tab w:val="left" w:pos="709"/>
                <w:tab w:val="left" w:pos="85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Гарантія від виробника не менше 36 місяців та включає </w:t>
            </w:r>
            <w:r w:rsidRPr="006F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підтримку 24/7 (цілодобовий доступ до відкриття сервісних заявок з метою усунення технічних проблем), заміну обладнання (з правом збереження дисків, що вийшли з ладу при їх гарантійній заміні, у власника обладнання) не пізніше наступного робочого дня, з моменту підтвердження несправності з виїздом сервісного інженера на об’єкт до замовника, а також право на оновлення програмного забезпечення обладнання у період гарантійного обслуговування; вбудований у сервер функціонал автоматичного розміщення заяви на гарантійний випадок у сервісній системі виробника.</w:t>
            </w:r>
          </w:p>
        </w:tc>
      </w:tr>
    </w:tbl>
    <w:p w14:paraId="4CFB3792" w14:textId="77777777" w:rsidR="00085883" w:rsidRDefault="00085883" w:rsidP="00087C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7A61FEC3" w14:textId="3E60B2DA" w:rsidR="00E92F71" w:rsidRPr="006F3CF7" w:rsidRDefault="00087C86" w:rsidP="00087C8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6F3CF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BB5C4D" w:rsidRPr="006F3CF7">
        <w:rPr>
          <w:rFonts w:ascii="Times New Roman" w:hAnsi="Times New Roman" w:cs="Times New Roman"/>
          <w:sz w:val="26"/>
          <w:szCs w:val="26"/>
          <w:lang w:val="uk-UA"/>
        </w:rPr>
        <w:t>бґрунтування його очікуваної вартості та/або розміру бюджетного призначення</w:t>
      </w:r>
      <w:r w:rsidRPr="006F3CF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6F3CF7" w:rsidRPr="006F3CF7">
        <w:rPr>
          <w:rFonts w:ascii="Times New Roman" w:hAnsi="Times New Roman" w:cs="Times New Roman"/>
          <w:sz w:val="26"/>
          <w:szCs w:val="26"/>
          <w:lang w:val="uk-UA"/>
        </w:rPr>
        <w:t xml:space="preserve"> 450000,00 грн з ПДВ (лист ДСАУ від 19.11.2024 № 15-22317/24)</w:t>
      </w:r>
    </w:p>
    <w:sectPr w:rsidR="00E92F71" w:rsidRPr="006F3CF7" w:rsidSect="00087C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CD4"/>
    <w:multiLevelType w:val="multilevel"/>
    <w:tmpl w:val="4738A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C5315"/>
    <w:multiLevelType w:val="multilevel"/>
    <w:tmpl w:val="411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00B05"/>
    <w:multiLevelType w:val="multilevel"/>
    <w:tmpl w:val="4FB09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8230E"/>
    <w:multiLevelType w:val="multilevel"/>
    <w:tmpl w:val="312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F76D2"/>
    <w:multiLevelType w:val="multilevel"/>
    <w:tmpl w:val="36B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0171"/>
    <w:multiLevelType w:val="hybridMultilevel"/>
    <w:tmpl w:val="EDB6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9738D"/>
    <w:multiLevelType w:val="multilevel"/>
    <w:tmpl w:val="759E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6F7C"/>
    <w:multiLevelType w:val="multilevel"/>
    <w:tmpl w:val="59EA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00479"/>
    <w:multiLevelType w:val="multilevel"/>
    <w:tmpl w:val="A3765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466801"/>
    <w:multiLevelType w:val="multilevel"/>
    <w:tmpl w:val="701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76A80"/>
    <w:multiLevelType w:val="multilevel"/>
    <w:tmpl w:val="EA8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E0F18"/>
    <w:multiLevelType w:val="multilevel"/>
    <w:tmpl w:val="9E0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34C2F"/>
    <w:multiLevelType w:val="multilevel"/>
    <w:tmpl w:val="D4C0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88178">
    <w:abstractNumId w:val="2"/>
  </w:num>
  <w:num w:numId="2" w16cid:durableId="264928588">
    <w:abstractNumId w:val="0"/>
  </w:num>
  <w:num w:numId="3" w16cid:durableId="298388012">
    <w:abstractNumId w:val="8"/>
  </w:num>
  <w:num w:numId="4" w16cid:durableId="1785811295">
    <w:abstractNumId w:val="5"/>
  </w:num>
  <w:num w:numId="5" w16cid:durableId="263001735">
    <w:abstractNumId w:val="12"/>
  </w:num>
  <w:num w:numId="6" w16cid:durableId="1426653927">
    <w:abstractNumId w:val="11"/>
  </w:num>
  <w:num w:numId="7" w16cid:durableId="117573646">
    <w:abstractNumId w:val="1"/>
  </w:num>
  <w:num w:numId="8" w16cid:durableId="1469668051">
    <w:abstractNumId w:val="6"/>
  </w:num>
  <w:num w:numId="9" w16cid:durableId="1872650066">
    <w:abstractNumId w:val="7"/>
  </w:num>
  <w:num w:numId="10" w16cid:durableId="898977383">
    <w:abstractNumId w:val="3"/>
  </w:num>
  <w:num w:numId="11" w16cid:durableId="1726566464">
    <w:abstractNumId w:val="4"/>
  </w:num>
  <w:num w:numId="12" w16cid:durableId="2003047697">
    <w:abstractNumId w:val="10"/>
  </w:num>
  <w:num w:numId="13" w16cid:durableId="45109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D"/>
    <w:rsid w:val="00032E8C"/>
    <w:rsid w:val="00085883"/>
    <w:rsid w:val="00087C86"/>
    <w:rsid w:val="001219B6"/>
    <w:rsid w:val="00177867"/>
    <w:rsid w:val="001A050D"/>
    <w:rsid w:val="001B743F"/>
    <w:rsid w:val="002340D7"/>
    <w:rsid w:val="002A1FBA"/>
    <w:rsid w:val="00340677"/>
    <w:rsid w:val="004324CB"/>
    <w:rsid w:val="00502478"/>
    <w:rsid w:val="00516C63"/>
    <w:rsid w:val="005343AB"/>
    <w:rsid w:val="005A6D37"/>
    <w:rsid w:val="00681B1C"/>
    <w:rsid w:val="006963AE"/>
    <w:rsid w:val="006F3CF7"/>
    <w:rsid w:val="00800A88"/>
    <w:rsid w:val="00835F06"/>
    <w:rsid w:val="00853708"/>
    <w:rsid w:val="0086581B"/>
    <w:rsid w:val="00950122"/>
    <w:rsid w:val="00A66974"/>
    <w:rsid w:val="00A67D3B"/>
    <w:rsid w:val="00B22F3D"/>
    <w:rsid w:val="00B53EC1"/>
    <w:rsid w:val="00B609C1"/>
    <w:rsid w:val="00B60BBC"/>
    <w:rsid w:val="00BB5C4D"/>
    <w:rsid w:val="00BC3233"/>
    <w:rsid w:val="00C36BEB"/>
    <w:rsid w:val="00C6652F"/>
    <w:rsid w:val="00CF020F"/>
    <w:rsid w:val="00D5074E"/>
    <w:rsid w:val="00E03A12"/>
    <w:rsid w:val="00E36C92"/>
    <w:rsid w:val="00E5176E"/>
    <w:rsid w:val="00E92F71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2284"/>
  <w15:docId w15:val="{D7588CCF-0F74-49D0-8C67-4D29D7FF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-hidden">
    <w:name w:val="h-hidden"/>
    <w:basedOn w:val="a0"/>
    <w:rsid w:val="00087C86"/>
  </w:style>
  <w:style w:type="character" w:customStyle="1" w:styleId="rvts9">
    <w:name w:val="rvts9"/>
    <w:basedOn w:val="a0"/>
    <w:rsid w:val="00B53EC1"/>
  </w:style>
  <w:style w:type="character" w:styleId="a4">
    <w:name w:val="Emphasis"/>
    <w:basedOn w:val="a0"/>
    <w:uiPriority w:val="20"/>
    <w:qFormat/>
    <w:rsid w:val="00BC3233"/>
    <w:rPr>
      <w:i/>
      <w:iCs/>
    </w:rPr>
  </w:style>
  <w:style w:type="character" w:styleId="a5">
    <w:name w:val="Hyperlink"/>
    <w:basedOn w:val="a0"/>
    <w:uiPriority w:val="99"/>
    <w:semiHidden/>
    <w:unhideWhenUsed/>
    <w:rsid w:val="00085883"/>
    <w:rPr>
      <w:color w:val="0000FF"/>
      <w:u w:val="single"/>
    </w:rPr>
  </w:style>
  <w:style w:type="character" w:customStyle="1" w:styleId="a6">
    <w:name w:val="Основной текст_"/>
    <w:basedOn w:val="a0"/>
    <w:link w:val="a7"/>
    <w:rsid w:val="00085883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Основной текст"/>
    <w:basedOn w:val="a"/>
    <w:link w:val="a6"/>
    <w:rsid w:val="00085883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/>
    </w:rPr>
  </w:style>
  <w:style w:type="character" w:customStyle="1" w:styleId="a8">
    <w:name w:val="Другое_"/>
    <w:basedOn w:val="a0"/>
    <w:link w:val="a9"/>
    <w:rsid w:val="00085883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rsid w:val="0008588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Standard">
    <w:name w:val="Standard"/>
    <w:rsid w:val="00E92F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uiPriority w:val="99"/>
    <w:semiHidden/>
    <w:unhideWhenUsed/>
    <w:rsid w:val="006F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3298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6</cp:revision>
  <cp:lastPrinted>2021-02-26T11:46:00Z</cp:lastPrinted>
  <dcterms:created xsi:type="dcterms:W3CDTF">2024-11-04T13:50:00Z</dcterms:created>
  <dcterms:modified xsi:type="dcterms:W3CDTF">2024-11-27T13:44:00Z</dcterms:modified>
</cp:coreProperties>
</file>