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rsidR="003506E8" w:rsidRPr="00D97CC7" w:rsidRDefault="003506E8" w:rsidP="003506E8">
      <w:pPr>
        <w:pStyle w:val="a3"/>
        <w:shd w:val="clear" w:color="auto" w:fill="FFFFFF"/>
        <w:spacing w:before="0" w:beforeAutospacing="0" w:after="150" w:afterAutospacing="0"/>
        <w:jc w:val="center"/>
      </w:pPr>
      <w:r w:rsidRPr="00D97CC7">
        <w:rPr>
          <w:rStyle w:val="a5"/>
        </w:rPr>
        <w:t>технічних та якісних характеристик предмета закупівлі, розміру бюджетного призначення, очікуваної вартості товару</w:t>
      </w:r>
    </w:p>
    <w:p w:rsidR="0007385B" w:rsidRDefault="0007385B" w:rsidP="003506E8">
      <w:pPr>
        <w:pStyle w:val="a3"/>
        <w:shd w:val="clear" w:color="auto" w:fill="FFFFFF"/>
        <w:spacing w:after="150"/>
        <w:jc w:val="center"/>
      </w:pPr>
      <w:r w:rsidRPr="00F91E3C">
        <w:t>Послуги з поточного ремонту та обслуговування комп'ютерної та організаційної техніки, а саме: послуги з технічного обслуговування і поточного ремонту оргтехніки код за Єдиним закупівельним словником</w:t>
      </w:r>
      <w:r>
        <w:t xml:space="preserve"> </w:t>
      </w:r>
    </w:p>
    <w:p w:rsidR="003506E8" w:rsidRPr="00D97CC7" w:rsidRDefault="0007385B" w:rsidP="003506E8">
      <w:pPr>
        <w:pStyle w:val="a3"/>
        <w:shd w:val="clear" w:color="auto" w:fill="FFFFFF"/>
        <w:spacing w:after="150"/>
        <w:jc w:val="center"/>
      </w:pPr>
      <w:r w:rsidRPr="00F91E3C">
        <w:t xml:space="preserve"> ДК 021:2015 50310000-1 Технічне обслуговування і ремонт офісної техніки   </w:t>
      </w:r>
    </w:p>
    <w:p w:rsidR="003506E8" w:rsidRPr="00D97CC7" w:rsidRDefault="003506E8" w:rsidP="003506E8">
      <w:pPr>
        <w:pStyle w:val="a3"/>
        <w:shd w:val="clear" w:color="auto" w:fill="FFFFFF"/>
        <w:spacing w:before="0" w:beforeAutospacing="0" w:after="150" w:afterAutospacing="0"/>
        <w:jc w:val="both"/>
      </w:pPr>
      <w:r w:rsidRPr="00D97CC7">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8772B7" w:rsidRPr="00D97CC7">
        <w:t>5</w:t>
      </w:r>
      <w:r w:rsidRPr="00D97CC7">
        <w:t xml:space="preserve"> рік для закупівлі </w:t>
      </w:r>
      <w:r w:rsidR="0007385B">
        <w:t>послуг</w:t>
      </w:r>
      <w:r w:rsidRPr="00D97CC7">
        <w:t xml:space="preserve">. </w:t>
      </w:r>
    </w:p>
    <w:p w:rsidR="003506E8" w:rsidRPr="00D97CC7" w:rsidRDefault="003506E8" w:rsidP="003506E8">
      <w:pPr>
        <w:pStyle w:val="a3"/>
        <w:shd w:val="clear" w:color="auto" w:fill="FFFFFF"/>
        <w:spacing w:before="0" w:beforeAutospacing="0" w:after="150" w:afterAutospacing="0"/>
        <w:jc w:val="both"/>
      </w:pPr>
      <w:r w:rsidRPr="00D97CC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rsidR="003506E8" w:rsidRDefault="003506E8" w:rsidP="004D33E2">
      <w:pPr>
        <w:pStyle w:val="a3"/>
        <w:shd w:val="clear" w:color="auto" w:fill="FFFFFF"/>
        <w:spacing w:before="0" w:beforeAutospacing="0" w:after="0" w:afterAutospacing="0"/>
        <w:jc w:val="both"/>
        <w:rPr>
          <w:lang w:val="ru-RU"/>
        </w:rPr>
      </w:pPr>
      <w:r w:rsidRPr="00D97CC7">
        <w:t>Закупівля на 202</w:t>
      </w:r>
      <w:r w:rsidR="008772B7" w:rsidRPr="00D97CC7">
        <w:t>5</w:t>
      </w:r>
      <w:r w:rsidRPr="00D97CC7">
        <w:t xml:space="preserve"> рік. </w:t>
      </w:r>
    </w:p>
    <w:p w:rsidR="004D33E2" w:rsidRPr="004D33E2" w:rsidRDefault="004D33E2" w:rsidP="004D33E2">
      <w:pPr>
        <w:pStyle w:val="a3"/>
        <w:shd w:val="clear" w:color="auto" w:fill="FFFFFF"/>
        <w:spacing w:before="0" w:beforeAutospacing="0" w:after="0" w:afterAutospacing="0"/>
        <w:jc w:val="both"/>
        <w:rPr>
          <w:lang w:val="ru-RU"/>
        </w:rPr>
      </w:pPr>
    </w:p>
    <w:p w:rsidR="004D33E2" w:rsidRPr="004D33E2" w:rsidRDefault="003506E8" w:rsidP="004D33E2">
      <w:pPr>
        <w:spacing w:after="0" w:line="240" w:lineRule="auto"/>
        <w:jc w:val="both"/>
        <w:rPr>
          <w:rFonts w:ascii="Times New Roman" w:eastAsia="Times New Roman" w:hAnsi="Times New Roman" w:cs="Times New Roman"/>
          <w:color w:val="6D6D6D"/>
          <w:kern w:val="0"/>
          <w:sz w:val="24"/>
          <w:szCs w:val="24"/>
          <w:lang w:val="ru-RU" w:eastAsia="ru-RU"/>
        </w:rPr>
      </w:pPr>
      <w:r w:rsidRPr="00CB14AB">
        <w:rPr>
          <w:rFonts w:ascii="Times New Roman" w:hAnsi="Times New Roman" w:cs="Times New Roman"/>
          <w:sz w:val="24"/>
          <w:szCs w:val="24"/>
        </w:rPr>
        <w:t xml:space="preserve">(Оголошення про проведення відкритих торгів з особливостями </w:t>
      </w:r>
      <w:r w:rsidR="008772B7">
        <w:fldChar w:fldCharType="begin"/>
      </w:r>
      <w:r w:rsidR="008772B7">
        <w:instrText>HYPERLINK "https://prozorro.gov.ua/tender/UA-2025-06-06-011742-a" \t "_blank" \o "Оголошення на порталі Уповноваженого органу"</w:instrText>
      </w:r>
      <w:r w:rsidR="008772B7">
        <w:fldChar w:fldCharType="separate"/>
      </w:r>
      <w:r w:rsidR="008772B7" w:rsidRPr="0030314B">
        <w:rPr>
          <w:rFonts w:ascii="Times New Roman" w:eastAsia="Times New Roman" w:hAnsi="Times New Roman" w:cs="Times New Roman"/>
          <w:color w:val="000000"/>
          <w:kern w:val="0"/>
          <w:sz w:val="24"/>
          <w:szCs w:val="24"/>
          <w:highlight w:val="yellow"/>
          <w:bdr w:val="none" w:sz="0" w:space="0" w:color="auto" w:frame="1"/>
          <w:lang w:val="ru-RU" w:eastAsia="ru-RU"/>
        </w:rPr>
        <w:br/>
      </w:r>
      <w:hyperlink r:id="rId5" w:tgtFrame="_blank" w:tooltip="Оголошення на порталі Уповноваженого органу" w:history="1">
        <w:r w:rsidR="004D33E2" w:rsidRPr="004D33E2">
          <w:rPr>
            <w:rFonts w:ascii="Times New Roman" w:eastAsia="Times New Roman" w:hAnsi="Times New Roman" w:cs="Times New Roman"/>
            <w:color w:val="000000"/>
            <w:kern w:val="0"/>
            <w:sz w:val="24"/>
            <w:szCs w:val="24"/>
            <w:bdr w:val="none" w:sz="0" w:space="0" w:color="auto" w:frame="1"/>
            <w:lang w:val="ru-RU" w:eastAsia="ru-RU"/>
          </w:rPr>
          <w:t>UA-2025-12-11-008692-a</w:t>
        </w:r>
      </w:hyperlink>
      <w:r w:rsidR="004D33E2">
        <w:rPr>
          <w:rFonts w:ascii="Times New Roman" w:eastAsia="Times New Roman" w:hAnsi="Times New Roman" w:cs="Times New Roman"/>
          <w:color w:val="6D6D6D"/>
          <w:kern w:val="0"/>
          <w:sz w:val="24"/>
          <w:szCs w:val="24"/>
          <w:lang w:val="ru-RU" w:eastAsia="ru-RU"/>
        </w:rPr>
        <w:t>).</w:t>
      </w:r>
    </w:p>
    <w:p w:rsidR="003506E8" w:rsidRDefault="008772B7" w:rsidP="004D33E2">
      <w:pPr>
        <w:spacing w:after="0" w:line="240" w:lineRule="auto"/>
        <w:jc w:val="both"/>
        <w:rPr>
          <w:rFonts w:ascii="Times New Roman" w:hAnsi="Times New Roman" w:cs="Times New Roman"/>
          <w:sz w:val="24"/>
          <w:szCs w:val="24"/>
          <w:lang w:val="ru-RU"/>
        </w:rPr>
      </w:pPr>
      <w:r>
        <w:fldChar w:fldCharType="end"/>
      </w:r>
    </w:p>
    <w:p w:rsidR="00CB14AB" w:rsidRPr="00CB14AB" w:rsidRDefault="00CB14AB" w:rsidP="00CB14AB">
      <w:pPr>
        <w:spacing w:after="0" w:line="240" w:lineRule="auto"/>
        <w:jc w:val="both"/>
        <w:rPr>
          <w:rFonts w:ascii="Times New Roman" w:hAnsi="Times New Roman" w:cs="Times New Roman"/>
          <w:sz w:val="24"/>
          <w:szCs w:val="24"/>
          <w:lang w:val="ru-RU"/>
        </w:rPr>
      </w:pPr>
    </w:p>
    <w:p w:rsidR="0007385B" w:rsidRPr="007E3F02"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sidRPr="0007385B">
        <w:rPr>
          <w:rFonts w:ascii="Times New Roman" w:hAnsi="Times New Roman" w:cs="Times New Roman"/>
          <w:color w:val="000000" w:themeColor="text1"/>
          <w:sz w:val="24"/>
          <w:szCs w:val="24"/>
        </w:rPr>
        <w:t xml:space="preserve">Розмір бюджетного призначення за кошторисом: заплановано – </w:t>
      </w:r>
      <w:r w:rsidRPr="007E3F02">
        <w:rPr>
          <w:rFonts w:ascii="Times New Roman" w:hAnsi="Times New Roman" w:cs="Times New Roman"/>
          <w:color w:val="000000" w:themeColor="text1"/>
          <w:sz w:val="24"/>
          <w:szCs w:val="24"/>
        </w:rPr>
        <w:t xml:space="preserve">25 000,00 грн (двадцять п’ять тисяч гривень 00 копійок) з урахуванням ПДВ. </w:t>
      </w:r>
    </w:p>
    <w:p w:rsidR="0007385B" w:rsidRPr="0007385B"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rsidR="0007385B" w:rsidRPr="0030314B"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sidRPr="0007385B">
        <w:rPr>
          <w:rFonts w:ascii="Times New Roman" w:hAnsi="Times New Roman" w:cs="Times New Roman"/>
          <w:color w:val="000000" w:themeColor="text1"/>
          <w:sz w:val="24"/>
          <w:szCs w:val="24"/>
        </w:rPr>
        <w:t xml:space="preserve">Очікувана вартість </w:t>
      </w:r>
      <w:r w:rsidR="00CB14AB" w:rsidRPr="00CB14AB">
        <w:rPr>
          <w:rFonts w:ascii="Times New Roman" w:hAnsi="Times New Roman" w:cs="Times New Roman"/>
          <w:color w:val="000000" w:themeColor="text1"/>
          <w:sz w:val="24"/>
          <w:szCs w:val="24"/>
        </w:rPr>
        <w:t xml:space="preserve">закупівлі </w:t>
      </w:r>
      <w:r w:rsidRPr="0007385B">
        <w:rPr>
          <w:rFonts w:ascii="Times New Roman" w:hAnsi="Times New Roman" w:cs="Times New Roman"/>
          <w:color w:val="000000" w:themeColor="text1"/>
          <w:sz w:val="24"/>
          <w:szCs w:val="24"/>
        </w:rPr>
        <w:t xml:space="preserve"> –</w:t>
      </w:r>
      <w:r w:rsidR="00CB14AB" w:rsidRPr="00CB14AB">
        <w:rPr>
          <w:rFonts w:ascii="Times New Roman" w:hAnsi="Times New Roman" w:cs="Times New Roman"/>
          <w:color w:val="000000" w:themeColor="text1"/>
          <w:sz w:val="24"/>
          <w:szCs w:val="24"/>
        </w:rPr>
        <w:t xml:space="preserve"> 4</w:t>
      </w:r>
      <w:r w:rsidR="00CB14AB">
        <w:rPr>
          <w:rFonts w:ascii="Times New Roman" w:hAnsi="Times New Roman" w:cs="Times New Roman"/>
          <w:color w:val="000000" w:themeColor="text1"/>
          <w:sz w:val="24"/>
          <w:szCs w:val="24"/>
        </w:rPr>
        <w:t> </w:t>
      </w:r>
      <w:r w:rsidR="00CB14AB" w:rsidRPr="00CB14AB">
        <w:rPr>
          <w:rFonts w:ascii="Times New Roman" w:hAnsi="Times New Roman" w:cs="Times New Roman"/>
          <w:color w:val="000000" w:themeColor="text1"/>
          <w:sz w:val="24"/>
          <w:szCs w:val="24"/>
        </w:rPr>
        <w:t xml:space="preserve">000,00 </w:t>
      </w:r>
      <w:r w:rsidRPr="00CB14AB">
        <w:rPr>
          <w:rFonts w:ascii="Times New Roman" w:hAnsi="Times New Roman" w:cs="Times New Roman"/>
          <w:b/>
          <w:bCs/>
          <w:color w:val="000000" w:themeColor="text1"/>
          <w:sz w:val="24"/>
          <w:szCs w:val="24"/>
        </w:rPr>
        <w:t xml:space="preserve"> </w:t>
      </w:r>
      <w:r w:rsidRPr="00CB14AB">
        <w:rPr>
          <w:rFonts w:ascii="Times New Roman" w:hAnsi="Times New Roman" w:cs="Times New Roman"/>
          <w:color w:val="000000" w:themeColor="text1"/>
          <w:sz w:val="24"/>
          <w:szCs w:val="24"/>
        </w:rPr>
        <w:t>грн (</w:t>
      </w:r>
      <w:r w:rsidR="00CB14AB" w:rsidRPr="00CB14AB">
        <w:rPr>
          <w:rFonts w:ascii="Times New Roman" w:hAnsi="Times New Roman" w:cs="Times New Roman"/>
          <w:color w:val="000000" w:themeColor="text1"/>
          <w:sz w:val="24"/>
          <w:szCs w:val="24"/>
        </w:rPr>
        <w:t xml:space="preserve">чотири </w:t>
      </w:r>
      <w:r w:rsidRPr="00CB14AB">
        <w:rPr>
          <w:rFonts w:ascii="Times New Roman" w:hAnsi="Times New Roman" w:cs="Times New Roman"/>
          <w:color w:val="000000" w:themeColor="text1"/>
          <w:sz w:val="24"/>
          <w:szCs w:val="24"/>
        </w:rPr>
        <w:t>тисяч</w:t>
      </w:r>
      <w:r w:rsidR="00CB14AB" w:rsidRPr="00CB14AB">
        <w:rPr>
          <w:rFonts w:ascii="Times New Roman" w:hAnsi="Times New Roman" w:cs="Times New Roman"/>
          <w:color w:val="000000" w:themeColor="text1"/>
          <w:sz w:val="24"/>
          <w:szCs w:val="24"/>
        </w:rPr>
        <w:t>і</w:t>
      </w:r>
      <w:r w:rsidRPr="00CB14AB">
        <w:rPr>
          <w:rFonts w:ascii="Times New Roman" w:hAnsi="Times New Roman" w:cs="Times New Roman"/>
          <w:color w:val="000000" w:themeColor="text1"/>
          <w:sz w:val="24"/>
          <w:szCs w:val="24"/>
        </w:rPr>
        <w:t xml:space="preserve"> гривень 00 копійок) з урахуванням ПДВ.</w:t>
      </w:r>
    </w:p>
    <w:p w:rsidR="00A84EF0" w:rsidRPr="0030314B" w:rsidRDefault="00A84EF0"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rsidR="0007385B" w:rsidRPr="0007385B" w:rsidRDefault="0007385B" w:rsidP="0007385B">
      <w:pPr>
        <w:pStyle w:val="a3"/>
        <w:shd w:val="clear" w:color="auto" w:fill="FFFFFF"/>
        <w:spacing w:before="0" w:beforeAutospacing="0" w:after="150" w:afterAutospacing="0"/>
        <w:jc w:val="both"/>
      </w:pPr>
      <w:r w:rsidRPr="00CB14AB">
        <w:t>Очікувана вартість послуг визначена з урахуванням положень Примірної</w:t>
      </w:r>
      <w:r w:rsidRPr="0007385B">
        <w:t xml:space="preserve">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07385B">
        <w:t>Prozorro</w:t>
      </w:r>
      <w:proofErr w:type="spellEnd"/>
      <w:r w:rsidRPr="0007385B">
        <w:t>.</w:t>
      </w:r>
    </w:p>
    <w:p w:rsidR="0007385B" w:rsidRDefault="0007385B" w:rsidP="0007385B">
      <w:pPr>
        <w:pStyle w:val="a3"/>
        <w:shd w:val="clear" w:color="auto" w:fill="FFFFFF"/>
        <w:spacing w:before="0" w:beforeAutospacing="0" w:after="150" w:afterAutospacing="0"/>
        <w:jc w:val="both"/>
        <w:rPr>
          <w:lang w:val="ru-RU"/>
        </w:rPr>
      </w:pPr>
      <w:r w:rsidRPr="0007385B">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6E4992" w:rsidRDefault="006E4992" w:rsidP="0007385B">
      <w:pPr>
        <w:pStyle w:val="a3"/>
        <w:shd w:val="clear" w:color="auto" w:fill="FFFFFF"/>
        <w:spacing w:before="0" w:beforeAutospacing="0" w:after="150" w:afterAutospacing="0"/>
        <w:jc w:val="both"/>
        <w:rPr>
          <w:lang w:val="ru-RU"/>
        </w:rPr>
      </w:pPr>
    </w:p>
    <w:p w:rsidR="00A84EF0" w:rsidRPr="00A84EF0" w:rsidRDefault="00A84EF0" w:rsidP="0007385B">
      <w:pPr>
        <w:pStyle w:val="a3"/>
        <w:shd w:val="clear" w:color="auto" w:fill="FFFFFF"/>
        <w:spacing w:before="0" w:beforeAutospacing="0" w:after="150" w:afterAutospacing="0"/>
        <w:jc w:val="both"/>
        <w:rPr>
          <w:lang w:val="ru-RU"/>
        </w:rPr>
      </w:pP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F91E3C" w:rsidTr="009F4F45">
        <w:tc>
          <w:tcPr>
            <w:tcW w:w="3120" w:type="dxa"/>
          </w:tcPr>
          <w:p w:rsidR="0007385B" w:rsidRPr="00F91E3C" w:rsidRDefault="0007385B" w:rsidP="009F4F45">
            <w:pPr>
              <w:pStyle w:val="a3"/>
              <w:tabs>
                <w:tab w:val="left" w:pos="3119"/>
              </w:tabs>
              <w:snapToGrid w:val="0"/>
              <w:spacing w:before="0" w:after="0"/>
              <w:ind w:right="5"/>
            </w:pPr>
          </w:p>
        </w:tc>
        <w:tc>
          <w:tcPr>
            <w:tcW w:w="6574" w:type="dxa"/>
            <w:vAlign w:val="center"/>
          </w:tcPr>
          <w:p w:rsidR="0007385B" w:rsidRPr="00F91E3C" w:rsidRDefault="0007385B" w:rsidP="009F4F45">
            <w:pPr>
              <w:tabs>
                <w:tab w:val="left" w:pos="2160"/>
                <w:tab w:val="left" w:pos="3119"/>
                <w:tab w:val="left" w:pos="3600"/>
              </w:tabs>
              <w:snapToGrid w:val="0"/>
              <w:ind w:right="5"/>
              <w:jc w:val="both"/>
              <w:rPr>
                <w:rFonts w:ascii="Times New Roman" w:hAnsi="Times New Roman" w:cs="Times New Roman"/>
                <w:sz w:val="24"/>
                <w:szCs w:val="24"/>
              </w:rPr>
            </w:pPr>
          </w:p>
        </w:tc>
      </w:tr>
    </w:tbl>
    <w:p w:rsidR="005D6990" w:rsidRPr="00F91E3C" w:rsidRDefault="005D6990" w:rsidP="005D6990">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r w:rsidRPr="00F91E3C">
        <w:rPr>
          <w:rFonts w:ascii="Times New Roman" w:eastAsia="Arial" w:hAnsi="Times New Roman"/>
          <w:b/>
          <w:color w:val="000000"/>
          <w:sz w:val="24"/>
          <w:szCs w:val="24"/>
          <w:lang w:eastAsia="ru-RU"/>
        </w:rPr>
        <w:t>ТЕХНІЧНА СПЕЦИФІКАЦІЯ</w:t>
      </w:r>
    </w:p>
    <w:tbl>
      <w:tblPr>
        <w:tblStyle w:val="a8"/>
        <w:tblW w:w="9747" w:type="dxa"/>
        <w:tblLook w:val="04A0" w:firstRow="1" w:lastRow="0" w:firstColumn="1" w:lastColumn="0" w:noHBand="0" w:noVBand="1"/>
      </w:tblPr>
      <w:tblGrid>
        <w:gridCol w:w="562"/>
        <w:gridCol w:w="6350"/>
        <w:gridCol w:w="2835"/>
      </w:tblGrid>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b/>
                <w:color w:val="000000"/>
                <w:sz w:val="24"/>
                <w:szCs w:val="24"/>
                <w:lang w:eastAsia="ru-RU"/>
              </w:rPr>
            </w:pPr>
            <w:r w:rsidRPr="00F91E3C">
              <w:rPr>
                <w:b/>
                <w:bCs/>
                <w:sz w:val="24"/>
                <w:szCs w:val="24"/>
              </w:rPr>
              <w:t>№ з/п</w:t>
            </w:r>
          </w:p>
        </w:tc>
        <w:tc>
          <w:tcPr>
            <w:tcW w:w="6350" w:type="dxa"/>
            <w:vAlign w:val="center"/>
          </w:tcPr>
          <w:p w:rsidR="005D6990" w:rsidRPr="00F91E3C" w:rsidRDefault="005D6990" w:rsidP="00F934FE">
            <w:pPr>
              <w:ind w:right="-1"/>
              <w:jc w:val="center"/>
              <w:rPr>
                <w:rFonts w:eastAsia="Arial"/>
                <w:b/>
                <w:color w:val="000000"/>
                <w:sz w:val="24"/>
                <w:szCs w:val="24"/>
                <w:lang w:eastAsia="ru-RU"/>
              </w:rPr>
            </w:pPr>
            <w:proofErr w:type="spellStart"/>
            <w:r w:rsidRPr="00F91E3C">
              <w:rPr>
                <w:b/>
                <w:bCs/>
                <w:sz w:val="24"/>
                <w:szCs w:val="24"/>
              </w:rPr>
              <w:t>Найменування</w:t>
            </w:r>
            <w:proofErr w:type="spellEnd"/>
            <w:r w:rsidRPr="00F91E3C">
              <w:rPr>
                <w:b/>
                <w:bCs/>
                <w:sz w:val="24"/>
                <w:szCs w:val="24"/>
              </w:rPr>
              <w:t xml:space="preserve"> </w:t>
            </w:r>
            <w:proofErr w:type="spellStart"/>
            <w:r w:rsidRPr="00F91E3C">
              <w:rPr>
                <w:b/>
                <w:bCs/>
                <w:sz w:val="24"/>
                <w:szCs w:val="24"/>
              </w:rPr>
              <w:t>послуг</w:t>
            </w:r>
            <w:proofErr w:type="spellEnd"/>
          </w:p>
        </w:tc>
        <w:tc>
          <w:tcPr>
            <w:tcW w:w="2835" w:type="dxa"/>
            <w:vAlign w:val="center"/>
          </w:tcPr>
          <w:p w:rsidR="005D6990" w:rsidRPr="00F91E3C" w:rsidRDefault="005D6990" w:rsidP="00F934FE">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F91E3C">
              <w:rPr>
                <w:b/>
                <w:bCs/>
                <w:sz w:val="24"/>
                <w:szCs w:val="24"/>
              </w:rPr>
              <w:t>Кількість</w:t>
            </w:r>
            <w:proofErr w:type="spellEnd"/>
            <w:r w:rsidRPr="00F91E3C">
              <w:rPr>
                <w:b/>
                <w:bCs/>
                <w:sz w:val="24"/>
                <w:szCs w:val="24"/>
              </w:rPr>
              <w:t xml:space="preserve"> </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1</w:t>
            </w:r>
          </w:p>
        </w:tc>
        <w:tc>
          <w:tcPr>
            <w:tcW w:w="6350" w:type="dxa"/>
            <w:vAlign w:val="bottom"/>
          </w:tcPr>
          <w:p w:rsidR="005D6990"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r w:rsidRPr="00F91E3C">
              <w:rPr>
                <w:rFonts w:eastAsia="Arial"/>
                <w:color w:val="000000"/>
                <w:sz w:val="24"/>
                <w:szCs w:val="24"/>
                <w:lang w:eastAsia="ru-RU"/>
              </w:rPr>
              <w:t xml:space="preserve">БФП </w:t>
            </w:r>
            <w:r w:rsidRPr="00F91E3C">
              <w:rPr>
                <w:color w:val="000000"/>
                <w:sz w:val="24"/>
                <w:szCs w:val="24"/>
                <w:lang w:val="en-US"/>
              </w:rPr>
              <w:t>S</w:t>
            </w:r>
            <w:r w:rsidRPr="00F91E3C">
              <w:rPr>
                <w:color w:val="000000"/>
                <w:sz w:val="24"/>
                <w:szCs w:val="24"/>
              </w:rPr>
              <w:t>а</w:t>
            </w:r>
            <w:proofErr w:type="spellStart"/>
            <w:r w:rsidRPr="00F91E3C">
              <w:rPr>
                <w:color w:val="000000"/>
                <w:sz w:val="24"/>
                <w:szCs w:val="24"/>
                <w:lang w:val="en-US"/>
              </w:rPr>
              <w:t>msung</w:t>
            </w:r>
            <w:proofErr w:type="spellEnd"/>
            <w:r w:rsidRPr="00F91E3C">
              <w:rPr>
                <w:color w:val="000000"/>
                <w:sz w:val="24"/>
                <w:szCs w:val="24"/>
              </w:rPr>
              <w:t xml:space="preserve"> </w:t>
            </w:r>
            <w:r>
              <w:rPr>
                <w:color w:val="000000"/>
                <w:sz w:val="24"/>
                <w:szCs w:val="24"/>
                <w:lang w:val="en-US"/>
              </w:rPr>
              <w:t>SL</w:t>
            </w:r>
            <w:r w:rsidRPr="004E77DC">
              <w:rPr>
                <w:color w:val="000000"/>
                <w:sz w:val="24"/>
                <w:szCs w:val="24"/>
              </w:rPr>
              <w:t>-</w:t>
            </w:r>
            <w:r w:rsidRPr="00F91E3C">
              <w:rPr>
                <w:rFonts w:eastAsia="Arial"/>
                <w:color w:val="000000"/>
                <w:sz w:val="24"/>
                <w:szCs w:val="24"/>
                <w:lang w:eastAsia="ru-RU"/>
              </w:rPr>
              <w:t>M2070 (</w:t>
            </w:r>
            <w:proofErr w:type="spellStart"/>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1014600001/6)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вузла</w:t>
            </w:r>
            <w:proofErr w:type="spellEnd"/>
            <w:r w:rsidRPr="00F91E3C">
              <w:rPr>
                <w:rFonts w:eastAsia="Arial"/>
                <w:color w:val="000000"/>
                <w:sz w:val="24"/>
                <w:szCs w:val="24"/>
                <w:lang w:eastAsia="ru-RU"/>
              </w:rPr>
              <w:t xml:space="preserve"> захвату </w:t>
            </w:r>
            <w:proofErr w:type="spellStart"/>
            <w:r w:rsidRPr="00F91E3C">
              <w:rPr>
                <w:rFonts w:eastAsia="Arial"/>
                <w:color w:val="000000"/>
                <w:sz w:val="24"/>
                <w:szCs w:val="24"/>
                <w:lang w:eastAsia="ru-RU"/>
              </w:rPr>
              <w:t>паперу</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гальмівної</w:t>
            </w:r>
            <w:proofErr w:type="spellEnd"/>
            <w:r w:rsidRPr="00F91E3C">
              <w:rPr>
                <w:rFonts w:eastAsia="Arial"/>
                <w:color w:val="000000"/>
                <w:sz w:val="24"/>
                <w:szCs w:val="24"/>
                <w:lang w:eastAsia="ru-RU"/>
              </w:rPr>
              <w:t xml:space="preserve"> площадки</w:t>
            </w:r>
          </w:p>
          <w:p w:rsidR="005D6990" w:rsidRPr="0068386F"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2</w:t>
            </w:r>
          </w:p>
        </w:tc>
        <w:tc>
          <w:tcPr>
            <w:tcW w:w="6350" w:type="dxa"/>
            <w:vAlign w:val="bottom"/>
          </w:tcPr>
          <w:p w:rsidR="005D6990"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r w:rsidRPr="00F91E3C">
              <w:rPr>
                <w:rFonts w:eastAsia="Arial"/>
                <w:color w:val="000000"/>
                <w:sz w:val="24"/>
                <w:szCs w:val="24"/>
                <w:lang w:eastAsia="ru-RU"/>
              </w:rPr>
              <w:t>Принтер Canon i-SENSYS LBP-6030В (</w:t>
            </w:r>
            <w:proofErr w:type="spellStart"/>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11138067/4)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термоплівки</w:t>
            </w:r>
            <w:proofErr w:type="spellEnd"/>
          </w:p>
          <w:p w:rsidR="005D6990" w:rsidRPr="0068386F"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3</w:t>
            </w:r>
          </w:p>
        </w:tc>
        <w:tc>
          <w:tcPr>
            <w:tcW w:w="6350" w:type="dxa"/>
            <w:vAlign w:val="bottom"/>
          </w:tcPr>
          <w:p w:rsidR="005D6990" w:rsidRPr="00F91E3C" w:rsidRDefault="005D6990" w:rsidP="00F934FE">
            <w:pPr>
              <w:tabs>
                <w:tab w:val="num" w:pos="426"/>
                <w:tab w:val="left" w:pos="567"/>
                <w:tab w:val="left" w:pos="1560"/>
                <w:tab w:val="right" w:leader="underscore" w:pos="9923"/>
              </w:tabs>
              <w:ind w:right="-1"/>
              <w:jc w:val="both"/>
              <w:rPr>
                <w:rFonts w:eastAsia="Arial"/>
                <w:color w:val="000000"/>
                <w:sz w:val="24"/>
                <w:szCs w:val="24"/>
                <w:lang w:eastAsia="ru-RU"/>
              </w:rPr>
            </w:pPr>
            <w:r w:rsidRPr="00F91E3C">
              <w:rPr>
                <w:rFonts w:eastAsia="Arial"/>
                <w:color w:val="000000"/>
                <w:sz w:val="24"/>
                <w:szCs w:val="24"/>
                <w:lang w:eastAsia="ru-RU"/>
              </w:rPr>
              <w:t xml:space="preserve">Принтер лазер А4 CANON LBP-6230DW+Wi-Fi      </w:t>
            </w:r>
            <w:r>
              <w:rPr>
                <w:rFonts w:eastAsia="Arial"/>
                <w:color w:val="000000"/>
                <w:sz w:val="24"/>
                <w:szCs w:val="24"/>
                <w:lang w:eastAsia="ru-RU"/>
              </w:rPr>
              <w:t xml:space="preserve">                   </w:t>
            </w:r>
            <w:proofErr w:type="gramStart"/>
            <w:r>
              <w:rPr>
                <w:rFonts w:eastAsia="Arial"/>
                <w:color w:val="000000"/>
                <w:sz w:val="24"/>
                <w:szCs w:val="24"/>
                <w:lang w:eastAsia="ru-RU"/>
              </w:rPr>
              <w:t xml:space="preserve"> </w:t>
            </w:r>
            <w:r w:rsidRPr="00F91E3C">
              <w:rPr>
                <w:rFonts w:eastAsia="Arial"/>
                <w:color w:val="000000"/>
                <w:sz w:val="24"/>
                <w:szCs w:val="24"/>
                <w:lang w:eastAsia="ru-RU"/>
              </w:rPr>
              <w:t xml:space="preserve">  (</w:t>
            </w:r>
            <w:proofErr w:type="spellStart"/>
            <w:proofErr w:type="gramEnd"/>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11137055/3)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термоплівки</w:t>
            </w:r>
            <w:proofErr w:type="spellEnd"/>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p>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p>
        </w:tc>
        <w:tc>
          <w:tcPr>
            <w:tcW w:w="6350" w:type="dxa"/>
            <w:vAlign w:val="bottom"/>
          </w:tcPr>
          <w:p w:rsidR="005D6990" w:rsidRPr="00F91E3C" w:rsidRDefault="005D6990" w:rsidP="00F934FE">
            <w:pPr>
              <w:tabs>
                <w:tab w:val="num" w:pos="426"/>
                <w:tab w:val="left" w:pos="567"/>
                <w:tab w:val="left" w:pos="1560"/>
                <w:tab w:val="right" w:leader="underscore" w:pos="9923"/>
              </w:tabs>
              <w:ind w:right="-1"/>
              <w:jc w:val="both"/>
              <w:rPr>
                <w:rFonts w:eastAsia="Arial"/>
                <w:color w:val="000000"/>
                <w:sz w:val="24"/>
                <w:szCs w:val="24"/>
                <w:lang w:eastAsia="ru-RU"/>
              </w:rPr>
            </w:pPr>
          </w:p>
        </w:tc>
        <w:tc>
          <w:tcPr>
            <w:tcW w:w="2835" w:type="dxa"/>
            <w:vAlign w:val="center"/>
          </w:tcPr>
          <w:p w:rsidR="005D6990" w:rsidRPr="00886530" w:rsidRDefault="005D6990" w:rsidP="00F934FE">
            <w:pPr>
              <w:jc w:val="center"/>
              <w:rPr>
                <w:sz w:val="24"/>
                <w:szCs w:val="24"/>
              </w:rPr>
            </w:pPr>
            <w:r w:rsidRPr="00886530">
              <w:rPr>
                <w:sz w:val="24"/>
                <w:szCs w:val="24"/>
              </w:rPr>
              <w:t>3</w:t>
            </w:r>
          </w:p>
        </w:tc>
      </w:tr>
    </w:tbl>
    <w:p w:rsidR="005D6990" w:rsidRPr="00F91E3C" w:rsidRDefault="005D6990" w:rsidP="005D6990">
      <w:pPr>
        <w:ind w:left="-426" w:firstLine="426"/>
        <w:jc w:val="both"/>
        <w:rPr>
          <w:rFonts w:ascii="Times New Roman" w:hAnsi="Times New Roman"/>
          <w:i/>
          <w:sz w:val="24"/>
          <w:szCs w:val="24"/>
        </w:rPr>
      </w:pPr>
    </w:p>
    <w:p w:rsidR="005D6990" w:rsidRPr="00F91E3C" w:rsidRDefault="005D6990" w:rsidP="005D6990">
      <w:pPr>
        <w:ind w:left="-426" w:firstLine="426"/>
        <w:jc w:val="both"/>
        <w:rPr>
          <w:rFonts w:ascii="Times New Roman" w:hAnsi="Times New Roman"/>
          <w:i/>
          <w:sz w:val="24"/>
          <w:szCs w:val="24"/>
        </w:rPr>
      </w:pPr>
      <w:r w:rsidRPr="00F91E3C">
        <w:rPr>
          <w:rFonts w:ascii="Times New Roman" w:hAnsi="Times New Roman"/>
          <w:i/>
          <w:sz w:val="24"/>
          <w:szCs w:val="24"/>
        </w:rPr>
        <w:t>*Примітки:</w:t>
      </w:r>
    </w:p>
    <w:p w:rsidR="005D6990" w:rsidRPr="00F91E3C" w:rsidRDefault="005D6990" w:rsidP="003A74F3">
      <w:pPr>
        <w:ind w:left="-142" w:firstLine="142"/>
        <w:jc w:val="both"/>
        <w:rPr>
          <w:rFonts w:ascii="Times New Roman" w:hAnsi="Times New Roman"/>
          <w:i/>
          <w:sz w:val="24"/>
          <w:szCs w:val="24"/>
        </w:rPr>
      </w:pPr>
      <w:r w:rsidRPr="00F91E3C">
        <w:rPr>
          <w:rFonts w:ascii="Times New Roman" w:hAnsi="Times New Roman"/>
          <w:i/>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F91E3C">
        <w:rPr>
          <w:rFonts w:ascii="Times New Roman" w:hAnsi="Times New Roman"/>
          <w:i/>
          <w:sz w:val="24"/>
          <w:szCs w:val="24"/>
          <w:u w:val="single"/>
        </w:rPr>
        <w:t>після кожного такого посилання слід вважати наявний вираз «або еквівалент».</w:t>
      </w:r>
      <w:r w:rsidRPr="00F91E3C">
        <w:rPr>
          <w:rFonts w:ascii="Times New Roman" w:hAnsi="Times New Roman"/>
          <w:i/>
          <w:sz w:val="24"/>
          <w:szCs w:val="24"/>
        </w:rPr>
        <w:t xml:space="preserve"> </w:t>
      </w:r>
    </w:p>
    <w:p w:rsidR="005D6990" w:rsidRPr="00F91E3C" w:rsidRDefault="005D6990" w:rsidP="005D6990">
      <w:pPr>
        <w:ind w:firstLine="426"/>
        <w:jc w:val="both"/>
        <w:rPr>
          <w:rFonts w:ascii="Times New Roman" w:hAnsi="Times New Roman"/>
          <w:i/>
          <w:sz w:val="24"/>
          <w:szCs w:val="24"/>
          <w:u w:val="single"/>
        </w:rPr>
      </w:pPr>
      <w:r w:rsidRPr="00F91E3C">
        <w:rPr>
          <w:rFonts w:ascii="Times New Roman" w:hAnsi="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F91E3C">
        <w:rPr>
          <w:rFonts w:ascii="Times New Roman" w:hAnsi="Times New Roman"/>
          <w:i/>
          <w:sz w:val="24"/>
          <w:szCs w:val="24"/>
          <w:u w:val="single"/>
        </w:rPr>
        <w:t xml:space="preserve">Після кожного такого посилання слід вважати наявний вираз «або еквівалент». </w:t>
      </w:r>
    </w:p>
    <w:p w:rsidR="005D6990" w:rsidRPr="00F91E3C" w:rsidRDefault="005D6990" w:rsidP="005D6990">
      <w:pPr>
        <w:ind w:firstLine="426"/>
        <w:jc w:val="both"/>
        <w:rPr>
          <w:rFonts w:ascii="Times New Roman" w:hAnsi="Times New Roman"/>
          <w:i/>
          <w:sz w:val="24"/>
          <w:szCs w:val="24"/>
          <w:lang w:eastAsia="zh-CN"/>
        </w:rPr>
      </w:pPr>
      <w:r w:rsidRPr="00F91E3C">
        <w:rPr>
          <w:rFonts w:ascii="Times New Roman" w:hAnsi="Times New Roman"/>
          <w:b/>
          <w:i/>
          <w:sz w:val="24"/>
          <w:szCs w:val="24"/>
          <w:lang w:eastAsia="zh-CN"/>
        </w:rPr>
        <w:t>«Або еквівалент»</w:t>
      </w:r>
      <w:r w:rsidRPr="00F91E3C">
        <w:rPr>
          <w:rFonts w:ascii="Times New Roman" w:hAnsi="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rsidR="005D6990" w:rsidRPr="00F91E3C" w:rsidRDefault="005D6990" w:rsidP="005D6990">
      <w:pPr>
        <w:ind w:firstLine="426"/>
        <w:jc w:val="both"/>
        <w:rPr>
          <w:rFonts w:ascii="Times New Roman" w:hAnsi="Times New Roman"/>
          <w:b/>
          <w:i/>
          <w:sz w:val="24"/>
          <w:szCs w:val="24"/>
          <w:lang w:eastAsia="zh-CN"/>
        </w:rPr>
      </w:pPr>
      <w:r w:rsidRPr="00F91E3C">
        <w:rPr>
          <w:rFonts w:ascii="Times New Roman" w:hAnsi="Times New Roman"/>
          <w:b/>
          <w:color w:val="000000"/>
          <w:sz w:val="24"/>
          <w:szCs w:val="24"/>
        </w:rPr>
        <w:t>Посилання на конкретних виробників та марки (моделі) оргтехніки,</w:t>
      </w:r>
      <w:r w:rsidRPr="00F91E3C">
        <w:rPr>
          <w:rFonts w:ascii="Times New Roman" w:hAnsi="Times New Roman"/>
          <w:b/>
          <w:sz w:val="24"/>
          <w:szCs w:val="24"/>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F91E3C">
        <w:rPr>
          <w:rFonts w:ascii="Times New Roman" w:hAnsi="Times New Roman"/>
          <w:b/>
          <w:color w:val="000000"/>
          <w:sz w:val="24"/>
          <w:szCs w:val="24"/>
        </w:rPr>
        <w:t>, що перебувають на балансі та вже використовуються Замовником.</w:t>
      </w:r>
    </w:p>
    <w:p w:rsidR="005D6990" w:rsidRDefault="005D6990" w:rsidP="005D6990">
      <w:pPr>
        <w:ind w:firstLine="426"/>
        <w:jc w:val="center"/>
        <w:rPr>
          <w:rFonts w:ascii="Times New Roman" w:hAnsi="Times New Roman"/>
          <w:b/>
          <w:caps/>
          <w:sz w:val="24"/>
          <w:szCs w:val="24"/>
        </w:rPr>
      </w:pPr>
      <w:r w:rsidRPr="00F91E3C">
        <w:rPr>
          <w:rFonts w:ascii="Times New Roman" w:hAnsi="Times New Roman"/>
          <w:b/>
          <w:caps/>
          <w:sz w:val="24"/>
          <w:szCs w:val="24"/>
        </w:rPr>
        <w:t>вимоги до предмету закупівлі:</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1. Ціна Послуг повинна враховувати усі податки та збори, що сплачуються або мають бути сплачені стосовно запропонованих послуг, з урахуванням усіх витрат. Не врахована Учасником (Виконавцем) вартість окремих супутніх послуг, необхідних для надання послуг,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 (Виконавцем), крім випадків перерахунку ціни за результатами електронного аукціону в бік зменшення ціни пропозиції  Учасника без зменшення обсягів закупівлі.</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lastRenderedPageBreak/>
        <w:t>2. Надання Послуг Учасником (Виконавцем) повинно здійснюватися у встановленому обсязі (кількості одиниць) щодо забезпечення потреб Замовника з використанням витратних матеріалів Учасника (Виконавця). Надання Послуг повинно відбуватися з  використанням нових запчастин та витратних матеріалів.</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3. Надання послуг здійснюється у термін до 48 годин з моменту надходження звичайної заявки від Замовника та протягом 1 години з моменту надходження першочергової заявки від Замовника. Заявка здійснюється у телефонному режимі. Учасник (Виконавець) повинен мати достатньо виробничих потужностей для забезпечення виконання послуг власноруч.</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4. При неможливості з поважних причин в передбачений термін надати послуги, негайно повідомити про це Замовника шляхом направлення на адресу останнього письмового повідомлення з обґрунтуванням поважності причин неможливості вчасного надання послуг. На час надання послуг забезпечити заміну офісного обладнання з власного підмінного фонду аналогічним за технічними характеристиками.</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5. У випадку виходу з ладу обладнання, яке відпрацювало свій ресурс, і неможливості відновлення його працездатності, Учасник (Виконавець) складає акт оцінки технічного стану (дефектний акт) та надає його Замовнику.</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6. Пристрої повинні забиратись і повертатись Учасником (Виконавцем) за місцезнаходженням Замовника.</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 xml:space="preserve">7. Доставка пристроїв від Замовника до лабораторії Учасника (Виконавця) і в </w:t>
      </w:r>
      <w:proofErr w:type="spellStart"/>
      <w:r w:rsidRPr="00F91E3C">
        <w:rPr>
          <w:rFonts w:ascii="Times New Roman" w:hAnsi="Times New Roman"/>
          <w:sz w:val="24"/>
          <w:szCs w:val="24"/>
          <w:lang w:eastAsia="ru-RU"/>
        </w:rPr>
        <w:t>зворотньому</w:t>
      </w:r>
      <w:proofErr w:type="spellEnd"/>
      <w:r w:rsidRPr="00F91E3C">
        <w:rPr>
          <w:rFonts w:ascii="Times New Roman" w:hAnsi="Times New Roman"/>
          <w:sz w:val="24"/>
          <w:szCs w:val="24"/>
          <w:lang w:eastAsia="ru-RU"/>
        </w:rPr>
        <w:t xml:space="preserve"> напрямку здійснюється за рахунок Учасника (Виконавця).</w:t>
      </w:r>
    </w:p>
    <w:p w:rsidR="005D6990" w:rsidRPr="00F91E3C"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8. Запропоновані Учасником послуги з ремонту лазерних принтерів та копіювальних апаратів повинні відповідати наступним технічним вимогам:</w:t>
      </w:r>
    </w:p>
    <w:p w:rsidR="005D6990" w:rsidRPr="00F91E3C" w:rsidRDefault="005D6990" w:rsidP="005D6990">
      <w:pPr>
        <w:keepNext/>
        <w:keepLines/>
        <w:spacing w:after="120" w:line="240" w:lineRule="auto"/>
        <w:ind w:left="-425" w:firstLine="425"/>
        <w:jc w:val="both"/>
        <w:rPr>
          <w:rFonts w:ascii="Times New Roman" w:hAnsi="Times New Roman"/>
          <w:sz w:val="24"/>
          <w:szCs w:val="24"/>
          <w:lang w:eastAsia="ru-RU"/>
        </w:rPr>
      </w:pPr>
      <w:r>
        <w:rPr>
          <w:rFonts w:ascii="Times New Roman" w:hAnsi="Times New Roman"/>
          <w:sz w:val="24"/>
          <w:szCs w:val="24"/>
          <w:lang w:eastAsia="ru-RU"/>
        </w:rPr>
        <w:t xml:space="preserve">      </w:t>
      </w:r>
      <w:r w:rsidRPr="00F91E3C">
        <w:rPr>
          <w:rFonts w:ascii="Times New Roman" w:hAnsi="Times New Roman"/>
          <w:sz w:val="24"/>
          <w:szCs w:val="24"/>
          <w:lang w:eastAsia="ru-RU"/>
        </w:rPr>
        <w:t>8.1. Послуги повинні виконуватись у спеціально обладнаній лабораторії на території Учасника.</w:t>
      </w:r>
    </w:p>
    <w:p w:rsidR="005D6990" w:rsidRPr="00F91E3C" w:rsidRDefault="005D6990" w:rsidP="005D6990">
      <w:pPr>
        <w:keepNext/>
        <w:keepLines/>
        <w:spacing w:after="120" w:line="240" w:lineRule="auto"/>
        <w:ind w:left="-425" w:firstLine="425"/>
        <w:jc w:val="both"/>
        <w:rPr>
          <w:rFonts w:ascii="Times New Roman" w:hAnsi="Times New Roman"/>
          <w:sz w:val="24"/>
          <w:szCs w:val="24"/>
          <w:highlight w:val="yellow"/>
          <w:lang w:eastAsia="ru-RU"/>
        </w:rPr>
      </w:pPr>
      <w:r>
        <w:rPr>
          <w:rFonts w:ascii="Times New Roman" w:hAnsi="Times New Roman"/>
          <w:sz w:val="24"/>
          <w:szCs w:val="24"/>
          <w:lang w:eastAsia="ru-RU"/>
        </w:rPr>
        <w:t xml:space="preserve">      </w:t>
      </w:r>
      <w:r w:rsidRPr="00F91E3C">
        <w:rPr>
          <w:rFonts w:ascii="Times New Roman" w:hAnsi="Times New Roman"/>
          <w:sz w:val="24"/>
          <w:szCs w:val="24"/>
          <w:lang w:eastAsia="ru-RU"/>
        </w:rPr>
        <w:t>8.2. Послуги повинні виконуватись без порушення працездатності пристрою.</w:t>
      </w:r>
    </w:p>
    <w:p w:rsidR="005D6990" w:rsidRPr="00F91E3C" w:rsidRDefault="005D6990" w:rsidP="005D6990">
      <w:pPr>
        <w:jc w:val="center"/>
        <w:rPr>
          <w:rFonts w:ascii="Times New Roman" w:hAnsi="Times New Roman"/>
          <w:b/>
          <w:caps/>
          <w:sz w:val="24"/>
          <w:szCs w:val="24"/>
        </w:rPr>
      </w:pPr>
    </w:p>
    <w:p w:rsidR="005D6990" w:rsidRPr="00F91E3C" w:rsidRDefault="005D6990" w:rsidP="005D6990">
      <w:pPr>
        <w:jc w:val="center"/>
        <w:rPr>
          <w:rFonts w:ascii="Times New Roman" w:hAnsi="Times New Roman"/>
          <w:b/>
          <w:caps/>
          <w:sz w:val="24"/>
          <w:szCs w:val="24"/>
        </w:rPr>
      </w:pPr>
      <w:r w:rsidRPr="00F91E3C">
        <w:rPr>
          <w:rFonts w:ascii="Times New Roman" w:hAnsi="Times New Roman"/>
          <w:b/>
          <w:caps/>
          <w:sz w:val="24"/>
          <w:szCs w:val="24"/>
        </w:rPr>
        <w:t>Документи, що підтверджують технічні, якісні та кількісні характеристики ПРЕДМЕТА ЗАКУПІВЛІ :</w:t>
      </w:r>
    </w:p>
    <w:p w:rsidR="005D6990" w:rsidRPr="00F91E3C" w:rsidRDefault="005D6990" w:rsidP="005D6990">
      <w:pPr>
        <w:pStyle w:val="a6"/>
        <w:jc w:val="both"/>
        <w:rPr>
          <w:rFonts w:ascii="Times New Roman" w:hAnsi="Times New Roman"/>
          <w:b/>
          <w:caps/>
          <w:sz w:val="24"/>
          <w:szCs w:val="24"/>
          <w:highlight w:val="yellow"/>
        </w:rPr>
      </w:pPr>
    </w:p>
    <w:p w:rsidR="005D6990" w:rsidRPr="00F91E3C" w:rsidRDefault="005D6990" w:rsidP="005D6990">
      <w:pPr>
        <w:ind w:left="-426" w:firstLine="426"/>
        <w:jc w:val="both"/>
        <w:rPr>
          <w:rFonts w:ascii="Times New Roman" w:hAnsi="Times New Roman"/>
          <w:i/>
          <w:caps/>
          <w:sz w:val="24"/>
          <w:szCs w:val="24"/>
          <w:lang w:eastAsia="zh-CN"/>
        </w:rPr>
      </w:pPr>
      <w:r w:rsidRPr="00F91E3C">
        <w:rPr>
          <w:rFonts w:ascii="Times New Roman" w:hAnsi="Times New Roman"/>
          <w:sz w:val="24"/>
          <w:szCs w:val="24"/>
          <w:lang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5D6990" w:rsidRPr="00F91E3C" w:rsidRDefault="005D6990" w:rsidP="005D6990">
      <w:pPr>
        <w:ind w:left="-426"/>
        <w:jc w:val="both"/>
        <w:rPr>
          <w:rFonts w:ascii="Times New Roman" w:hAnsi="Times New Roman"/>
          <w:i/>
          <w:caps/>
          <w:sz w:val="24"/>
          <w:szCs w:val="24"/>
          <w:lang w:eastAsia="zh-CN"/>
        </w:rPr>
      </w:pPr>
      <w:r w:rsidRPr="00F91E3C">
        <w:rPr>
          <w:rFonts w:ascii="Times New Roman" w:hAnsi="Times New Roman"/>
          <w:sz w:val="24"/>
          <w:szCs w:val="24"/>
          <w:lang w:eastAsia="ru-RU"/>
        </w:rPr>
        <w:t xml:space="preserve">      1.  </w:t>
      </w:r>
      <w:r w:rsidRPr="00F91E3C">
        <w:rPr>
          <w:rFonts w:ascii="Times New Roman" w:hAnsi="Times New Roman"/>
          <w:sz w:val="24"/>
          <w:szCs w:val="24"/>
        </w:rPr>
        <w:t>Довідка (форма довільна) щодо можливості надання послуг згідно з вимогами.</w:t>
      </w:r>
    </w:p>
    <w:p w:rsidR="005D6990" w:rsidRPr="00F91E3C" w:rsidRDefault="005D6990" w:rsidP="005D6990">
      <w:pPr>
        <w:ind w:left="-426"/>
        <w:jc w:val="both"/>
        <w:rPr>
          <w:rFonts w:ascii="Times New Roman" w:eastAsia="Arial" w:hAnsi="Times New Roman"/>
          <w:b/>
          <w:color w:val="000000"/>
          <w:sz w:val="24"/>
          <w:szCs w:val="24"/>
          <w:lang w:eastAsia="ru-RU"/>
        </w:rPr>
      </w:pPr>
      <w:r w:rsidRPr="00F91E3C">
        <w:rPr>
          <w:rFonts w:ascii="Times New Roman" w:hAnsi="Times New Roman"/>
          <w:sz w:val="24"/>
          <w:szCs w:val="24"/>
        </w:rPr>
        <w:t xml:space="preserve">      2. Документи щодо витратних матеріалів та запчастин.  Витратні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rsidR="005D6990" w:rsidRPr="00F91E3C" w:rsidRDefault="005D6990" w:rsidP="005D6990">
      <w:pPr>
        <w:ind w:left="-426" w:firstLine="71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943039">
        <w:rPr>
          <w:rFonts w:ascii="Times New Roman" w:hAnsi="Times New Roman"/>
          <w:bCs/>
          <w:sz w:val="24"/>
          <w:szCs w:val="24"/>
          <w:lang w:eastAsia="ru-RU"/>
        </w:rPr>
        <w:t xml:space="preserve">-оригінал або копію </w:t>
      </w:r>
      <w:r w:rsidRPr="00943039">
        <w:rPr>
          <w:rFonts w:ascii="Times New Roman" w:hAnsi="Times New Roman"/>
          <w:iCs/>
          <w:sz w:val="24"/>
          <w:szCs w:val="24"/>
          <w:lang w:eastAsia="ru-RU"/>
        </w:rPr>
        <w:t>Сертифікату походження товарів</w:t>
      </w:r>
      <w:r w:rsidRPr="00943039">
        <w:rPr>
          <w:rFonts w:ascii="Times New Roman" w:hAnsi="Times New Roman"/>
          <w:bCs/>
          <w:sz w:val="24"/>
          <w:szCs w:val="24"/>
          <w:lang w:eastAsia="ru-RU"/>
        </w:rPr>
        <w:t xml:space="preserve"> (в разі імпорту додати копію інвойсу з переліком товарів) на витратні матеріали/запчастини, які будуть використані для надання послуг, видані уповноваженою установою виробнику зазначених витратних матеріалів, відповідно до законодавства країни походження;</w:t>
      </w:r>
      <w:r>
        <w:rPr>
          <w:rFonts w:ascii="Times New Roman" w:hAnsi="Times New Roman"/>
          <w:bCs/>
          <w:sz w:val="24"/>
          <w:szCs w:val="24"/>
          <w:lang w:eastAsia="ru-RU"/>
        </w:rPr>
        <w:t xml:space="preserve">   </w:t>
      </w:r>
    </w:p>
    <w:p w:rsidR="005D6990" w:rsidRPr="00F91E3C" w:rsidRDefault="005D6990" w:rsidP="005D6990">
      <w:pPr>
        <w:ind w:left="-426" w:firstLine="993"/>
        <w:jc w:val="both"/>
        <w:rPr>
          <w:rFonts w:ascii="Times New Roman" w:hAnsi="Times New Roman"/>
          <w:bCs/>
          <w:sz w:val="24"/>
          <w:szCs w:val="24"/>
          <w:lang w:eastAsia="ru-RU"/>
        </w:rPr>
      </w:pPr>
      <w:r w:rsidRPr="00F91E3C">
        <w:rPr>
          <w:rFonts w:ascii="Times New Roman" w:hAnsi="Times New Roman"/>
          <w:bCs/>
          <w:sz w:val="24"/>
          <w:szCs w:val="24"/>
          <w:lang w:eastAsia="ru-RU"/>
        </w:rPr>
        <w:lastRenderedPageBreak/>
        <w:t>-о</w:t>
      </w:r>
      <w:r w:rsidRPr="00F91E3C">
        <w:rPr>
          <w:rFonts w:ascii="Times New Roman" w:hAnsi="Times New Roman"/>
          <w:iCs/>
          <w:sz w:val="24"/>
          <w:szCs w:val="24"/>
          <w:lang w:eastAsia="ru-RU"/>
        </w:rPr>
        <w:t xml:space="preserve">ригінал або копію </w:t>
      </w:r>
      <w:r w:rsidRPr="00F91E3C">
        <w:rPr>
          <w:rFonts w:ascii="Times New Roman" w:hAnsi="Times New Roman"/>
          <w:bCs/>
          <w:sz w:val="24"/>
          <w:szCs w:val="24"/>
          <w:lang w:eastAsia="ru-RU"/>
        </w:rPr>
        <w:t>сертифікатів міжнародного зразка, про наявність у виробника (або імпортера) запропонованих витратних матеріалів, що будуть використовуватися для ремонту техніки, системи контроля якості ISO 9001:2015 та системи екологічного менеджменту ISO 14001:2015 на відповідність вимогам ДСТУ EN ISO/IEC 17021-1:2015 (ISO/IEC 17021-1:2015), виданих органом з сертифікації систем менеджменту, який офіційно акредитований Національним агентством з акредитації України та є в переліку на офіційному веб-ресурсі (https://naau.org.ua), підтвердити чинним атестатом про акредитацію, дійсних на момент розкриття пропозицій;</w:t>
      </w:r>
    </w:p>
    <w:p w:rsidR="005D6990" w:rsidRPr="00F91E3C" w:rsidRDefault="005D6990" w:rsidP="005D6990">
      <w:pPr>
        <w:ind w:left="-426" w:firstLine="993"/>
        <w:jc w:val="both"/>
        <w:rPr>
          <w:rFonts w:ascii="Times New Roman" w:hAnsi="Times New Roman"/>
          <w:bCs/>
          <w:sz w:val="24"/>
          <w:szCs w:val="24"/>
          <w:lang w:eastAsia="ru-RU"/>
        </w:rPr>
      </w:pPr>
      <w:r w:rsidRPr="00F91E3C">
        <w:rPr>
          <w:rFonts w:ascii="Times New Roman" w:hAnsi="Times New Roman"/>
          <w:sz w:val="24"/>
          <w:szCs w:val="24"/>
          <w:lang w:eastAsia="ru-RU"/>
        </w:rPr>
        <w:t>-я</w:t>
      </w:r>
      <w:r w:rsidRPr="00F91E3C">
        <w:rPr>
          <w:rFonts w:ascii="Times New Roman" w:hAnsi="Times New Roman"/>
          <w:bCs/>
          <w:sz w:val="24"/>
          <w:szCs w:val="24"/>
          <w:lang w:eastAsia="ru-RU"/>
        </w:rPr>
        <w:t xml:space="preserve">кщо учасник не є виробником запчастин та витратних матеріалів для друкуючих пристроїв, то він  надає лист від виробника/імпортера, який підтверджує статус учасника як авторизованого партнера/офіційного представника. Цей лист адресований Замовнику даної закупівлі з зазначенням ідентифікатору закупівлі в центральній базі даних (ЦБД) системи </w:t>
      </w:r>
      <w:proofErr w:type="spellStart"/>
      <w:r w:rsidRPr="00F91E3C">
        <w:rPr>
          <w:rFonts w:ascii="Times New Roman" w:hAnsi="Times New Roman"/>
          <w:bCs/>
          <w:sz w:val="24"/>
          <w:szCs w:val="24"/>
          <w:lang w:eastAsia="ru-RU"/>
        </w:rPr>
        <w:t>Prozorro</w:t>
      </w:r>
      <w:proofErr w:type="spellEnd"/>
      <w:r w:rsidRPr="00F91E3C">
        <w:rPr>
          <w:rFonts w:ascii="Times New Roman" w:hAnsi="Times New Roman"/>
          <w:bCs/>
          <w:sz w:val="24"/>
          <w:szCs w:val="24"/>
          <w:lang w:eastAsia="ru-RU"/>
        </w:rPr>
        <w:t>.</w:t>
      </w:r>
    </w:p>
    <w:p w:rsidR="005D6990" w:rsidRPr="004000CB" w:rsidRDefault="005D6990" w:rsidP="005D6990">
      <w:pPr>
        <w:ind w:firstLine="567"/>
        <w:jc w:val="both"/>
        <w:rPr>
          <w:rFonts w:ascii="Times New Roman" w:hAnsi="Times New Roman"/>
          <w:bCs/>
          <w:sz w:val="24"/>
          <w:szCs w:val="24"/>
          <w:lang w:eastAsia="ru-RU"/>
        </w:rPr>
      </w:pPr>
      <w:r w:rsidRPr="004000CB">
        <w:rPr>
          <w:rFonts w:ascii="Times New Roman" w:hAnsi="Times New Roman"/>
          <w:bCs/>
          <w:sz w:val="24"/>
          <w:szCs w:val="24"/>
          <w:lang w:eastAsia="ru-RU"/>
        </w:rPr>
        <w:t xml:space="preserve">3. Гарантійний лист за підписом учасника про: </w:t>
      </w:r>
    </w:p>
    <w:p w:rsidR="005D6990" w:rsidRPr="004000CB" w:rsidRDefault="005D6990" w:rsidP="005D6990">
      <w:pPr>
        <w:ind w:left="-426" w:firstLine="993"/>
        <w:jc w:val="both"/>
        <w:rPr>
          <w:rFonts w:ascii="Times New Roman" w:hAnsi="Times New Roman"/>
          <w:bCs/>
          <w:sz w:val="24"/>
          <w:szCs w:val="24"/>
          <w:lang w:eastAsia="ru-RU"/>
        </w:rPr>
      </w:pPr>
      <w:r w:rsidRPr="004000CB">
        <w:rPr>
          <w:rFonts w:ascii="Times New Roman" w:hAnsi="Times New Roman"/>
          <w:bCs/>
          <w:sz w:val="24"/>
          <w:szCs w:val="24"/>
          <w:lang w:eastAsia="ru-RU"/>
        </w:rPr>
        <w:t xml:space="preserve">- рік виготовлення запропонованих витратних матеріалів та запчастин – не раніше другого півріччя 2023р., </w:t>
      </w:r>
    </w:p>
    <w:p w:rsidR="005D6990" w:rsidRPr="004000CB" w:rsidRDefault="005D6990" w:rsidP="005D6990">
      <w:pPr>
        <w:ind w:left="-426" w:firstLine="993"/>
        <w:jc w:val="both"/>
        <w:rPr>
          <w:rFonts w:ascii="Times New Roman" w:hAnsi="Times New Roman"/>
          <w:bCs/>
          <w:sz w:val="24"/>
          <w:szCs w:val="24"/>
          <w:lang w:eastAsia="ru-RU"/>
        </w:rPr>
      </w:pPr>
      <w:r w:rsidRPr="004000CB">
        <w:rPr>
          <w:rFonts w:ascii="Times New Roman" w:hAnsi="Times New Roman"/>
          <w:bCs/>
          <w:sz w:val="24"/>
          <w:szCs w:val="24"/>
          <w:lang w:eastAsia="ru-RU"/>
        </w:rPr>
        <w:t>- гарантійні обов’язки  на запропоновані витратні матеріали та запчастини - не менше 12 місяців.</w:t>
      </w:r>
    </w:p>
    <w:p w:rsidR="005D6990" w:rsidRPr="008117E0" w:rsidRDefault="005D6990" w:rsidP="005D6990">
      <w:pPr>
        <w:spacing w:after="0"/>
        <w:ind w:firstLine="567"/>
        <w:jc w:val="both"/>
        <w:rPr>
          <w:bCs/>
          <w:i/>
          <w:iCs/>
          <w:lang w:eastAsia="ru-RU"/>
        </w:rPr>
      </w:pPr>
      <w:r w:rsidRPr="008117E0">
        <w:rPr>
          <w:bCs/>
          <w:i/>
          <w:iCs/>
          <w:lang w:eastAsia="ru-RU"/>
        </w:rPr>
        <w:t>Примітки:</w:t>
      </w:r>
    </w:p>
    <w:p w:rsidR="005D6990" w:rsidRPr="008117E0" w:rsidRDefault="005D6990" w:rsidP="005D6990">
      <w:pPr>
        <w:spacing w:after="0"/>
        <w:ind w:left="-426" w:firstLine="993"/>
        <w:jc w:val="both"/>
        <w:rPr>
          <w:bCs/>
          <w:i/>
          <w:iCs/>
          <w:lang w:eastAsia="ru-RU"/>
        </w:rPr>
      </w:pPr>
      <w:r w:rsidRPr="008117E0">
        <w:rPr>
          <w:bCs/>
          <w:i/>
          <w:iCs/>
          <w:lang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rsidR="005D6990" w:rsidRPr="008117E0" w:rsidRDefault="005D6990" w:rsidP="005D6990">
      <w:pPr>
        <w:spacing w:after="0"/>
        <w:ind w:left="-426" w:firstLine="993"/>
        <w:jc w:val="both"/>
        <w:rPr>
          <w:bCs/>
          <w:i/>
          <w:iCs/>
          <w:lang w:eastAsia="ru-RU"/>
        </w:rPr>
      </w:pPr>
      <w:r w:rsidRPr="008117E0">
        <w:rPr>
          <w:bCs/>
          <w:i/>
          <w:iCs/>
          <w:lang w:eastAsia="ru-RU"/>
        </w:rPr>
        <w:t xml:space="preserve">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 </w:t>
      </w:r>
    </w:p>
    <w:p w:rsidR="005D6990" w:rsidRDefault="005D6990" w:rsidP="005D6990">
      <w:pPr>
        <w:spacing w:after="0"/>
        <w:ind w:left="-426" w:firstLine="993"/>
        <w:jc w:val="both"/>
        <w:rPr>
          <w:bCs/>
          <w:i/>
          <w:iCs/>
          <w:lang w:eastAsia="ru-RU"/>
        </w:rPr>
      </w:pPr>
      <w:r w:rsidRPr="008117E0">
        <w:rPr>
          <w:bCs/>
          <w:i/>
          <w:iCs/>
          <w:lang w:eastAsia="ru-RU"/>
        </w:rPr>
        <w:t xml:space="preserve">Документи вказані в пункті </w:t>
      </w:r>
      <w:r>
        <w:rPr>
          <w:bCs/>
          <w:i/>
          <w:iCs/>
          <w:lang w:eastAsia="ru-RU"/>
        </w:rPr>
        <w:t>2</w:t>
      </w:r>
      <w:r w:rsidRPr="008117E0">
        <w:rPr>
          <w:bCs/>
          <w:i/>
          <w:iCs/>
          <w:lang w:eastAsia="ru-RU"/>
        </w:rPr>
        <w:t xml:space="preserve"> повинні належати одному виробнику/імпортеру запчастин та </w:t>
      </w:r>
      <w:r>
        <w:rPr>
          <w:bCs/>
          <w:i/>
          <w:iCs/>
          <w:lang w:eastAsia="ru-RU"/>
        </w:rPr>
        <w:t xml:space="preserve">   </w:t>
      </w:r>
      <w:r w:rsidRPr="008117E0">
        <w:rPr>
          <w:bCs/>
          <w:i/>
          <w:iCs/>
          <w:lang w:eastAsia="ru-RU"/>
        </w:rPr>
        <w:t>витратних матеріалів.</w:t>
      </w:r>
    </w:p>
    <w:p w:rsidR="005D6990" w:rsidRDefault="005D6990" w:rsidP="005D6990">
      <w:pPr>
        <w:spacing w:after="0"/>
        <w:ind w:left="-426" w:firstLine="993"/>
        <w:jc w:val="both"/>
        <w:rPr>
          <w:bCs/>
          <w:i/>
          <w:iCs/>
          <w:lang w:eastAsia="ru-RU"/>
        </w:rPr>
      </w:pPr>
    </w:p>
    <w:p w:rsidR="00D97CC7" w:rsidRPr="00D97CC7" w:rsidRDefault="00D97CC7" w:rsidP="005D6990">
      <w:pPr>
        <w:tabs>
          <w:tab w:val="num" w:pos="426"/>
          <w:tab w:val="left" w:pos="567"/>
          <w:tab w:val="left" w:pos="1560"/>
          <w:tab w:val="right" w:leader="underscore" w:pos="9923"/>
        </w:tabs>
        <w:ind w:right="-1"/>
        <w:jc w:val="center"/>
        <w:rPr>
          <w:spacing w:val="-2"/>
        </w:rPr>
      </w:pPr>
    </w:p>
    <w:sectPr w:rsidR="00D97CC7" w:rsidRPr="00D97CC7"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43182181">
    <w:abstractNumId w:val="2"/>
  </w:num>
  <w:num w:numId="2" w16cid:durableId="1446732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4979849">
    <w:abstractNumId w:val="5"/>
  </w:num>
  <w:num w:numId="4" w16cid:durableId="511333864">
    <w:abstractNumId w:val="0"/>
  </w:num>
  <w:num w:numId="5" w16cid:durableId="1612591631">
    <w:abstractNumId w:val="7"/>
  </w:num>
  <w:num w:numId="6" w16cid:durableId="573317361">
    <w:abstractNumId w:val="6"/>
  </w:num>
  <w:num w:numId="7" w16cid:durableId="1721591030">
    <w:abstractNumId w:val="3"/>
  </w:num>
  <w:num w:numId="8" w16cid:durableId="1489512062">
    <w:abstractNumId w:val="1"/>
  </w:num>
  <w:num w:numId="9" w16cid:durableId="518856158">
    <w:abstractNumId w:val="8"/>
  </w:num>
  <w:num w:numId="10" w16cid:durableId="107088777">
    <w:abstractNumId w:val="10"/>
  </w:num>
  <w:num w:numId="11" w16cid:durableId="179513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7385B"/>
    <w:rsid w:val="0009271A"/>
    <w:rsid w:val="000C4DB8"/>
    <w:rsid w:val="000D03AF"/>
    <w:rsid w:val="001635AC"/>
    <w:rsid w:val="0019202F"/>
    <w:rsid w:val="001C2019"/>
    <w:rsid w:val="00204662"/>
    <w:rsid w:val="002C31E4"/>
    <w:rsid w:val="0030314B"/>
    <w:rsid w:val="003506E8"/>
    <w:rsid w:val="003A74F3"/>
    <w:rsid w:val="004333FC"/>
    <w:rsid w:val="004635C9"/>
    <w:rsid w:val="004810EC"/>
    <w:rsid w:val="00497023"/>
    <w:rsid w:val="004D33E2"/>
    <w:rsid w:val="00515314"/>
    <w:rsid w:val="00516236"/>
    <w:rsid w:val="00516AFB"/>
    <w:rsid w:val="0054233D"/>
    <w:rsid w:val="005650CE"/>
    <w:rsid w:val="005A41AC"/>
    <w:rsid w:val="005D6990"/>
    <w:rsid w:val="006D2D73"/>
    <w:rsid w:val="006E4992"/>
    <w:rsid w:val="00737F59"/>
    <w:rsid w:val="00762AF2"/>
    <w:rsid w:val="007E3F02"/>
    <w:rsid w:val="008772B7"/>
    <w:rsid w:val="00877FB7"/>
    <w:rsid w:val="00890B44"/>
    <w:rsid w:val="00907871"/>
    <w:rsid w:val="0091696C"/>
    <w:rsid w:val="009274EA"/>
    <w:rsid w:val="009B2646"/>
    <w:rsid w:val="00A01D60"/>
    <w:rsid w:val="00A11F09"/>
    <w:rsid w:val="00A11F54"/>
    <w:rsid w:val="00A461B4"/>
    <w:rsid w:val="00A84EF0"/>
    <w:rsid w:val="00A979E9"/>
    <w:rsid w:val="00AE3C2F"/>
    <w:rsid w:val="00AE5FFA"/>
    <w:rsid w:val="00B0448D"/>
    <w:rsid w:val="00B81EB5"/>
    <w:rsid w:val="00BC1A4F"/>
    <w:rsid w:val="00BF2139"/>
    <w:rsid w:val="00C74A62"/>
    <w:rsid w:val="00CB14AB"/>
    <w:rsid w:val="00CE5D33"/>
    <w:rsid w:val="00D23799"/>
    <w:rsid w:val="00D348F9"/>
    <w:rsid w:val="00D37132"/>
    <w:rsid w:val="00D8051A"/>
    <w:rsid w:val="00D97CC7"/>
    <w:rsid w:val="00DF6BD7"/>
    <w:rsid w:val="00E46AC5"/>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A1F9"/>
  <w15:docId w15:val="{45C737B3-8328-44D0-8BD9-2CD4E43B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qFormat/>
    <w:rsid w:val="0007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2-11-00869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30</cp:revision>
  <dcterms:created xsi:type="dcterms:W3CDTF">2024-08-12T10:23:00Z</dcterms:created>
  <dcterms:modified xsi:type="dcterms:W3CDTF">2025-12-11T10:36:00Z</dcterms:modified>
</cp:coreProperties>
</file>