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0688" w14:textId="63D35E28" w:rsidR="00F06D98" w:rsidRPr="0018795F" w:rsidRDefault="00F06D98" w:rsidP="00F06D98">
      <w:pPr>
        <w:pStyle w:val="a3"/>
        <w:shd w:val="clear" w:color="auto" w:fill="FFFFFF"/>
        <w:spacing w:before="0" w:beforeAutospacing="0" w:after="150" w:afterAutospacing="0"/>
        <w:jc w:val="center"/>
        <w:rPr>
          <w:lang w:val="uk-UA"/>
        </w:rPr>
      </w:pPr>
      <w:r w:rsidRPr="0018795F">
        <w:rPr>
          <w:rStyle w:val="a5"/>
          <w:lang w:val="uk-UA"/>
        </w:rPr>
        <w:t>Обґрунтування</w:t>
      </w:r>
    </w:p>
    <w:p w14:paraId="4A06602E" w14:textId="31B4CE0A" w:rsidR="00F06D98" w:rsidRPr="0018795F" w:rsidRDefault="00F06D98" w:rsidP="00F06D98">
      <w:pPr>
        <w:pStyle w:val="a3"/>
        <w:shd w:val="clear" w:color="auto" w:fill="FFFFFF"/>
        <w:spacing w:before="0" w:beforeAutospacing="0" w:after="150" w:afterAutospacing="0"/>
        <w:jc w:val="center"/>
        <w:rPr>
          <w:lang w:val="uk-UA"/>
        </w:rPr>
      </w:pPr>
      <w:r w:rsidRPr="0018795F">
        <w:rPr>
          <w:rStyle w:val="a5"/>
          <w:lang w:val="uk-UA"/>
        </w:rPr>
        <w:t xml:space="preserve">технічних та якісних характеристик предмета закупівлі, розміру бюджетного призначення, очікуваної вартості </w:t>
      </w:r>
      <w:r w:rsidR="00E45B7E" w:rsidRPr="0018795F">
        <w:rPr>
          <w:rStyle w:val="a5"/>
          <w:lang w:val="uk-UA"/>
        </w:rPr>
        <w:t>послуг</w:t>
      </w:r>
    </w:p>
    <w:p w14:paraId="50918103" w14:textId="0644333B" w:rsidR="000444DC" w:rsidRPr="0018795F" w:rsidRDefault="000444DC" w:rsidP="000444DC">
      <w:pPr>
        <w:jc w:val="center"/>
        <w:rPr>
          <w:rFonts w:ascii="Times New Roman" w:hAnsi="Times New Roman" w:cs="Times New Roman"/>
          <w:b/>
          <w:sz w:val="24"/>
          <w:szCs w:val="24"/>
          <w:lang w:val="uk-UA"/>
        </w:rPr>
      </w:pPr>
      <w:r w:rsidRPr="0018795F">
        <w:rPr>
          <w:rFonts w:ascii="Times New Roman" w:hAnsi="Times New Roman" w:cs="Times New Roman"/>
          <w:b/>
          <w:sz w:val="24"/>
          <w:szCs w:val="24"/>
          <w:lang w:val="uk-UA"/>
        </w:rPr>
        <w:t xml:space="preserve">Послуги з поточного ремонту підлоги (заміна лінолеуму та плінтусів) у частині приміщень в адміністративній будівлі за </w:t>
      </w:r>
      <w:proofErr w:type="spellStart"/>
      <w:r w:rsidRPr="0018795F">
        <w:rPr>
          <w:rFonts w:ascii="Times New Roman" w:hAnsi="Times New Roman" w:cs="Times New Roman"/>
          <w:b/>
          <w:sz w:val="24"/>
          <w:szCs w:val="24"/>
          <w:lang w:val="uk-UA"/>
        </w:rPr>
        <w:t>адресою</w:t>
      </w:r>
      <w:proofErr w:type="spellEnd"/>
      <w:r w:rsidRPr="0018795F">
        <w:rPr>
          <w:rFonts w:ascii="Times New Roman" w:hAnsi="Times New Roman" w:cs="Times New Roman"/>
          <w:b/>
          <w:sz w:val="24"/>
          <w:szCs w:val="24"/>
          <w:lang w:val="uk-UA"/>
        </w:rPr>
        <w:t>: проспект Науки, будинок 5,                  місто Харків</w:t>
      </w:r>
    </w:p>
    <w:p w14:paraId="1334FDE5" w14:textId="77777777" w:rsidR="000444DC" w:rsidRPr="0018795F" w:rsidRDefault="00E45B7E" w:rsidP="000444DC">
      <w:pPr>
        <w:jc w:val="center"/>
        <w:rPr>
          <w:rFonts w:ascii="Times New Roman" w:hAnsi="Times New Roman" w:cs="Times New Roman"/>
          <w:b/>
          <w:sz w:val="24"/>
          <w:szCs w:val="24"/>
          <w:lang w:val="uk-UA"/>
        </w:rPr>
      </w:pPr>
      <w:r w:rsidRPr="0018795F">
        <w:rPr>
          <w:rStyle w:val="a5"/>
          <w:rFonts w:ascii="Times New Roman" w:hAnsi="Times New Roman" w:cs="Times New Roman"/>
          <w:bCs w:val="0"/>
          <w:sz w:val="24"/>
          <w:szCs w:val="24"/>
          <w:lang w:val="uk-UA"/>
        </w:rPr>
        <w:t xml:space="preserve">код ДК 021:2015 </w:t>
      </w:r>
      <w:r w:rsidR="000444DC" w:rsidRPr="0018795F">
        <w:rPr>
          <w:rFonts w:ascii="Times New Roman" w:hAnsi="Times New Roman" w:cs="Times New Roman"/>
          <w:b/>
          <w:sz w:val="24"/>
          <w:szCs w:val="24"/>
          <w:lang w:val="uk-UA"/>
        </w:rPr>
        <w:t>45430000-0 Покривання підлоги та стін</w:t>
      </w:r>
    </w:p>
    <w:p w14:paraId="5249A591" w14:textId="72FD0890" w:rsidR="00F06D98" w:rsidRPr="0018795F" w:rsidRDefault="00F06D98" w:rsidP="00E45B7E">
      <w:pPr>
        <w:pStyle w:val="a3"/>
        <w:shd w:val="clear" w:color="auto" w:fill="FFFFFF"/>
        <w:spacing w:after="150"/>
        <w:jc w:val="center"/>
        <w:rPr>
          <w:lang w:val="uk-UA"/>
        </w:rPr>
      </w:pPr>
    </w:p>
    <w:p w14:paraId="34CEF1B2" w14:textId="1C72A96E" w:rsidR="00B81EB5" w:rsidRPr="0018795F" w:rsidRDefault="00F06D98" w:rsidP="00F06D98">
      <w:pPr>
        <w:pStyle w:val="a3"/>
        <w:shd w:val="clear" w:color="auto" w:fill="FFFFFF"/>
        <w:spacing w:before="0" w:beforeAutospacing="0" w:after="150" w:afterAutospacing="0"/>
        <w:jc w:val="both"/>
        <w:rPr>
          <w:lang w:val="uk-UA"/>
        </w:rPr>
      </w:pPr>
      <w:r w:rsidRPr="0018795F">
        <w:rPr>
          <w:lang w:val="uk-UA"/>
        </w:rPr>
        <w:t xml:space="preserve">З метою забезпечення належних умов функціонування Господарського суду Донецької області </w:t>
      </w:r>
      <w:r w:rsidR="00B81EB5" w:rsidRPr="0018795F">
        <w:rPr>
          <w:lang w:val="uk-UA"/>
        </w:rPr>
        <w:t xml:space="preserve">здійснити закупівлю без застосування відкритих торгів та/або електронного каталогу для закупівлі </w:t>
      </w:r>
      <w:r w:rsidR="00E45B7E" w:rsidRPr="0018795F">
        <w:rPr>
          <w:lang w:val="uk-UA"/>
        </w:rPr>
        <w:t>послуг</w:t>
      </w:r>
      <w:r w:rsidR="00B81EB5" w:rsidRPr="0018795F">
        <w:rPr>
          <w:lang w:val="uk-UA"/>
        </w:rPr>
        <w:t xml:space="preserve"> відповідно до </w:t>
      </w:r>
      <w:proofErr w:type="spellStart"/>
      <w:r w:rsidR="00B81EB5" w:rsidRPr="0018795F">
        <w:rPr>
          <w:lang w:val="uk-UA"/>
        </w:rPr>
        <w:t>пп</w:t>
      </w:r>
      <w:proofErr w:type="spellEnd"/>
      <w:r w:rsidR="00B81EB5" w:rsidRPr="0018795F">
        <w:rPr>
          <w:lang w:val="uk-UA"/>
        </w:rPr>
        <w:t xml:space="preserve">. 6 п.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Положеннями Особливостей передбачено підставу для здійснення закупівлі за підпунктом 6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мли гривень, може здійснюватися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золотом.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 </w:t>
      </w:r>
    </w:p>
    <w:p w14:paraId="6A1208CC" w14:textId="7E21FBCE" w:rsidR="00F06D98" w:rsidRPr="0018795F" w:rsidRDefault="00F06D98" w:rsidP="00F06D98">
      <w:pPr>
        <w:pStyle w:val="a3"/>
        <w:shd w:val="clear" w:color="auto" w:fill="FFFFFF"/>
        <w:spacing w:before="0" w:beforeAutospacing="0" w:after="150" w:afterAutospacing="0"/>
        <w:jc w:val="both"/>
        <w:rPr>
          <w:lang w:val="uk-UA"/>
        </w:rPr>
      </w:pPr>
      <w:r w:rsidRPr="0018795F">
        <w:rPr>
          <w:lang w:val="uk-UA"/>
        </w:rPr>
        <w:t>Закупівля на 202</w:t>
      </w:r>
      <w:r w:rsidR="00C524EF" w:rsidRPr="0018795F">
        <w:rPr>
          <w:lang w:val="uk-UA"/>
        </w:rPr>
        <w:t>5</w:t>
      </w:r>
      <w:r w:rsidRPr="0018795F">
        <w:rPr>
          <w:lang w:val="uk-UA"/>
        </w:rPr>
        <w:t xml:space="preserve"> рік. </w:t>
      </w:r>
    </w:p>
    <w:p w14:paraId="50E86C73" w14:textId="3A0DE4B7" w:rsidR="00F06D98" w:rsidRPr="0018795F" w:rsidRDefault="00F06D98" w:rsidP="00313D0F">
      <w:pPr>
        <w:pBdr>
          <w:top w:val="nil"/>
          <w:left w:val="nil"/>
          <w:bottom w:val="nil"/>
          <w:right w:val="nil"/>
          <w:between w:val="nil"/>
        </w:pBdr>
        <w:shd w:val="clear" w:color="auto" w:fill="FFFFFF"/>
        <w:tabs>
          <w:tab w:val="left" w:pos="851"/>
        </w:tabs>
        <w:spacing w:after="150" w:line="240" w:lineRule="auto"/>
        <w:jc w:val="both"/>
        <w:rPr>
          <w:rFonts w:ascii="Times New Roman" w:hAnsi="Times New Roman" w:cs="Times New Roman"/>
          <w:sz w:val="24"/>
          <w:szCs w:val="24"/>
          <w:lang w:val="uk-UA"/>
        </w:rPr>
      </w:pPr>
      <w:r w:rsidRPr="0018795F">
        <w:rPr>
          <w:rFonts w:ascii="Times New Roman" w:hAnsi="Times New Roman" w:cs="Times New Roman"/>
          <w:sz w:val="24"/>
          <w:szCs w:val="24"/>
          <w:lang w:val="uk-UA"/>
        </w:rPr>
        <w:t>(</w:t>
      </w:r>
      <w:r w:rsidR="00B81EB5" w:rsidRPr="0018795F">
        <w:rPr>
          <w:rFonts w:ascii="Times New Roman" w:hAnsi="Times New Roman" w:cs="Times New Roman"/>
          <w:sz w:val="24"/>
          <w:szCs w:val="24"/>
          <w:lang w:val="uk-UA"/>
        </w:rPr>
        <w:t xml:space="preserve">Звіт про договір про закупівлю, укладений без використання електронної системи закупівель </w:t>
      </w:r>
      <w:r w:rsidR="00313D0F" w:rsidRPr="0018795F">
        <w:rPr>
          <w:rFonts w:ascii="Times New Roman" w:eastAsia="Times New Roman" w:hAnsi="Times New Roman" w:cs="Times New Roman"/>
          <w:iCs/>
          <w:sz w:val="24"/>
          <w:szCs w:val="24"/>
          <w:lang w:val="uk-UA"/>
        </w:rPr>
        <w:t>UA-2025-10-02-011455-a</w:t>
      </w:r>
      <w:r w:rsidRPr="0018795F">
        <w:rPr>
          <w:rFonts w:ascii="Times New Roman" w:hAnsi="Times New Roman" w:cs="Times New Roman"/>
          <w:sz w:val="24"/>
          <w:szCs w:val="24"/>
          <w:lang w:val="uk-UA"/>
        </w:rPr>
        <w:t>).</w:t>
      </w:r>
    </w:p>
    <w:p w14:paraId="65136D83" w14:textId="77777777" w:rsidR="00EF7FD0" w:rsidRPr="00EF7FD0" w:rsidRDefault="00EF7FD0" w:rsidP="00EF7FD0">
      <w:pPr>
        <w:spacing w:before="280" w:after="280" w:line="240" w:lineRule="auto"/>
        <w:jc w:val="both"/>
        <w:rPr>
          <w:rFonts w:ascii="Times New Roman" w:eastAsia="Times New Roman" w:hAnsi="Times New Roman" w:cs="Times New Roman"/>
          <w:sz w:val="24"/>
          <w:szCs w:val="24"/>
          <w:lang w:val="uk-UA"/>
        </w:rPr>
      </w:pPr>
      <w:r w:rsidRPr="00EF7FD0">
        <w:rPr>
          <w:rFonts w:ascii="Times New Roman" w:eastAsia="Times New Roman" w:hAnsi="Times New Roman" w:cs="Times New Roman"/>
          <w:b/>
          <w:sz w:val="24"/>
          <w:szCs w:val="24"/>
          <w:lang w:val="uk-UA"/>
        </w:rPr>
        <w:t>Розмір бюджетного призначення:</w:t>
      </w:r>
      <w:r w:rsidRPr="00EF7FD0">
        <w:rPr>
          <w:rFonts w:ascii="Times New Roman" w:eastAsia="Times New Roman" w:hAnsi="Times New Roman" w:cs="Times New Roman"/>
          <w:sz w:val="24"/>
          <w:szCs w:val="24"/>
          <w:lang w:val="uk-UA"/>
        </w:rPr>
        <w:t xml:space="preserve"> 264</w:t>
      </w:r>
      <w:r>
        <w:rPr>
          <w:rFonts w:ascii="Times New Roman" w:eastAsia="Times New Roman" w:hAnsi="Times New Roman" w:cs="Times New Roman"/>
          <w:sz w:val="24"/>
          <w:szCs w:val="24"/>
        </w:rPr>
        <w:t> </w:t>
      </w:r>
      <w:r w:rsidRPr="00EF7FD0">
        <w:rPr>
          <w:rFonts w:ascii="Times New Roman" w:eastAsia="Times New Roman" w:hAnsi="Times New Roman" w:cs="Times New Roman"/>
          <w:sz w:val="24"/>
          <w:szCs w:val="24"/>
          <w:lang w:val="uk-UA"/>
        </w:rPr>
        <w:t>600, 00  грн (двісті шістдесят чотири тисячі шістсот гривень 00 копійок) згідно з кошторисом.</w:t>
      </w:r>
    </w:p>
    <w:p w14:paraId="355D1AC3" w14:textId="77777777" w:rsidR="00EF7FD0" w:rsidRPr="00934F7B" w:rsidRDefault="00EF7FD0" w:rsidP="00EF7FD0">
      <w:pPr>
        <w:pStyle w:val="a9"/>
        <w:jc w:val="both"/>
        <w:rPr>
          <w:rFonts w:ascii="Times New Roman" w:hAnsi="Times New Roman"/>
          <w:bCs/>
          <w:sz w:val="24"/>
          <w:szCs w:val="24"/>
        </w:rPr>
      </w:pPr>
      <w:proofErr w:type="spellStart"/>
      <w:r w:rsidRPr="00964596">
        <w:rPr>
          <w:rFonts w:ascii="Times New Roman" w:hAnsi="Times New Roman"/>
          <w:b/>
          <w:bCs/>
          <w:sz w:val="24"/>
          <w:szCs w:val="24"/>
          <w:lang w:val="ru-RU"/>
        </w:rPr>
        <w:t>Очікувана</w:t>
      </w:r>
      <w:proofErr w:type="spellEnd"/>
      <w:r w:rsidRPr="00964596">
        <w:rPr>
          <w:rFonts w:ascii="Times New Roman" w:hAnsi="Times New Roman"/>
          <w:b/>
          <w:bCs/>
          <w:sz w:val="24"/>
          <w:szCs w:val="24"/>
          <w:lang w:val="ru-RU"/>
        </w:rPr>
        <w:t xml:space="preserve"> </w:t>
      </w:r>
      <w:proofErr w:type="spellStart"/>
      <w:r w:rsidRPr="00964596">
        <w:rPr>
          <w:rFonts w:ascii="Times New Roman" w:hAnsi="Times New Roman"/>
          <w:b/>
          <w:bCs/>
          <w:sz w:val="24"/>
          <w:szCs w:val="24"/>
          <w:lang w:val="ru-RU"/>
        </w:rPr>
        <w:t>вартість</w:t>
      </w:r>
      <w:proofErr w:type="spellEnd"/>
      <w:r w:rsidRPr="00964596">
        <w:rPr>
          <w:rFonts w:ascii="Times New Roman" w:hAnsi="Times New Roman"/>
          <w:b/>
          <w:bCs/>
          <w:sz w:val="24"/>
          <w:szCs w:val="24"/>
          <w:lang w:val="ru-RU"/>
        </w:rPr>
        <w:t xml:space="preserve"> </w:t>
      </w:r>
      <w:proofErr w:type="spellStart"/>
      <w:r w:rsidRPr="00964596">
        <w:rPr>
          <w:rFonts w:ascii="Times New Roman" w:hAnsi="Times New Roman"/>
          <w:b/>
          <w:bCs/>
          <w:sz w:val="24"/>
          <w:szCs w:val="24"/>
          <w:lang w:val="ru-RU"/>
        </w:rPr>
        <w:t>закупівлі</w:t>
      </w:r>
      <w:proofErr w:type="spellEnd"/>
      <w:r w:rsidRPr="00964596">
        <w:rPr>
          <w:rFonts w:ascii="Times New Roman" w:hAnsi="Times New Roman"/>
          <w:b/>
          <w:bCs/>
          <w:sz w:val="24"/>
          <w:szCs w:val="24"/>
          <w:lang w:val="ru-RU"/>
        </w:rPr>
        <w:t>:</w:t>
      </w:r>
      <w:r>
        <w:rPr>
          <w:rFonts w:ascii="Times New Roman" w:hAnsi="Times New Roman"/>
          <w:b/>
          <w:bCs/>
          <w:sz w:val="24"/>
          <w:szCs w:val="24"/>
          <w:lang w:val="ru-RU"/>
        </w:rPr>
        <w:t xml:space="preserve"> </w:t>
      </w:r>
      <w:r w:rsidRPr="00934F7B">
        <w:rPr>
          <w:rFonts w:ascii="Times New Roman" w:hAnsi="Times New Roman"/>
          <w:bCs/>
          <w:sz w:val="24"/>
          <w:szCs w:val="24"/>
        </w:rPr>
        <w:t>199 629,28 грн (сто дев’яносто дев’ять тисяч шістсот двадцять дев’ять гривень 28 копійок), без ПДВ.</w:t>
      </w:r>
    </w:p>
    <w:p w14:paraId="5538E5D5" w14:textId="77777777" w:rsidR="00EF7FD0" w:rsidRDefault="00EF7FD0" w:rsidP="00E45B7E">
      <w:pPr>
        <w:jc w:val="both"/>
        <w:rPr>
          <w:rFonts w:ascii="Times New Roman" w:hAnsi="Times New Roman" w:cs="Times New Roman"/>
          <w:sz w:val="24"/>
          <w:szCs w:val="24"/>
          <w:lang w:val="uk-UA"/>
        </w:rPr>
      </w:pPr>
    </w:p>
    <w:p w14:paraId="7F3C2B10" w14:textId="4EB37268" w:rsidR="00E45B7E" w:rsidRPr="0018795F" w:rsidRDefault="00E45B7E" w:rsidP="00E45B7E">
      <w:pPr>
        <w:jc w:val="both"/>
        <w:rPr>
          <w:rFonts w:ascii="Times New Roman" w:hAnsi="Times New Roman" w:cs="Times New Roman"/>
          <w:sz w:val="24"/>
          <w:szCs w:val="24"/>
          <w:lang w:val="uk-UA"/>
        </w:rPr>
      </w:pPr>
      <w:r w:rsidRPr="0018795F">
        <w:rPr>
          <w:rFonts w:ascii="Times New Roman" w:hAnsi="Times New Roman" w:cs="Times New Roman"/>
          <w:sz w:val="24"/>
          <w:szCs w:val="24"/>
          <w:lang w:val="uk-UA"/>
        </w:rPr>
        <w:t xml:space="preserve">Відкриті торги з Особливостями (ідентифікатор закупівлі </w:t>
      </w:r>
      <w:r w:rsidR="00313D0F" w:rsidRPr="0018795F">
        <w:rPr>
          <w:rFonts w:ascii="Times New Roman" w:eastAsia="Times New Roman" w:hAnsi="Times New Roman" w:cs="Times New Roman"/>
          <w:iCs/>
          <w:sz w:val="24"/>
          <w:szCs w:val="24"/>
          <w:lang w:val="uk-UA"/>
        </w:rPr>
        <w:t>UA-2025-10-02-011455-a</w:t>
      </w:r>
      <w:r w:rsidRPr="0018795F">
        <w:rPr>
          <w:rFonts w:ascii="Times New Roman" w:hAnsi="Times New Roman" w:cs="Times New Roman"/>
          <w:sz w:val="24"/>
          <w:szCs w:val="24"/>
          <w:lang w:val="uk-UA"/>
        </w:rPr>
        <w:t>) відмінено через неподання жодної тендерної пропозиції для участі у відкритих торгах у строк, установлений замовником згідно з цими Особливостями.</w:t>
      </w:r>
    </w:p>
    <w:p w14:paraId="37F4BE8B" w14:textId="77777777" w:rsidR="002C1A01" w:rsidRDefault="00E45B7E" w:rsidP="00E45B7E">
      <w:pPr>
        <w:shd w:val="clear" w:color="auto" w:fill="FFFFFF"/>
        <w:spacing w:after="150" w:line="240" w:lineRule="auto"/>
        <w:jc w:val="both"/>
        <w:rPr>
          <w:rFonts w:ascii="Times New Roman" w:eastAsia="Times New Roman" w:hAnsi="Times New Roman" w:cs="Times New Roman"/>
          <w:kern w:val="0"/>
          <w:sz w:val="24"/>
          <w:szCs w:val="24"/>
          <w:lang w:val="uk-UA"/>
          <w14:ligatures w14:val="none"/>
        </w:rPr>
      </w:pPr>
      <w:r w:rsidRPr="0018795F">
        <w:rPr>
          <w:rFonts w:ascii="Times New Roman" w:eastAsia="Times New Roman" w:hAnsi="Times New Roman" w:cs="Times New Roman"/>
          <w:kern w:val="0"/>
          <w:sz w:val="24"/>
          <w:szCs w:val="24"/>
          <w:lang w:val="uk-UA"/>
          <w14:ligatures w14:val="none"/>
        </w:rPr>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w:t>
      </w:r>
      <w:r w:rsidRPr="0018795F">
        <w:rPr>
          <w:rFonts w:ascii="Times New Roman" w:eastAsia="Times New Roman" w:hAnsi="Times New Roman" w:cs="Times New Roman"/>
          <w:kern w:val="0"/>
          <w:sz w:val="24"/>
          <w:szCs w:val="24"/>
          <w:lang w:val="uk-UA"/>
          <w14:ligatures w14:val="none"/>
        </w:rPr>
        <w:lastRenderedPageBreak/>
        <w:t xml:space="preserve">розвитку економіки, торгівлі та сільського господарства України від 18.02.2020 року № 275 та аналізу цін на </w:t>
      </w:r>
      <w:proofErr w:type="spellStart"/>
      <w:r w:rsidRPr="0018795F">
        <w:rPr>
          <w:rFonts w:ascii="Times New Roman" w:eastAsia="Times New Roman" w:hAnsi="Times New Roman" w:cs="Times New Roman"/>
          <w:kern w:val="0"/>
          <w:sz w:val="24"/>
          <w:szCs w:val="24"/>
          <w:lang w:val="uk-UA"/>
          <w14:ligatures w14:val="none"/>
        </w:rPr>
        <w:t>Prozorro</w:t>
      </w:r>
      <w:proofErr w:type="spellEnd"/>
      <w:r w:rsidRPr="0018795F">
        <w:rPr>
          <w:rFonts w:ascii="Times New Roman" w:eastAsia="Times New Roman" w:hAnsi="Times New Roman" w:cs="Times New Roman"/>
          <w:kern w:val="0"/>
          <w:sz w:val="24"/>
          <w:szCs w:val="24"/>
          <w:lang w:val="uk-UA"/>
          <w14:ligatures w14:val="none"/>
        </w:rPr>
        <w:t>.</w:t>
      </w:r>
    </w:p>
    <w:p w14:paraId="463C999C" w14:textId="433EB35C" w:rsidR="00E45B7E" w:rsidRPr="0018795F" w:rsidRDefault="00E45B7E" w:rsidP="00E45B7E">
      <w:pPr>
        <w:shd w:val="clear" w:color="auto" w:fill="FFFFFF"/>
        <w:spacing w:after="150" w:line="240" w:lineRule="auto"/>
        <w:jc w:val="both"/>
        <w:rPr>
          <w:rFonts w:ascii="Times New Roman" w:eastAsia="Times New Roman" w:hAnsi="Times New Roman" w:cs="Times New Roman"/>
          <w:kern w:val="0"/>
          <w:sz w:val="24"/>
          <w:szCs w:val="24"/>
          <w:lang w:val="uk-UA"/>
          <w14:ligatures w14:val="none"/>
        </w:rPr>
      </w:pPr>
      <w:r w:rsidRPr="002C1A01">
        <w:rPr>
          <w:rFonts w:ascii="Times New Roman" w:eastAsia="Times New Roman" w:hAnsi="Times New Roman" w:cs="Times New Roman"/>
          <w:kern w:val="0"/>
          <w:sz w:val="24"/>
          <w:szCs w:val="24"/>
          <w:lang w:val="uk-UA"/>
          <w14:ligatures w14:val="none"/>
        </w:rPr>
        <w:t>1</w:t>
      </w:r>
      <w:r w:rsidR="00313D0F" w:rsidRPr="002C1A01">
        <w:rPr>
          <w:rFonts w:ascii="Times New Roman" w:eastAsia="Times New Roman" w:hAnsi="Times New Roman" w:cs="Times New Roman"/>
          <w:kern w:val="0"/>
          <w:sz w:val="24"/>
          <w:szCs w:val="24"/>
          <w:lang w:val="uk-UA"/>
          <w14:ligatures w14:val="none"/>
        </w:rPr>
        <w:t>3</w:t>
      </w:r>
      <w:r w:rsidRPr="002C1A01">
        <w:rPr>
          <w:rFonts w:ascii="Times New Roman" w:eastAsia="Times New Roman" w:hAnsi="Times New Roman" w:cs="Times New Roman"/>
          <w:kern w:val="0"/>
          <w:sz w:val="24"/>
          <w:szCs w:val="24"/>
          <w:lang w:val="uk-UA"/>
          <w14:ligatures w14:val="none"/>
        </w:rPr>
        <w:t>.</w:t>
      </w:r>
      <w:r w:rsidR="00313D0F" w:rsidRPr="002C1A01">
        <w:rPr>
          <w:rFonts w:ascii="Times New Roman" w:eastAsia="Times New Roman" w:hAnsi="Times New Roman" w:cs="Times New Roman"/>
          <w:kern w:val="0"/>
          <w:sz w:val="24"/>
          <w:szCs w:val="24"/>
          <w:lang w:val="uk-UA"/>
          <w14:ligatures w14:val="none"/>
        </w:rPr>
        <w:t>1</w:t>
      </w:r>
      <w:r w:rsidRPr="002C1A01">
        <w:rPr>
          <w:rFonts w:ascii="Times New Roman" w:eastAsia="Times New Roman" w:hAnsi="Times New Roman" w:cs="Times New Roman"/>
          <w:kern w:val="0"/>
          <w:sz w:val="24"/>
          <w:szCs w:val="24"/>
          <w:lang w:val="uk-UA"/>
          <w14:ligatures w14:val="none"/>
        </w:rPr>
        <w:t xml:space="preserve">0.2025 </w:t>
      </w:r>
      <w:r w:rsidR="003E531C" w:rsidRPr="002C1A01">
        <w:rPr>
          <w:rFonts w:ascii="Times New Roman" w:eastAsia="Times New Roman" w:hAnsi="Times New Roman" w:cs="Times New Roman"/>
          <w:kern w:val="0"/>
          <w:sz w:val="24"/>
          <w:szCs w:val="24"/>
          <w:lang w:val="uk-UA"/>
          <w14:ligatures w14:val="none"/>
        </w:rPr>
        <w:t xml:space="preserve">та 14.10.2025 </w:t>
      </w:r>
      <w:r w:rsidRPr="002C1A01">
        <w:rPr>
          <w:rFonts w:ascii="Times New Roman" w:eastAsia="Times New Roman" w:hAnsi="Times New Roman" w:cs="Times New Roman"/>
          <w:kern w:val="0"/>
          <w:sz w:val="24"/>
          <w:szCs w:val="24"/>
          <w:lang w:val="uk-UA"/>
          <w14:ligatures w14:val="none"/>
        </w:rPr>
        <w:t>року Господарським судом Донецької області бу</w:t>
      </w:r>
      <w:r w:rsidR="003E531C" w:rsidRPr="002C1A01">
        <w:rPr>
          <w:rFonts w:ascii="Times New Roman" w:eastAsia="Times New Roman" w:hAnsi="Times New Roman" w:cs="Times New Roman"/>
          <w:kern w:val="0"/>
          <w:sz w:val="24"/>
          <w:szCs w:val="24"/>
          <w:lang w:val="uk-UA"/>
          <w14:ligatures w14:val="none"/>
        </w:rPr>
        <w:t>ли</w:t>
      </w:r>
      <w:r w:rsidRPr="002C1A01">
        <w:rPr>
          <w:rFonts w:ascii="Times New Roman" w:eastAsia="Times New Roman" w:hAnsi="Times New Roman" w:cs="Times New Roman"/>
          <w:kern w:val="0"/>
          <w:sz w:val="24"/>
          <w:szCs w:val="24"/>
          <w:lang w:val="uk-UA"/>
          <w14:ligatures w14:val="none"/>
        </w:rPr>
        <w:t xml:space="preserve"> направлен</w:t>
      </w:r>
      <w:r w:rsidR="00313D0F" w:rsidRPr="002C1A01">
        <w:rPr>
          <w:rFonts w:ascii="Times New Roman" w:eastAsia="Times New Roman" w:hAnsi="Times New Roman" w:cs="Times New Roman"/>
          <w:kern w:val="0"/>
          <w:sz w:val="24"/>
          <w:szCs w:val="24"/>
          <w:lang w:val="uk-UA"/>
          <w14:ligatures w14:val="none"/>
        </w:rPr>
        <w:t>ий</w:t>
      </w:r>
      <w:r w:rsidRPr="002C1A01">
        <w:rPr>
          <w:rFonts w:ascii="Times New Roman" w:eastAsia="Times New Roman" w:hAnsi="Times New Roman" w:cs="Times New Roman"/>
          <w:kern w:val="0"/>
          <w:sz w:val="24"/>
          <w:szCs w:val="24"/>
          <w:lang w:val="uk-UA"/>
          <w14:ligatures w14:val="none"/>
        </w:rPr>
        <w:t xml:space="preserve"> лист</w:t>
      </w:r>
      <w:r w:rsidR="003E531C" w:rsidRPr="002C1A01">
        <w:rPr>
          <w:rFonts w:ascii="Times New Roman" w:eastAsia="Times New Roman" w:hAnsi="Times New Roman" w:cs="Times New Roman"/>
          <w:kern w:val="0"/>
          <w:sz w:val="24"/>
          <w:szCs w:val="24"/>
          <w:lang w:val="uk-UA"/>
          <w14:ligatures w14:val="none"/>
        </w:rPr>
        <w:t>и</w:t>
      </w:r>
      <w:r w:rsidRPr="002C1A01">
        <w:rPr>
          <w:rFonts w:ascii="Times New Roman" w:eastAsia="Times New Roman" w:hAnsi="Times New Roman" w:cs="Times New Roman"/>
          <w:kern w:val="0"/>
          <w:sz w:val="24"/>
          <w:szCs w:val="24"/>
          <w:lang w:val="uk-UA"/>
          <w14:ligatures w14:val="none"/>
        </w:rPr>
        <w:t xml:space="preserve"> на електронн</w:t>
      </w:r>
      <w:r w:rsidR="003E531C" w:rsidRPr="002C1A01">
        <w:rPr>
          <w:rFonts w:ascii="Times New Roman" w:eastAsia="Times New Roman" w:hAnsi="Times New Roman" w:cs="Times New Roman"/>
          <w:kern w:val="0"/>
          <w:sz w:val="24"/>
          <w:szCs w:val="24"/>
          <w:lang w:val="uk-UA"/>
          <w14:ligatures w14:val="none"/>
        </w:rPr>
        <w:t>і</w:t>
      </w:r>
      <w:r w:rsidRPr="002C1A01">
        <w:rPr>
          <w:rFonts w:ascii="Times New Roman" w:eastAsia="Times New Roman" w:hAnsi="Times New Roman" w:cs="Times New Roman"/>
          <w:kern w:val="0"/>
          <w:sz w:val="24"/>
          <w:szCs w:val="24"/>
          <w:lang w:val="uk-UA"/>
          <w14:ligatures w14:val="none"/>
        </w:rPr>
        <w:t xml:space="preserve"> адрес</w:t>
      </w:r>
      <w:r w:rsidR="003E531C" w:rsidRPr="002C1A01">
        <w:rPr>
          <w:rFonts w:ascii="Times New Roman" w:eastAsia="Times New Roman" w:hAnsi="Times New Roman" w:cs="Times New Roman"/>
          <w:kern w:val="0"/>
          <w:sz w:val="24"/>
          <w:szCs w:val="24"/>
          <w:lang w:val="uk-UA"/>
          <w14:ligatures w14:val="none"/>
        </w:rPr>
        <w:t>и</w:t>
      </w:r>
      <w:r w:rsidRPr="002C1A01">
        <w:rPr>
          <w:rFonts w:ascii="Times New Roman" w:eastAsia="Times New Roman" w:hAnsi="Times New Roman" w:cs="Times New Roman"/>
          <w:kern w:val="0"/>
          <w:sz w:val="24"/>
          <w:szCs w:val="24"/>
          <w:lang w:val="uk-UA"/>
          <w14:ligatures w14:val="none"/>
        </w:rPr>
        <w:t xml:space="preserve"> виконавц</w:t>
      </w:r>
      <w:r w:rsidR="003E531C" w:rsidRPr="002C1A01">
        <w:rPr>
          <w:rFonts w:ascii="Times New Roman" w:eastAsia="Times New Roman" w:hAnsi="Times New Roman" w:cs="Times New Roman"/>
          <w:kern w:val="0"/>
          <w:sz w:val="24"/>
          <w:szCs w:val="24"/>
          <w:lang w:val="uk-UA"/>
          <w14:ligatures w14:val="none"/>
        </w:rPr>
        <w:t>ів</w:t>
      </w:r>
      <w:r w:rsidRPr="002C1A01">
        <w:rPr>
          <w:rFonts w:ascii="Times New Roman" w:eastAsia="Times New Roman" w:hAnsi="Times New Roman" w:cs="Times New Roman"/>
          <w:kern w:val="0"/>
          <w:sz w:val="24"/>
          <w:szCs w:val="24"/>
          <w:lang w:val="uk-UA"/>
          <w14:ligatures w14:val="none"/>
        </w:rPr>
        <w:t xml:space="preserve"> таких </w:t>
      </w:r>
      <w:r w:rsidR="00313D0F" w:rsidRPr="002C1A01">
        <w:rPr>
          <w:rFonts w:ascii="Times New Roman" w:eastAsia="Times New Roman" w:hAnsi="Times New Roman" w:cs="Times New Roman"/>
          <w:kern w:val="0"/>
          <w:sz w:val="24"/>
          <w:szCs w:val="24"/>
          <w:lang w:val="uk-UA"/>
          <w14:ligatures w14:val="none"/>
        </w:rPr>
        <w:t>послуг</w:t>
      </w:r>
      <w:r w:rsidRPr="002C1A01">
        <w:rPr>
          <w:rFonts w:ascii="Times New Roman" w:eastAsia="Times New Roman" w:hAnsi="Times New Roman" w:cs="Times New Roman"/>
          <w:kern w:val="0"/>
          <w:sz w:val="24"/>
          <w:szCs w:val="24"/>
          <w:lang w:val="uk-UA"/>
          <w14:ligatures w14:val="none"/>
        </w:rPr>
        <w:t xml:space="preserve">, з пропозицією укласти </w:t>
      </w:r>
      <w:r w:rsidRPr="0018795F">
        <w:rPr>
          <w:rFonts w:ascii="Times New Roman" w:eastAsia="Times New Roman" w:hAnsi="Times New Roman" w:cs="Times New Roman"/>
          <w:kern w:val="0"/>
          <w:sz w:val="24"/>
          <w:szCs w:val="24"/>
          <w:lang w:val="uk-UA"/>
          <w14:ligatures w14:val="none"/>
        </w:rPr>
        <w:t>прямий договір  на умовах, викладених в тендерній документації за закупівлею відкриті торги з Особливостями (</w:t>
      </w:r>
      <w:r w:rsidR="00313D0F" w:rsidRPr="0018795F">
        <w:rPr>
          <w:rFonts w:ascii="Times New Roman" w:eastAsia="Times New Roman" w:hAnsi="Times New Roman" w:cs="Times New Roman"/>
          <w:iCs/>
          <w:sz w:val="24"/>
          <w:szCs w:val="24"/>
          <w:lang w:val="uk-UA"/>
        </w:rPr>
        <w:t>UA-2025-10-02-011455-a</w:t>
      </w:r>
      <w:r w:rsidRPr="0018795F">
        <w:rPr>
          <w:rFonts w:ascii="Times New Roman" w:eastAsia="Times New Roman" w:hAnsi="Times New Roman" w:cs="Times New Roman"/>
          <w:kern w:val="0"/>
          <w:sz w:val="24"/>
          <w:szCs w:val="24"/>
          <w:lang w:val="uk-UA"/>
          <w14:ligatures w14:val="none"/>
        </w:rPr>
        <w:t xml:space="preserve">). 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p w14:paraId="1FC323D7" w14:textId="77777777" w:rsidR="00E45B7E" w:rsidRPr="0018795F" w:rsidRDefault="00E45B7E" w:rsidP="00E45B7E">
      <w:pPr>
        <w:shd w:val="clear" w:color="auto" w:fill="FFFFFF"/>
        <w:spacing w:after="150" w:line="240" w:lineRule="auto"/>
        <w:jc w:val="both"/>
        <w:rPr>
          <w:rFonts w:ascii="Times New Roman" w:eastAsia="Times New Roman" w:hAnsi="Times New Roman" w:cs="Times New Roman"/>
          <w:kern w:val="0"/>
          <w:sz w:val="24"/>
          <w:szCs w:val="24"/>
          <w:lang w:val="uk-UA"/>
          <w14:ligatures w14:val="none"/>
        </w:rPr>
      </w:pPr>
    </w:p>
    <w:p w14:paraId="443A91BD" w14:textId="77777777" w:rsidR="000F3CDF" w:rsidRPr="00EF7FD0" w:rsidRDefault="000F3CDF" w:rsidP="000F3CDF">
      <w:pPr>
        <w:tabs>
          <w:tab w:val="num" w:pos="426"/>
          <w:tab w:val="left" w:pos="567"/>
          <w:tab w:val="left" w:pos="1560"/>
          <w:tab w:val="right" w:leader="underscore" w:pos="9923"/>
        </w:tabs>
        <w:ind w:right="-1"/>
        <w:jc w:val="center"/>
        <w:rPr>
          <w:rFonts w:ascii="Times New Roman" w:eastAsia="Arial" w:hAnsi="Times New Roman" w:cs="Times New Roman"/>
          <w:b/>
          <w:color w:val="000000"/>
          <w:sz w:val="24"/>
          <w:szCs w:val="24"/>
          <w:lang w:val="uk-UA" w:eastAsia="ru-RU"/>
        </w:rPr>
      </w:pPr>
      <w:bookmarkStart w:id="0" w:name="_Hlk208916859"/>
      <w:r w:rsidRPr="00EF7FD0">
        <w:rPr>
          <w:rFonts w:ascii="Times New Roman" w:eastAsia="Arial" w:hAnsi="Times New Roman" w:cs="Times New Roman"/>
          <w:b/>
          <w:color w:val="000000"/>
          <w:sz w:val="24"/>
          <w:szCs w:val="24"/>
          <w:lang w:val="uk-UA" w:eastAsia="ru-RU"/>
        </w:rPr>
        <w:t>ТЕХНІЧНА СПЕЦИФІКАЦІЯ</w:t>
      </w:r>
    </w:p>
    <w:tbl>
      <w:tblPr>
        <w:tblW w:w="9668" w:type="dxa"/>
        <w:tblInd w:w="-176" w:type="dxa"/>
        <w:tblLook w:val="04A0" w:firstRow="1" w:lastRow="0" w:firstColumn="1" w:lastColumn="0" w:noHBand="0" w:noVBand="1"/>
      </w:tblPr>
      <w:tblGrid>
        <w:gridCol w:w="838"/>
        <w:gridCol w:w="5258"/>
        <w:gridCol w:w="1729"/>
        <w:gridCol w:w="1843"/>
      </w:tblGrid>
      <w:tr w:rsidR="000F3CDF" w:rsidRPr="00EF7FD0" w14:paraId="4D286BEB" w14:textId="77777777" w:rsidTr="003B0065">
        <w:trPr>
          <w:trHeight w:val="604"/>
        </w:trPr>
        <w:tc>
          <w:tcPr>
            <w:tcW w:w="83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5F5D083"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w:t>
            </w:r>
            <w:r w:rsidRPr="00EF7FD0">
              <w:rPr>
                <w:rFonts w:ascii="Times New Roman" w:hAnsi="Times New Roman" w:cs="Times New Roman"/>
                <w:color w:val="080000"/>
                <w:sz w:val="24"/>
                <w:szCs w:val="24"/>
                <w:lang w:val="uk-UA" w:eastAsia="ru-RU"/>
              </w:rPr>
              <w:br/>
            </w:r>
            <w:proofErr w:type="spellStart"/>
            <w:r w:rsidRPr="00EF7FD0">
              <w:rPr>
                <w:rFonts w:ascii="Times New Roman" w:hAnsi="Times New Roman" w:cs="Times New Roman"/>
                <w:color w:val="080000"/>
                <w:sz w:val="24"/>
                <w:szCs w:val="24"/>
                <w:lang w:val="uk-UA" w:eastAsia="ru-RU"/>
              </w:rPr>
              <w:t>Ч.ч</w:t>
            </w:r>
            <w:proofErr w:type="spellEnd"/>
            <w:r w:rsidRPr="00EF7FD0">
              <w:rPr>
                <w:rFonts w:ascii="Times New Roman" w:hAnsi="Times New Roman" w:cs="Times New Roman"/>
                <w:color w:val="080000"/>
                <w:sz w:val="24"/>
                <w:szCs w:val="24"/>
                <w:lang w:val="uk-UA" w:eastAsia="ru-RU"/>
              </w:rPr>
              <w:t>.</w:t>
            </w:r>
          </w:p>
        </w:tc>
        <w:tc>
          <w:tcPr>
            <w:tcW w:w="5258" w:type="dxa"/>
            <w:tcBorders>
              <w:top w:val="single" w:sz="4" w:space="0" w:color="000000"/>
              <w:left w:val="nil"/>
              <w:bottom w:val="single" w:sz="4" w:space="0" w:color="000000"/>
              <w:right w:val="single" w:sz="4" w:space="0" w:color="000000"/>
            </w:tcBorders>
            <w:shd w:val="clear" w:color="000000" w:fill="FFFFFF"/>
            <w:vAlign w:val="center"/>
            <w:hideMark/>
          </w:tcPr>
          <w:p w14:paraId="124CE4B2"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Найменування послуг і витрат</w:t>
            </w:r>
          </w:p>
        </w:tc>
        <w:tc>
          <w:tcPr>
            <w:tcW w:w="1729" w:type="dxa"/>
            <w:tcBorders>
              <w:top w:val="single" w:sz="4" w:space="0" w:color="000000"/>
              <w:left w:val="nil"/>
              <w:bottom w:val="single" w:sz="4" w:space="0" w:color="000000"/>
              <w:right w:val="nil"/>
            </w:tcBorders>
            <w:shd w:val="clear" w:color="000000" w:fill="FFFFFF"/>
            <w:vAlign w:val="center"/>
            <w:hideMark/>
          </w:tcPr>
          <w:p w14:paraId="2AEE2F7F"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Одиниця</w:t>
            </w:r>
            <w:r w:rsidRPr="00EF7FD0">
              <w:rPr>
                <w:rFonts w:ascii="Times New Roman" w:hAnsi="Times New Roman" w:cs="Times New Roman"/>
                <w:color w:val="080000"/>
                <w:sz w:val="24"/>
                <w:szCs w:val="24"/>
                <w:lang w:val="uk-UA" w:eastAsia="ru-RU"/>
              </w:rPr>
              <w:br/>
              <w:t>виміру</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EA0E2C6"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Кількість</w:t>
            </w:r>
          </w:p>
        </w:tc>
      </w:tr>
      <w:tr w:rsidR="000F3CDF" w:rsidRPr="00EF7FD0" w14:paraId="09C5AF21" w14:textId="77777777" w:rsidTr="003B0065">
        <w:trPr>
          <w:trHeight w:val="304"/>
        </w:trPr>
        <w:tc>
          <w:tcPr>
            <w:tcW w:w="838" w:type="dxa"/>
            <w:tcBorders>
              <w:top w:val="single" w:sz="4" w:space="0" w:color="000000"/>
              <w:left w:val="single" w:sz="4" w:space="0" w:color="000000"/>
              <w:bottom w:val="single" w:sz="4" w:space="0" w:color="000000"/>
              <w:right w:val="single" w:sz="4" w:space="0" w:color="000000"/>
            </w:tcBorders>
            <w:shd w:val="clear" w:color="000000" w:fill="FFFFFF"/>
            <w:hideMark/>
          </w:tcPr>
          <w:p w14:paraId="22C0F3BC"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1</w:t>
            </w:r>
          </w:p>
        </w:tc>
        <w:tc>
          <w:tcPr>
            <w:tcW w:w="5258" w:type="dxa"/>
            <w:tcBorders>
              <w:top w:val="single" w:sz="4" w:space="0" w:color="000000"/>
              <w:left w:val="nil"/>
              <w:bottom w:val="single" w:sz="4" w:space="0" w:color="000000"/>
              <w:right w:val="single" w:sz="4" w:space="0" w:color="000000"/>
            </w:tcBorders>
            <w:shd w:val="clear" w:color="000000" w:fill="FFFFFF"/>
            <w:hideMark/>
          </w:tcPr>
          <w:p w14:paraId="5F533336"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2</w:t>
            </w:r>
          </w:p>
        </w:tc>
        <w:tc>
          <w:tcPr>
            <w:tcW w:w="1729" w:type="dxa"/>
            <w:tcBorders>
              <w:top w:val="single" w:sz="4" w:space="0" w:color="000000"/>
              <w:left w:val="nil"/>
              <w:bottom w:val="single" w:sz="4" w:space="0" w:color="000000"/>
              <w:right w:val="single" w:sz="4" w:space="0" w:color="000000"/>
            </w:tcBorders>
            <w:shd w:val="clear" w:color="000000" w:fill="FFFFFF"/>
            <w:hideMark/>
          </w:tcPr>
          <w:p w14:paraId="15E07623"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3</w:t>
            </w:r>
          </w:p>
        </w:tc>
        <w:tc>
          <w:tcPr>
            <w:tcW w:w="1843" w:type="dxa"/>
            <w:tcBorders>
              <w:top w:val="nil"/>
              <w:left w:val="nil"/>
              <w:bottom w:val="single" w:sz="4" w:space="0" w:color="000000"/>
              <w:right w:val="single" w:sz="4" w:space="0" w:color="000000"/>
            </w:tcBorders>
            <w:shd w:val="clear" w:color="000000" w:fill="FFFFFF"/>
            <w:hideMark/>
          </w:tcPr>
          <w:p w14:paraId="5F20D62F"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4</w:t>
            </w:r>
          </w:p>
        </w:tc>
      </w:tr>
      <w:tr w:rsidR="000F3CDF" w:rsidRPr="00EF7FD0" w14:paraId="4B203963" w14:textId="77777777" w:rsidTr="003B0065">
        <w:trPr>
          <w:trHeight w:val="334"/>
        </w:trPr>
        <w:tc>
          <w:tcPr>
            <w:tcW w:w="838" w:type="dxa"/>
            <w:tcBorders>
              <w:top w:val="single" w:sz="4" w:space="0" w:color="000000"/>
              <w:left w:val="single" w:sz="4" w:space="0" w:color="000000"/>
              <w:bottom w:val="single" w:sz="4" w:space="0" w:color="000000"/>
              <w:right w:val="single" w:sz="4" w:space="0" w:color="000000"/>
            </w:tcBorders>
            <w:shd w:val="clear" w:color="000000" w:fill="FFFFFF"/>
            <w:hideMark/>
          </w:tcPr>
          <w:p w14:paraId="7FDC4799"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1</w:t>
            </w:r>
          </w:p>
        </w:tc>
        <w:tc>
          <w:tcPr>
            <w:tcW w:w="5258" w:type="dxa"/>
            <w:tcBorders>
              <w:top w:val="single" w:sz="4" w:space="0" w:color="000000"/>
              <w:left w:val="nil"/>
              <w:bottom w:val="single" w:sz="4" w:space="0" w:color="000000"/>
              <w:right w:val="nil"/>
            </w:tcBorders>
            <w:shd w:val="clear" w:color="000000" w:fill="FFFFFF"/>
            <w:hideMark/>
          </w:tcPr>
          <w:p w14:paraId="40B3A4C7" w14:textId="77777777" w:rsidR="000F3CDF" w:rsidRPr="00EF7FD0" w:rsidRDefault="000F3CDF" w:rsidP="003B0065">
            <w:pP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 xml:space="preserve">Демонтаж плінтусів </w:t>
            </w:r>
            <w:proofErr w:type="spellStart"/>
            <w:r w:rsidRPr="00EF7FD0">
              <w:rPr>
                <w:rFonts w:ascii="Times New Roman" w:hAnsi="Times New Roman" w:cs="Times New Roman"/>
                <w:color w:val="080000"/>
                <w:sz w:val="24"/>
                <w:szCs w:val="24"/>
                <w:lang w:val="uk-UA" w:eastAsia="ru-RU"/>
              </w:rPr>
              <w:t>полівінілхлоридних</w:t>
            </w:r>
            <w:proofErr w:type="spellEnd"/>
            <w:r w:rsidRPr="00EF7FD0">
              <w:rPr>
                <w:rFonts w:ascii="Times New Roman" w:hAnsi="Times New Roman" w:cs="Times New Roman"/>
                <w:color w:val="080000"/>
                <w:sz w:val="24"/>
                <w:szCs w:val="24"/>
                <w:lang w:val="uk-UA" w:eastAsia="ru-RU"/>
              </w:rPr>
              <w:t xml:space="preserve"> на шурупах</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hideMark/>
          </w:tcPr>
          <w:p w14:paraId="46C54B39" w14:textId="77777777" w:rsidR="000F3CDF" w:rsidRPr="00EF7FD0" w:rsidRDefault="000F3CDF" w:rsidP="003B0065">
            <w:pPr>
              <w:jc w:val="center"/>
              <w:rPr>
                <w:rFonts w:ascii="Times New Roman" w:hAnsi="Times New Roman" w:cs="Times New Roman"/>
                <w:color w:val="080000"/>
                <w:sz w:val="24"/>
                <w:szCs w:val="24"/>
                <w:lang w:val="uk-UA" w:eastAsia="ru-RU"/>
              </w:rPr>
            </w:pPr>
            <w:proofErr w:type="spellStart"/>
            <w:r w:rsidRPr="00EF7FD0">
              <w:rPr>
                <w:rFonts w:ascii="Times New Roman" w:hAnsi="Times New Roman" w:cs="Times New Roman"/>
                <w:color w:val="080000"/>
                <w:sz w:val="24"/>
                <w:szCs w:val="24"/>
                <w:lang w:val="uk-UA" w:eastAsia="ru-RU"/>
              </w:rPr>
              <w:t>пог.м</w:t>
            </w:r>
            <w:proofErr w:type="spellEnd"/>
            <w:r w:rsidRPr="00EF7FD0">
              <w:rPr>
                <w:rFonts w:ascii="Times New Roman" w:hAnsi="Times New Roman" w:cs="Times New Roman"/>
                <w:color w:val="080000"/>
                <w:sz w:val="24"/>
                <w:szCs w:val="24"/>
                <w:lang w:val="uk-UA" w:eastAsia="ru-RU"/>
              </w:rPr>
              <w:t xml:space="preserve"> </w:t>
            </w:r>
          </w:p>
        </w:tc>
        <w:tc>
          <w:tcPr>
            <w:tcW w:w="1843" w:type="dxa"/>
            <w:tcBorders>
              <w:top w:val="nil"/>
              <w:left w:val="nil"/>
              <w:bottom w:val="single" w:sz="4" w:space="0" w:color="000000"/>
              <w:right w:val="single" w:sz="4" w:space="0" w:color="000000"/>
            </w:tcBorders>
            <w:shd w:val="clear" w:color="000000" w:fill="FFFFFF"/>
            <w:hideMark/>
          </w:tcPr>
          <w:p w14:paraId="19E396E3"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118,4</w:t>
            </w:r>
          </w:p>
        </w:tc>
      </w:tr>
      <w:tr w:rsidR="000F3CDF" w:rsidRPr="00EF7FD0" w14:paraId="6EF8E6D0" w14:textId="77777777" w:rsidTr="003B0065">
        <w:trPr>
          <w:trHeight w:val="334"/>
        </w:trPr>
        <w:tc>
          <w:tcPr>
            <w:tcW w:w="838" w:type="dxa"/>
            <w:tcBorders>
              <w:top w:val="single" w:sz="4" w:space="0" w:color="000000"/>
              <w:left w:val="single" w:sz="4" w:space="0" w:color="000000"/>
              <w:bottom w:val="single" w:sz="4" w:space="0" w:color="000000"/>
              <w:right w:val="single" w:sz="4" w:space="0" w:color="000000"/>
            </w:tcBorders>
            <w:shd w:val="clear" w:color="000000" w:fill="FFFFFF"/>
            <w:hideMark/>
          </w:tcPr>
          <w:p w14:paraId="2E466A46"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2</w:t>
            </w:r>
          </w:p>
        </w:tc>
        <w:tc>
          <w:tcPr>
            <w:tcW w:w="5258" w:type="dxa"/>
            <w:tcBorders>
              <w:top w:val="single" w:sz="4" w:space="0" w:color="000000"/>
              <w:left w:val="nil"/>
              <w:bottom w:val="single" w:sz="4" w:space="0" w:color="000000"/>
              <w:right w:val="nil"/>
            </w:tcBorders>
            <w:shd w:val="clear" w:color="000000" w:fill="FFFFFF"/>
            <w:hideMark/>
          </w:tcPr>
          <w:p w14:paraId="5E67DB11" w14:textId="77777777" w:rsidR="000F3CDF" w:rsidRPr="00EF7FD0" w:rsidRDefault="000F3CDF" w:rsidP="003B0065">
            <w:pP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Розбирання покриттів підлог з лінолеуму та реліну</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hideMark/>
          </w:tcPr>
          <w:p w14:paraId="514BFAA2" w14:textId="77777777" w:rsidR="000F3CDF" w:rsidRPr="00EF7FD0" w:rsidRDefault="000F3CDF" w:rsidP="003B0065">
            <w:pPr>
              <w:jc w:val="center"/>
              <w:rPr>
                <w:rFonts w:ascii="Times New Roman" w:hAnsi="Times New Roman" w:cs="Times New Roman"/>
                <w:color w:val="080000"/>
                <w:sz w:val="24"/>
                <w:szCs w:val="24"/>
                <w:lang w:val="uk-UA" w:eastAsia="ru-RU"/>
              </w:rPr>
            </w:pPr>
            <w:proofErr w:type="spellStart"/>
            <w:r w:rsidRPr="00EF7FD0">
              <w:rPr>
                <w:rFonts w:ascii="Times New Roman" w:hAnsi="Times New Roman" w:cs="Times New Roman"/>
                <w:color w:val="080000"/>
                <w:sz w:val="24"/>
                <w:szCs w:val="24"/>
                <w:lang w:val="uk-UA" w:eastAsia="ru-RU"/>
              </w:rPr>
              <w:t>кв.м</w:t>
            </w:r>
            <w:proofErr w:type="spellEnd"/>
            <w:r w:rsidRPr="00EF7FD0">
              <w:rPr>
                <w:rFonts w:ascii="Times New Roman" w:hAnsi="Times New Roman" w:cs="Times New Roman"/>
                <w:color w:val="080000"/>
                <w:sz w:val="24"/>
                <w:szCs w:val="24"/>
                <w:lang w:val="uk-UA" w:eastAsia="ru-RU"/>
              </w:rPr>
              <w:t xml:space="preserve"> </w:t>
            </w:r>
          </w:p>
        </w:tc>
        <w:tc>
          <w:tcPr>
            <w:tcW w:w="1843" w:type="dxa"/>
            <w:tcBorders>
              <w:top w:val="nil"/>
              <w:left w:val="nil"/>
              <w:bottom w:val="single" w:sz="4" w:space="0" w:color="000000"/>
              <w:right w:val="single" w:sz="4" w:space="0" w:color="000000"/>
            </w:tcBorders>
            <w:shd w:val="clear" w:color="000000" w:fill="FFFFFF"/>
            <w:hideMark/>
          </w:tcPr>
          <w:p w14:paraId="6ADB026C"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218,53</w:t>
            </w:r>
          </w:p>
        </w:tc>
      </w:tr>
      <w:tr w:rsidR="000F3CDF" w:rsidRPr="00EF7FD0" w14:paraId="1CAB932D" w14:textId="77777777" w:rsidTr="003B0065">
        <w:trPr>
          <w:trHeight w:val="334"/>
        </w:trPr>
        <w:tc>
          <w:tcPr>
            <w:tcW w:w="838" w:type="dxa"/>
            <w:tcBorders>
              <w:top w:val="single" w:sz="4" w:space="0" w:color="000000"/>
              <w:left w:val="single" w:sz="4" w:space="0" w:color="000000"/>
              <w:bottom w:val="single" w:sz="4" w:space="0" w:color="000000"/>
              <w:right w:val="single" w:sz="4" w:space="0" w:color="000000"/>
            </w:tcBorders>
            <w:shd w:val="clear" w:color="000000" w:fill="FFFFFF"/>
            <w:hideMark/>
          </w:tcPr>
          <w:p w14:paraId="5DBBA3E2"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3</w:t>
            </w:r>
          </w:p>
        </w:tc>
        <w:tc>
          <w:tcPr>
            <w:tcW w:w="5258" w:type="dxa"/>
            <w:tcBorders>
              <w:top w:val="single" w:sz="4" w:space="0" w:color="000000"/>
              <w:left w:val="nil"/>
              <w:bottom w:val="single" w:sz="4" w:space="0" w:color="000000"/>
              <w:right w:val="nil"/>
            </w:tcBorders>
            <w:shd w:val="clear" w:color="000000" w:fill="FFFFFF"/>
            <w:hideMark/>
          </w:tcPr>
          <w:p w14:paraId="028B0BB8" w14:textId="77777777" w:rsidR="000F3CDF" w:rsidRPr="00EF7FD0" w:rsidRDefault="000F3CDF" w:rsidP="003B0065">
            <w:pP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 xml:space="preserve">Улаштування (монтаж) плінтусів </w:t>
            </w:r>
            <w:proofErr w:type="spellStart"/>
            <w:r w:rsidRPr="00EF7FD0">
              <w:rPr>
                <w:rFonts w:ascii="Times New Roman" w:hAnsi="Times New Roman" w:cs="Times New Roman"/>
                <w:color w:val="080000"/>
                <w:sz w:val="24"/>
                <w:szCs w:val="24"/>
                <w:lang w:val="uk-UA" w:eastAsia="ru-RU"/>
              </w:rPr>
              <w:t>полівінілхлоридних</w:t>
            </w:r>
            <w:proofErr w:type="spellEnd"/>
            <w:r w:rsidRPr="00EF7FD0">
              <w:rPr>
                <w:rFonts w:ascii="Times New Roman" w:hAnsi="Times New Roman" w:cs="Times New Roman"/>
                <w:color w:val="080000"/>
                <w:sz w:val="24"/>
                <w:szCs w:val="24"/>
                <w:lang w:val="uk-UA" w:eastAsia="ru-RU"/>
              </w:rPr>
              <w:t xml:space="preserve"> на шурупах</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hideMark/>
          </w:tcPr>
          <w:p w14:paraId="2B4D3390" w14:textId="77777777" w:rsidR="000F3CDF" w:rsidRPr="00EF7FD0" w:rsidRDefault="000F3CDF" w:rsidP="003B0065">
            <w:pPr>
              <w:jc w:val="center"/>
              <w:rPr>
                <w:rFonts w:ascii="Times New Roman" w:hAnsi="Times New Roman" w:cs="Times New Roman"/>
                <w:color w:val="080000"/>
                <w:sz w:val="24"/>
                <w:szCs w:val="24"/>
                <w:lang w:val="uk-UA" w:eastAsia="ru-RU"/>
              </w:rPr>
            </w:pPr>
            <w:proofErr w:type="spellStart"/>
            <w:r w:rsidRPr="00EF7FD0">
              <w:rPr>
                <w:rFonts w:ascii="Times New Roman" w:hAnsi="Times New Roman" w:cs="Times New Roman"/>
                <w:color w:val="080000"/>
                <w:sz w:val="24"/>
                <w:szCs w:val="24"/>
                <w:lang w:val="uk-UA" w:eastAsia="ru-RU"/>
              </w:rPr>
              <w:t>пог.м</w:t>
            </w:r>
            <w:proofErr w:type="spellEnd"/>
          </w:p>
        </w:tc>
        <w:tc>
          <w:tcPr>
            <w:tcW w:w="1843" w:type="dxa"/>
            <w:tcBorders>
              <w:top w:val="nil"/>
              <w:left w:val="nil"/>
              <w:bottom w:val="single" w:sz="4" w:space="0" w:color="000000"/>
              <w:right w:val="single" w:sz="4" w:space="0" w:color="000000"/>
            </w:tcBorders>
            <w:shd w:val="clear" w:color="000000" w:fill="FFFFFF"/>
            <w:hideMark/>
          </w:tcPr>
          <w:p w14:paraId="4BBFEB1D"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118,4</w:t>
            </w:r>
          </w:p>
        </w:tc>
      </w:tr>
      <w:tr w:rsidR="000F3CDF" w:rsidRPr="00EF7FD0" w14:paraId="4E10BA86" w14:textId="77777777" w:rsidTr="003B0065">
        <w:trPr>
          <w:trHeight w:val="334"/>
        </w:trPr>
        <w:tc>
          <w:tcPr>
            <w:tcW w:w="838" w:type="dxa"/>
            <w:tcBorders>
              <w:top w:val="single" w:sz="4" w:space="0" w:color="000000"/>
              <w:left w:val="single" w:sz="4" w:space="0" w:color="000000"/>
              <w:bottom w:val="single" w:sz="4" w:space="0" w:color="000000"/>
              <w:right w:val="single" w:sz="4" w:space="0" w:color="000000"/>
            </w:tcBorders>
            <w:shd w:val="clear" w:color="000000" w:fill="FFFFFF"/>
            <w:hideMark/>
          </w:tcPr>
          <w:p w14:paraId="7D39DE71"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4</w:t>
            </w:r>
          </w:p>
        </w:tc>
        <w:tc>
          <w:tcPr>
            <w:tcW w:w="5258" w:type="dxa"/>
            <w:tcBorders>
              <w:top w:val="single" w:sz="4" w:space="0" w:color="000000"/>
              <w:left w:val="nil"/>
              <w:bottom w:val="single" w:sz="4" w:space="0" w:color="000000"/>
              <w:right w:val="nil"/>
            </w:tcBorders>
            <w:shd w:val="clear" w:color="000000" w:fill="FFFFFF"/>
            <w:hideMark/>
          </w:tcPr>
          <w:p w14:paraId="30177EA0" w14:textId="77777777" w:rsidR="000F3CDF" w:rsidRPr="00EF7FD0" w:rsidRDefault="000F3CDF" w:rsidP="003B0065">
            <w:pP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Улаштування алюмінієвих поріжків</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hideMark/>
          </w:tcPr>
          <w:p w14:paraId="1061976B" w14:textId="77777777" w:rsidR="000F3CDF" w:rsidRPr="00EF7FD0" w:rsidRDefault="000F3CDF" w:rsidP="003B0065">
            <w:pPr>
              <w:jc w:val="center"/>
              <w:rPr>
                <w:rFonts w:ascii="Times New Roman" w:hAnsi="Times New Roman" w:cs="Times New Roman"/>
                <w:color w:val="080000"/>
                <w:sz w:val="24"/>
                <w:szCs w:val="24"/>
                <w:lang w:val="uk-UA" w:eastAsia="ru-RU"/>
              </w:rPr>
            </w:pPr>
            <w:proofErr w:type="spellStart"/>
            <w:r w:rsidRPr="00EF7FD0">
              <w:rPr>
                <w:rFonts w:ascii="Times New Roman" w:hAnsi="Times New Roman" w:cs="Times New Roman"/>
                <w:color w:val="080000"/>
                <w:sz w:val="24"/>
                <w:szCs w:val="24"/>
                <w:lang w:val="uk-UA" w:eastAsia="ru-RU"/>
              </w:rPr>
              <w:t>пог.м</w:t>
            </w:r>
            <w:proofErr w:type="spellEnd"/>
          </w:p>
        </w:tc>
        <w:tc>
          <w:tcPr>
            <w:tcW w:w="1843" w:type="dxa"/>
            <w:tcBorders>
              <w:top w:val="nil"/>
              <w:left w:val="nil"/>
              <w:bottom w:val="single" w:sz="4" w:space="0" w:color="000000"/>
              <w:right w:val="single" w:sz="4" w:space="0" w:color="000000"/>
            </w:tcBorders>
            <w:shd w:val="clear" w:color="000000" w:fill="FFFFFF"/>
            <w:hideMark/>
          </w:tcPr>
          <w:p w14:paraId="0AFAAECE"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14,4</w:t>
            </w:r>
          </w:p>
        </w:tc>
      </w:tr>
      <w:tr w:rsidR="000F3CDF" w:rsidRPr="00EF7FD0" w14:paraId="51267A2C" w14:textId="77777777" w:rsidTr="003B0065">
        <w:trPr>
          <w:trHeight w:val="604"/>
        </w:trPr>
        <w:tc>
          <w:tcPr>
            <w:tcW w:w="838" w:type="dxa"/>
            <w:tcBorders>
              <w:top w:val="single" w:sz="4" w:space="0" w:color="000000"/>
              <w:left w:val="single" w:sz="4" w:space="0" w:color="000000"/>
              <w:bottom w:val="single" w:sz="4" w:space="0" w:color="000000"/>
              <w:right w:val="single" w:sz="4" w:space="0" w:color="000000"/>
            </w:tcBorders>
            <w:shd w:val="clear" w:color="000000" w:fill="FFFFFF"/>
            <w:hideMark/>
          </w:tcPr>
          <w:p w14:paraId="72D08E87"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5</w:t>
            </w:r>
          </w:p>
        </w:tc>
        <w:tc>
          <w:tcPr>
            <w:tcW w:w="5258" w:type="dxa"/>
            <w:tcBorders>
              <w:top w:val="single" w:sz="4" w:space="0" w:color="000000"/>
              <w:left w:val="nil"/>
              <w:bottom w:val="single" w:sz="4" w:space="0" w:color="000000"/>
              <w:right w:val="nil"/>
            </w:tcBorders>
            <w:shd w:val="clear" w:color="000000" w:fill="FFFFFF"/>
            <w:hideMark/>
          </w:tcPr>
          <w:p w14:paraId="45F8C7CE" w14:textId="77777777" w:rsidR="000F3CDF" w:rsidRPr="00EF7FD0" w:rsidRDefault="000F3CDF" w:rsidP="003B0065">
            <w:pP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Улаштування покриття з лінолеуму площею покриття понад 10 м2</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hideMark/>
          </w:tcPr>
          <w:p w14:paraId="7415FFED" w14:textId="77777777" w:rsidR="000F3CDF" w:rsidRPr="00EF7FD0" w:rsidRDefault="000F3CDF" w:rsidP="003B0065">
            <w:pPr>
              <w:jc w:val="center"/>
              <w:rPr>
                <w:rFonts w:ascii="Times New Roman" w:hAnsi="Times New Roman" w:cs="Times New Roman"/>
                <w:color w:val="080000"/>
                <w:sz w:val="24"/>
                <w:szCs w:val="24"/>
                <w:lang w:val="uk-UA" w:eastAsia="ru-RU"/>
              </w:rPr>
            </w:pPr>
            <w:proofErr w:type="spellStart"/>
            <w:r w:rsidRPr="00EF7FD0">
              <w:rPr>
                <w:rFonts w:ascii="Times New Roman" w:hAnsi="Times New Roman" w:cs="Times New Roman"/>
                <w:color w:val="080000"/>
                <w:sz w:val="24"/>
                <w:szCs w:val="24"/>
                <w:lang w:val="uk-UA" w:eastAsia="ru-RU"/>
              </w:rPr>
              <w:t>кв.м</w:t>
            </w:r>
            <w:proofErr w:type="spellEnd"/>
          </w:p>
        </w:tc>
        <w:tc>
          <w:tcPr>
            <w:tcW w:w="1843" w:type="dxa"/>
            <w:tcBorders>
              <w:top w:val="nil"/>
              <w:left w:val="nil"/>
              <w:bottom w:val="single" w:sz="4" w:space="0" w:color="auto"/>
              <w:right w:val="single" w:sz="4" w:space="0" w:color="000000"/>
            </w:tcBorders>
            <w:shd w:val="clear" w:color="000000" w:fill="FFFFFF"/>
            <w:hideMark/>
          </w:tcPr>
          <w:p w14:paraId="0B081BFD" w14:textId="77777777" w:rsidR="000F3CDF" w:rsidRPr="00EF7FD0" w:rsidRDefault="000F3CDF" w:rsidP="003B0065">
            <w:pPr>
              <w:jc w:val="center"/>
              <w:rPr>
                <w:rFonts w:ascii="Times New Roman" w:hAnsi="Times New Roman" w:cs="Times New Roman"/>
                <w:color w:val="080000"/>
                <w:sz w:val="24"/>
                <w:szCs w:val="24"/>
                <w:lang w:val="uk-UA" w:eastAsia="ru-RU"/>
              </w:rPr>
            </w:pPr>
            <w:r w:rsidRPr="00EF7FD0">
              <w:rPr>
                <w:rFonts w:ascii="Times New Roman" w:hAnsi="Times New Roman" w:cs="Times New Roman"/>
                <w:color w:val="080000"/>
                <w:sz w:val="24"/>
                <w:szCs w:val="24"/>
                <w:lang w:val="uk-UA" w:eastAsia="ru-RU"/>
              </w:rPr>
              <w:t>218,53</w:t>
            </w:r>
          </w:p>
        </w:tc>
      </w:tr>
    </w:tbl>
    <w:p w14:paraId="4C29CBD7" w14:textId="77777777" w:rsidR="000F3CDF" w:rsidRPr="00EF7FD0" w:rsidRDefault="000F3CDF" w:rsidP="000F3CDF">
      <w:pPr>
        <w:tabs>
          <w:tab w:val="num" w:pos="426"/>
          <w:tab w:val="left" w:pos="567"/>
          <w:tab w:val="left" w:pos="1560"/>
          <w:tab w:val="right" w:leader="underscore" w:pos="9923"/>
        </w:tabs>
        <w:ind w:right="-1"/>
        <w:jc w:val="center"/>
        <w:rPr>
          <w:rFonts w:ascii="Times New Roman" w:hAnsi="Times New Roman" w:cs="Times New Roman"/>
          <w:b/>
          <w:bCs/>
          <w:color w:val="FF0000"/>
          <w:sz w:val="24"/>
          <w:szCs w:val="24"/>
          <w:u w:val="single"/>
          <w:lang w:val="uk-UA" w:eastAsia="ru-RU"/>
        </w:rPr>
      </w:pPr>
    </w:p>
    <w:bookmarkEnd w:id="0"/>
    <w:p w14:paraId="3547556E" w14:textId="77777777" w:rsidR="002C1A01" w:rsidRPr="00EF7FD0" w:rsidRDefault="002C1A01" w:rsidP="002C1A01">
      <w:pPr>
        <w:tabs>
          <w:tab w:val="num" w:pos="426"/>
          <w:tab w:val="left" w:pos="567"/>
          <w:tab w:val="left" w:pos="1560"/>
          <w:tab w:val="right" w:leader="underscore" w:pos="9923"/>
        </w:tabs>
        <w:ind w:right="-1"/>
        <w:jc w:val="center"/>
        <w:rPr>
          <w:rFonts w:ascii="Times New Roman" w:hAnsi="Times New Roman" w:cs="Times New Roman"/>
          <w:b/>
          <w:bCs/>
          <w:color w:val="FF0000"/>
          <w:sz w:val="24"/>
          <w:szCs w:val="24"/>
          <w:u w:val="single"/>
          <w:lang w:val="uk-UA" w:eastAsia="ru-RU"/>
        </w:rPr>
      </w:pPr>
      <w:r w:rsidRPr="00EF7FD0">
        <w:rPr>
          <w:rFonts w:ascii="Times New Roman" w:hAnsi="Times New Roman" w:cs="Times New Roman"/>
          <w:b/>
          <w:bCs/>
          <w:color w:val="FF0000"/>
          <w:sz w:val="24"/>
          <w:szCs w:val="24"/>
          <w:u w:val="single"/>
          <w:lang w:val="uk-UA" w:eastAsia="ru-RU"/>
        </w:rPr>
        <w:t>* УВАГА!  Виїзд фахівця для уточнення розмірів обов'язковий.</w:t>
      </w:r>
    </w:p>
    <w:p w14:paraId="4AF690FD" w14:textId="77777777" w:rsidR="002C1A01" w:rsidRPr="00EF7FD0" w:rsidRDefault="002C1A01" w:rsidP="002C1A01">
      <w:pPr>
        <w:shd w:val="clear" w:color="auto" w:fill="FFFFFF"/>
        <w:ind w:firstLine="720"/>
        <w:jc w:val="both"/>
        <w:rPr>
          <w:rFonts w:ascii="Times New Roman" w:hAnsi="Times New Roman" w:cs="Times New Roman"/>
          <w:b/>
          <w:sz w:val="24"/>
          <w:szCs w:val="24"/>
          <w:lang w:val="uk-UA"/>
        </w:rPr>
      </w:pPr>
      <w:r w:rsidRPr="00EF7FD0">
        <w:rPr>
          <w:rFonts w:ascii="Times New Roman" w:hAnsi="Times New Roman" w:cs="Times New Roman"/>
          <w:sz w:val="24"/>
          <w:szCs w:val="24"/>
          <w:lang w:val="uk-UA"/>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EF7FD0">
        <w:rPr>
          <w:rFonts w:ascii="Times New Roman" w:hAnsi="Times New Roman" w:cs="Times New Roman"/>
          <w:b/>
          <w:sz w:val="24"/>
          <w:szCs w:val="24"/>
          <w:lang w:val="uk-UA"/>
        </w:rPr>
        <w:t>Таким чином, вважається, що до кожного посилання додається вираз «або еквівалент».</w:t>
      </w:r>
    </w:p>
    <w:p w14:paraId="70251ED6" w14:textId="77777777" w:rsidR="002C1A01" w:rsidRPr="00EF7FD0" w:rsidRDefault="002C1A01" w:rsidP="002C1A01">
      <w:pPr>
        <w:ind w:firstLine="720"/>
        <w:jc w:val="both"/>
        <w:rPr>
          <w:rFonts w:ascii="Times New Roman" w:hAnsi="Times New Roman" w:cs="Times New Roman"/>
          <w:b/>
          <w:bCs/>
          <w:color w:val="000000"/>
          <w:sz w:val="24"/>
          <w:szCs w:val="24"/>
          <w:lang w:val="uk-UA"/>
        </w:rPr>
      </w:pPr>
      <w:r w:rsidRPr="00EF7FD0">
        <w:rPr>
          <w:rFonts w:ascii="Times New Roman" w:hAnsi="Times New Roman" w:cs="Times New Roman"/>
          <w:b/>
          <w:bCs/>
          <w:color w:val="000000"/>
          <w:sz w:val="24"/>
          <w:szCs w:val="24"/>
          <w:lang w:val="uk-UA"/>
        </w:rPr>
        <w:t>Учасник, який подав тендерну пропозицію, вважається таким, що погоджується з технічними, якісними, кількісними, функціональними характеристиками до предмета закупівлі та іншими вимогами до предмета закупівлі, що містяться в тендерній документації та цьому додатку, а також підтверджує можливість надання послуг відповідно до вимог, визначених цією документацією.</w:t>
      </w:r>
    </w:p>
    <w:p w14:paraId="5B1CEB48" w14:textId="77777777" w:rsidR="002C1A01" w:rsidRDefault="002C1A01" w:rsidP="002C1A01">
      <w:pPr>
        <w:ind w:left="990" w:firstLine="1134"/>
        <w:jc w:val="both"/>
        <w:rPr>
          <w:rFonts w:ascii="Times New Roman" w:hAnsi="Times New Roman" w:cs="Times New Roman"/>
          <w:b/>
          <w:caps/>
          <w:sz w:val="24"/>
          <w:szCs w:val="24"/>
          <w:lang w:val="uk-UA"/>
        </w:rPr>
      </w:pPr>
    </w:p>
    <w:p w14:paraId="7C258E09" w14:textId="77777777" w:rsidR="008B1F4A" w:rsidRDefault="008B1F4A" w:rsidP="002C1A01">
      <w:pPr>
        <w:ind w:left="990" w:firstLine="1134"/>
        <w:jc w:val="both"/>
        <w:rPr>
          <w:rFonts w:ascii="Times New Roman" w:hAnsi="Times New Roman" w:cs="Times New Roman"/>
          <w:b/>
          <w:caps/>
          <w:sz w:val="24"/>
          <w:szCs w:val="24"/>
          <w:lang w:val="uk-UA"/>
        </w:rPr>
      </w:pPr>
    </w:p>
    <w:p w14:paraId="334004EA" w14:textId="77777777" w:rsidR="008B1F4A" w:rsidRDefault="008B1F4A" w:rsidP="002C1A01">
      <w:pPr>
        <w:ind w:left="990" w:firstLine="1134"/>
        <w:jc w:val="both"/>
        <w:rPr>
          <w:rFonts w:ascii="Times New Roman" w:hAnsi="Times New Roman" w:cs="Times New Roman"/>
          <w:b/>
          <w:caps/>
          <w:sz w:val="24"/>
          <w:szCs w:val="24"/>
          <w:lang w:val="uk-UA"/>
        </w:rPr>
      </w:pPr>
    </w:p>
    <w:p w14:paraId="10F94581" w14:textId="77777777" w:rsidR="008B1F4A" w:rsidRPr="00EF7FD0" w:rsidRDefault="008B1F4A" w:rsidP="002C1A01">
      <w:pPr>
        <w:ind w:left="990" w:firstLine="1134"/>
        <w:jc w:val="both"/>
        <w:rPr>
          <w:rFonts w:ascii="Times New Roman" w:hAnsi="Times New Roman" w:cs="Times New Roman"/>
          <w:b/>
          <w:caps/>
          <w:sz w:val="24"/>
          <w:szCs w:val="24"/>
          <w:lang w:val="uk-UA"/>
        </w:rPr>
      </w:pPr>
    </w:p>
    <w:p w14:paraId="7F7B0697" w14:textId="77777777" w:rsidR="002C1A01" w:rsidRPr="00EF7FD0" w:rsidRDefault="002C1A01" w:rsidP="002C1A01">
      <w:pPr>
        <w:ind w:left="990" w:firstLine="1134"/>
        <w:jc w:val="both"/>
        <w:rPr>
          <w:rFonts w:ascii="Times New Roman" w:hAnsi="Times New Roman" w:cs="Times New Roman"/>
          <w:b/>
          <w:caps/>
          <w:sz w:val="24"/>
          <w:szCs w:val="24"/>
          <w:lang w:val="uk-UA"/>
        </w:rPr>
      </w:pPr>
      <w:r w:rsidRPr="00EF7FD0">
        <w:rPr>
          <w:rFonts w:ascii="Times New Roman" w:hAnsi="Times New Roman" w:cs="Times New Roman"/>
          <w:b/>
          <w:caps/>
          <w:sz w:val="24"/>
          <w:szCs w:val="24"/>
          <w:lang w:val="uk-UA"/>
        </w:rPr>
        <w:lastRenderedPageBreak/>
        <w:t>вимоги до предмету закупівлі:</w:t>
      </w:r>
    </w:p>
    <w:p w14:paraId="2DB8BC1A" w14:textId="77777777" w:rsidR="002C1A01" w:rsidRPr="00EF7FD0" w:rsidRDefault="002C1A01" w:rsidP="002C1A01">
      <w:pPr>
        <w:shd w:val="clear" w:color="auto" w:fill="FFFFFF"/>
        <w:spacing w:after="120"/>
        <w:ind w:left="-426" w:firstLine="426"/>
        <w:jc w:val="both"/>
        <w:rPr>
          <w:rFonts w:ascii="Times New Roman" w:hAnsi="Times New Roman" w:cs="Times New Roman"/>
          <w:sz w:val="24"/>
          <w:szCs w:val="24"/>
          <w:lang w:val="uk-UA"/>
        </w:rPr>
      </w:pPr>
      <w:r w:rsidRPr="00EF7FD0">
        <w:rPr>
          <w:rFonts w:ascii="Times New Roman" w:hAnsi="Times New Roman" w:cs="Times New Roman"/>
          <w:b/>
          <w:bCs/>
          <w:sz w:val="24"/>
          <w:szCs w:val="24"/>
          <w:lang w:val="uk-UA"/>
        </w:rPr>
        <w:t>Вимоги щодо якості предмета закупівлі:</w:t>
      </w:r>
      <w:r w:rsidRPr="00EF7FD0">
        <w:rPr>
          <w:rFonts w:ascii="Times New Roman" w:hAnsi="Times New Roman" w:cs="Times New Roman"/>
          <w:sz w:val="24"/>
          <w:szCs w:val="24"/>
          <w:lang w:val="uk-UA"/>
        </w:rPr>
        <w:t xml:space="preserve"> Послуги виконуються згідно Законів України "Про регулювання містобудівної діяльності", "Про архітектурну діяльність", ДБН В.2.6-31:2021. «Теплова ізоляція та енергоефективність будівель», ДБН А.3.2-2-2009 «Охорона праці і промислова безпека в будівництві» та фінансуються у відповідності до Бюджетного кодексу України з визначенням надання послуг згідно кошторисних норм України "Настанови з визначення вартості будівництва", що затверджені наказом Міністерства розвитку громад та територій України від 01.11.2021 № 281 "Про затвердження кошторисних норм України у будівництві" та іншим умов нормативної документації України передбаченої для даного виду послуг. Якість надання послуг має відповідати нормам діючих нормативно-правових актів.</w:t>
      </w:r>
    </w:p>
    <w:p w14:paraId="231504FE" w14:textId="77777777" w:rsidR="002C1A01" w:rsidRPr="00EF7FD0" w:rsidRDefault="002C1A01" w:rsidP="002C1A01">
      <w:pPr>
        <w:shd w:val="clear" w:color="auto" w:fill="FFFFFF"/>
        <w:spacing w:after="120"/>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 xml:space="preserve">Строк надання послуг з поточного ремонту: до 15.12.2025 року. </w:t>
      </w:r>
    </w:p>
    <w:tbl>
      <w:tblPr>
        <w:tblW w:w="0" w:type="auto"/>
        <w:tblCellMar>
          <w:left w:w="0" w:type="dxa"/>
          <w:right w:w="0" w:type="dxa"/>
        </w:tblCellMar>
        <w:tblLook w:val="04A0" w:firstRow="1" w:lastRow="0" w:firstColumn="1" w:lastColumn="0" w:noHBand="0" w:noVBand="1"/>
      </w:tblPr>
      <w:tblGrid>
        <w:gridCol w:w="4820"/>
        <w:gridCol w:w="4535"/>
      </w:tblGrid>
      <w:tr w:rsidR="002C1A01" w:rsidRPr="00EF7FD0" w14:paraId="3C3D27D2" w14:textId="77777777" w:rsidTr="00C37C38">
        <w:trPr>
          <w:trHeight w:val="1110"/>
        </w:trPr>
        <w:tc>
          <w:tcPr>
            <w:tcW w:w="4820" w:type="dxa"/>
            <w:vAlign w:val="center"/>
            <w:hideMark/>
          </w:tcPr>
          <w:p w14:paraId="786D4C0D"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b/>
                <w:bCs/>
                <w:sz w:val="24"/>
                <w:szCs w:val="24"/>
                <w:lang w:val="uk-UA"/>
              </w:rPr>
            </w:pPr>
            <w:r w:rsidRPr="00EF7FD0">
              <w:rPr>
                <w:rFonts w:ascii="Times New Roman" w:hAnsi="Times New Roman" w:cs="Times New Roman"/>
                <w:b/>
                <w:bCs/>
                <w:sz w:val="24"/>
                <w:szCs w:val="24"/>
                <w:lang w:val="uk-UA"/>
              </w:rPr>
              <w:t>Характеристики лінолеуму:</w:t>
            </w:r>
          </w:p>
          <w:p w14:paraId="140B8F61"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b/>
                <w:bCs/>
                <w:sz w:val="24"/>
                <w:szCs w:val="24"/>
                <w:lang w:val="uk-UA"/>
              </w:rPr>
            </w:pPr>
            <w:proofErr w:type="spellStart"/>
            <w:r w:rsidRPr="00EF7FD0">
              <w:rPr>
                <w:rFonts w:ascii="Times New Roman" w:hAnsi="Times New Roman" w:cs="Times New Roman"/>
                <w:b/>
                <w:bCs/>
                <w:sz w:val="24"/>
                <w:szCs w:val="24"/>
                <w:lang w:val="uk-UA"/>
              </w:rPr>
              <w:t>Напівкомерційний</w:t>
            </w:r>
            <w:proofErr w:type="spellEnd"/>
          </w:p>
          <w:p w14:paraId="1A882B12"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 xml:space="preserve">Тип </w:t>
            </w:r>
            <w:proofErr w:type="spellStart"/>
            <w:r w:rsidRPr="00EF7FD0">
              <w:rPr>
                <w:rFonts w:ascii="Times New Roman" w:hAnsi="Times New Roman" w:cs="Times New Roman"/>
                <w:sz w:val="24"/>
                <w:szCs w:val="24"/>
                <w:lang w:val="uk-UA"/>
              </w:rPr>
              <w:t>дизайна</w:t>
            </w:r>
            <w:proofErr w:type="spellEnd"/>
          </w:p>
        </w:tc>
        <w:tc>
          <w:tcPr>
            <w:tcW w:w="0" w:type="auto"/>
            <w:vAlign w:val="center"/>
            <w:hideMark/>
          </w:tcPr>
          <w:p w14:paraId="74E9192B"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p>
          <w:p w14:paraId="2D777956" w14:textId="77777777" w:rsidR="002C1A01" w:rsidRPr="00EF7FD0" w:rsidRDefault="002C1A01" w:rsidP="00C37C38">
            <w:pPr>
              <w:shd w:val="clear" w:color="auto" w:fill="FFFFFF"/>
              <w:spacing w:after="0" w:line="240" w:lineRule="auto"/>
              <w:ind w:left="147"/>
              <w:jc w:val="both"/>
              <w:rPr>
                <w:rFonts w:ascii="Times New Roman" w:hAnsi="Times New Roman" w:cs="Times New Roman"/>
                <w:sz w:val="24"/>
                <w:szCs w:val="24"/>
                <w:lang w:val="uk-UA"/>
              </w:rPr>
            </w:pPr>
          </w:p>
          <w:p w14:paraId="5B76B5AD" w14:textId="77777777" w:rsidR="002C1A01" w:rsidRPr="00EF7FD0" w:rsidRDefault="002C1A01" w:rsidP="00C37C38">
            <w:pPr>
              <w:shd w:val="clear" w:color="auto" w:fill="FFFFFF"/>
              <w:spacing w:after="0" w:line="240" w:lineRule="auto"/>
              <w:ind w:firstLine="5"/>
              <w:jc w:val="both"/>
              <w:rPr>
                <w:rFonts w:ascii="Times New Roman" w:hAnsi="Times New Roman" w:cs="Times New Roman"/>
                <w:sz w:val="24"/>
                <w:szCs w:val="24"/>
                <w:lang w:val="uk-UA"/>
              </w:rPr>
            </w:pPr>
          </w:p>
          <w:p w14:paraId="74249B17" w14:textId="77777777" w:rsidR="002C1A01" w:rsidRPr="00EF7FD0" w:rsidRDefault="002C1A01" w:rsidP="00C37C38">
            <w:pPr>
              <w:shd w:val="clear" w:color="auto" w:fill="FFFFFF"/>
              <w:spacing w:after="0" w:line="240" w:lineRule="auto"/>
              <w:ind w:firstLine="5"/>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 xml:space="preserve">імітує дерев’яне покриття, такі як паркетна дошка та ламінат </w:t>
            </w:r>
          </w:p>
          <w:p w14:paraId="3B5EBB1D"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p>
        </w:tc>
      </w:tr>
      <w:tr w:rsidR="002C1A01" w:rsidRPr="00EF7FD0" w14:paraId="7CB287CE" w14:textId="77777777" w:rsidTr="00C37C38">
        <w:trPr>
          <w:trHeight w:val="57"/>
        </w:trPr>
        <w:tc>
          <w:tcPr>
            <w:tcW w:w="4820" w:type="dxa"/>
            <w:vAlign w:val="center"/>
            <w:hideMark/>
          </w:tcPr>
          <w:p w14:paraId="112D666E"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Колірна гама (відтінок) дизайну</w:t>
            </w:r>
          </w:p>
          <w:p w14:paraId="15BF33D9"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p>
        </w:tc>
        <w:tc>
          <w:tcPr>
            <w:tcW w:w="0" w:type="auto"/>
            <w:vAlign w:val="center"/>
            <w:hideMark/>
          </w:tcPr>
          <w:p w14:paraId="6334D3E9"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бежевий</w:t>
            </w:r>
          </w:p>
        </w:tc>
      </w:tr>
      <w:tr w:rsidR="002C1A01" w:rsidRPr="00EF7FD0" w14:paraId="6F84A1AA" w14:textId="77777777" w:rsidTr="00C37C38">
        <w:trPr>
          <w:trHeight w:val="57"/>
        </w:trPr>
        <w:tc>
          <w:tcPr>
            <w:tcW w:w="4820" w:type="dxa"/>
            <w:vAlign w:val="center"/>
            <w:hideMark/>
          </w:tcPr>
          <w:p w14:paraId="6810D4D5"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 xml:space="preserve">Товщина загальна покриття, мм  </w:t>
            </w:r>
          </w:p>
        </w:tc>
        <w:tc>
          <w:tcPr>
            <w:tcW w:w="0" w:type="auto"/>
            <w:vAlign w:val="center"/>
            <w:hideMark/>
          </w:tcPr>
          <w:p w14:paraId="68C1D7E7"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не менше 2,0</w:t>
            </w:r>
          </w:p>
        </w:tc>
      </w:tr>
      <w:tr w:rsidR="002C1A01" w:rsidRPr="00EF7FD0" w14:paraId="34A6E19D" w14:textId="77777777" w:rsidTr="00C37C38">
        <w:trPr>
          <w:trHeight w:val="57"/>
        </w:trPr>
        <w:tc>
          <w:tcPr>
            <w:tcW w:w="4820" w:type="dxa"/>
            <w:vAlign w:val="center"/>
            <w:hideMark/>
          </w:tcPr>
          <w:p w14:paraId="4E3AF469"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 xml:space="preserve">Товщина захисного шару, мм </w:t>
            </w:r>
          </w:p>
        </w:tc>
        <w:tc>
          <w:tcPr>
            <w:tcW w:w="0" w:type="auto"/>
            <w:vAlign w:val="center"/>
            <w:hideMark/>
          </w:tcPr>
          <w:p w14:paraId="46BF5183"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0,5-0,7</w:t>
            </w:r>
          </w:p>
        </w:tc>
      </w:tr>
      <w:tr w:rsidR="002C1A01" w:rsidRPr="00EF7FD0" w14:paraId="518F334C" w14:textId="77777777" w:rsidTr="00C37C38">
        <w:trPr>
          <w:trHeight w:val="57"/>
        </w:trPr>
        <w:tc>
          <w:tcPr>
            <w:tcW w:w="4820" w:type="dxa"/>
            <w:vAlign w:val="center"/>
            <w:hideMark/>
          </w:tcPr>
          <w:p w14:paraId="012A0168"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Абсолютна залишкова деформація</w:t>
            </w:r>
          </w:p>
        </w:tc>
        <w:tc>
          <w:tcPr>
            <w:tcW w:w="0" w:type="auto"/>
            <w:vAlign w:val="center"/>
            <w:hideMark/>
          </w:tcPr>
          <w:p w14:paraId="43849D31"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 0,20</w:t>
            </w:r>
          </w:p>
        </w:tc>
      </w:tr>
      <w:tr w:rsidR="002C1A01" w:rsidRPr="00EF7FD0" w14:paraId="7DD41633" w14:textId="77777777" w:rsidTr="00C37C38">
        <w:trPr>
          <w:trHeight w:val="57"/>
        </w:trPr>
        <w:tc>
          <w:tcPr>
            <w:tcW w:w="4820" w:type="dxa"/>
            <w:vAlign w:val="center"/>
            <w:hideMark/>
          </w:tcPr>
          <w:p w14:paraId="7DAFCF62"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Зміна лінійних розмірів, %, не більше</w:t>
            </w:r>
          </w:p>
        </w:tc>
        <w:tc>
          <w:tcPr>
            <w:tcW w:w="0" w:type="auto"/>
            <w:vAlign w:val="center"/>
            <w:hideMark/>
          </w:tcPr>
          <w:p w14:paraId="5CB3EE91"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 0,1</w:t>
            </w:r>
          </w:p>
        </w:tc>
      </w:tr>
      <w:tr w:rsidR="002C1A01" w:rsidRPr="00EF7FD0" w14:paraId="50DB2F8D" w14:textId="77777777" w:rsidTr="00C37C38">
        <w:trPr>
          <w:trHeight w:val="57"/>
        </w:trPr>
        <w:tc>
          <w:tcPr>
            <w:tcW w:w="4820" w:type="dxa"/>
            <w:vAlign w:val="center"/>
            <w:hideMark/>
          </w:tcPr>
          <w:p w14:paraId="4C64A773"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Стирання</w:t>
            </w:r>
          </w:p>
        </w:tc>
        <w:tc>
          <w:tcPr>
            <w:tcW w:w="0" w:type="auto"/>
            <w:vAlign w:val="center"/>
            <w:hideMark/>
          </w:tcPr>
          <w:p w14:paraId="4C78C99B"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≤30</w:t>
            </w:r>
          </w:p>
        </w:tc>
      </w:tr>
      <w:tr w:rsidR="002C1A01" w:rsidRPr="00EF7FD0" w14:paraId="728E15F7" w14:textId="77777777" w:rsidTr="00C37C38">
        <w:trPr>
          <w:trHeight w:val="57"/>
        </w:trPr>
        <w:tc>
          <w:tcPr>
            <w:tcW w:w="4820" w:type="dxa"/>
            <w:vAlign w:val="center"/>
            <w:hideMark/>
          </w:tcPr>
          <w:p w14:paraId="03BC11D0"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Термін служби, років</w:t>
            </w:r>
          </w:p>
        </w:tc>
        <w:tc>
          <w:tcPr>
            <w:tcW w:w="0" w:type="auto"/>
            <w:vAlign w:val="center"/>
            <w:hideMark/>
          </w:tcPr>
          <w:p w14:paraId="61040704"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10</w:t>
            </w:r>
          </w:p>
        </w:tc>
      </w:tr>
      <w:tr w:rsidR="002C1A01" w:rsidRPr="00EF7FD0" w14:paraId="2FA78AE2" w14:textId="77777777" w:rsidTr="00C37C38">
        <w:trPr>
          <w:trHeight w:val="57"/>
        </w:trPr>
        <w:tc>
          <w:tcPr>
            <w:tcW w:w="4820" w:type="dxa"/>
            <w:vAlign w:val="center"/>
            <w:hideMark/>
          </w:tcPr>
          <w:p w14:paraId="4FEDAC0D" w14:textId="77777777" w:rsidR="002C1A01" w:rsidRPr="00EF7FD0" w:rsidRDefault="002C1A01" w:rsidP="00C37C38">
            <w:pPr>
              <w:shd w:val="clear" w:color="auto" w:fill="FFFFFF"/>
              <w:spacing w:after="0" w:line="240" w:lineRule="auto"/>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Клас застосування</w:t>
            </w:r>
          </w:p>
        </w:tc>
        <w:tc>
          <w:tcPr>
            <w:tcW w:w="0" w:type="auto"/>
            <w:vAlign w:val="center"/>
            <w:hideMark/>
          </w:tcPr>
          <w:p w14:paraId="6BEE4A5C"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23/32</w:t>
            </w:r>
          </w:p>
        </w:tc>
      </w:tr>
      <w:tr w:rsidR="002C1A01" w:rsidRPr="00EF7FD0" w14:paraId="72B080E5" w14:textId="77777777" w:rsidTr="00C37C38">
        <w:trPr>
          <w:trHeight w:val="57"/>
        </w:trPr>
        <w:tc>
          <w:tcPr>
            <w:tcW w:w="4820" w:type="dxa"/>
            <w:vAlign w:val="center"/>
            <w:hideMark/>
          </w:tcPr>
          <w:p w14:paraId="4987C376" w14:textId="77777777" w:rsidR="002C1A01" w:rsidRPr="00EF7FD0" w:rsidRDefault="002C1A01" w:rsidP="00C37C38">
            <w:pPr>
              <w:shd w:val="clear" w:color="auto" w:fill="FFFFFF"/>
              <w:spacing w:after="0" w:line="240" w:lineRule="auto"/>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Додаткове захисне покриття</w:t>
            </w:r>
          </w:p>
        </w:tc>
        <w:tc>
          <w:tcPr>
            <w:tcW w:w="0" w:type="auto"/>
            <w:vAlign w:val="center"/>
            <w:hideMark/>
          </w:tcPr>
          <w:p w14:paraId="78626B04"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Титан</w:t>
            </w:r>
          </w:p>
        </w:tc>
      </w:tr>
      <w:tr w:rsidR="002C1A01" w:rsidRPr="00EF7FD0" w14:paraId="1D6E9706" w14:textId="77777777" w:rsidTr="00C37C38">
        <w:trPr>
          <w:trHeight w:val="57"/>
        </w:trPr>
        <w:tc>
          <w:tcPr>
            <w:tcW w:w="4820" w:type="dxa"/>
            <w:vAlign w:val="center"/>
            <w:hideMark/>
          </w:tcPr>
          <w:p w14:paraId="784DC88D"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Стійкість до води</w:t>
            </w:r>
          </w:p>
        </w:tc>
        <w:tc>
          <w:tcPr>
            <w:tcW w:w="0" w:type="auto"/>
            <w:vAlign w:val="center"/>
            <w:hideMark/>
          </w:tcPr>
          <w:p w14:paraId="5B13B0B3"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так</w:t>
            </w:r>
          </w:p>
        </w:tc>
      </w:tr>
      <w:tr w:rsidR="002C1A01" w:rsidRPr="00EF7FD0" w14:paraId="059D4C20" w14:textId="77777777" w:rsidTr="00C37C38">
        <w:tc>
          <w:tcPr>
            <w:tcW w:w="4820" w:type="dxa"/>
            <w:vAlign w:val="center"/>
            <w:hideMark/>
          </w:tcPr>
          <w:p w14:paraId="36A48C69"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 xml:space="preserve">Стійкість до дії ніжок меблів та підборів </w:t>
            </w:r>
          </w:p>
        </w:tc>
        <w:tc>
          <w:tcPr>
            <w:tcW w:w="0" w:type="auto"/>
            <w:vAlign w:val="center"/>
            <w:hideMark/>
          </w:tcPr>
          <w:p w14:paraId="61AB59B4"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висока стійкість</w:t>
            </w:r>
          </w:p>
        </w:tc>
      </w:tr>
      <w:tr w:rsidR="002C1A01" w:rsidRPr="00EF7FD0" w14:paraId="52182DE0" w14:textId="77777777" w:rsidTr="00C37C38">
        <w:tc>
          <w:tcPr>
            <w:tcW w:w="4820" w:type="dxa"/>
            <w:vAlign w:val="center"/>
            <w:hideMark/>
          </w:tcPr>
          <w:p w14:paraId="7E7E1328"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 xml:space="preserve">Стійкість до роликових крісел </w:t>
            </w:r>
          </w:p>
        </w:tc>
        <w:tc>
          <w:tcPr>
            <w:tcW w:w="0" w:type="auto"/>
            <w:vAlign w:val="center"/>
            <w:hideMark/>
          </w:tcPr>
          <w:p w14:paraId="45B1D3D3" w14:textId="77777777" w:rsidR="002C1A01" w:rsidRPr="00EF7FD0" w:rsidRDefault="002C1A01" w:rsidP="00C37C38">
            <w:pPr>
              <w:shd w:val="clear" w:color="auto" w:fill="FFFFFF"/>
              <w:spacing w:after="0" w:line="240" w:lineRule="auto"/>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висока стійкість</w:t>
            </w:r>
          </w:p>
        </w:tc>
      </w:tr>
    </w:tbl>
    <w:p w14:paraId="04A4DD9E" w14:textId="77777777" w:rsidR="002C1A01" w:rsidRPr="00EF7FD0" w:rsidRDefault="002C1A01" w:rsidP="002C1A01">
      <w:pPr>
        <w:shd w:val="clear" w:color="auto" w:fill="FFFFFF"/>
        <w:spacing w:after="120"/>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Обладнання та матеріали, які будуть використовуватись мають бути новими та не експлуатованими; продукція повинна відповідати вимогам чинного законодавства.</w:t>
      </w:r>
    </w:p>
    <w:p w14:paraId="43D6B7D0" w14:textId="77777777" w:rsidR="002C1A01" w:rsidRPr="00EF7FD0" w:rsidRDefault="002C1A01" w:rsidP="002C1A01">
      <w:pPr>
        <w:shd w:val="clear" w:color="auto" w:fill="FFFFFF"/>
        <w:spacing w:after="120"/>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Якщо пропозиція закупівлі учасника містить не всі види послуг або зміну обсягів та складу послуг згідно з документацією закупівель, ця пропозиція вважається такою, що не відповідає умовам технічної специфікації та іншим вимогам щодо предмета закупівлі тендерної документації, та відхиляється замовником. Запропоновані матеріали за якісними характеристиками повинні бути не гірше зазначених у тендерній документації якісних характеристик, що підтверджуватиметься відповідними документами та інформацією про технічні, якісні та кількісні характеристики предмета закупівлі.</w:t>
      </w:r>
    </w:p>
    <w:p w14:paraId="1F566FFF" w14:textId="77777777" w:rsidR="002C1A01" w:rsidRPr="00EF7FD0" w:rsidRDefault="002C1A01" w:rsidP="002C1A01">
      <w:pPr>
        <w:autoSpaceDE w:val="0"/>
        <w:autoSpaceDN w:val="0"/>
        <w:spacing w:after="120"/>
        <w:ind w:left="-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 xml:space="preserve">            Матеріали,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w:t>
      </w:r>
    </w:p>
    <w:p w14:paraId="52133D69" w14:textId="77777777" w:rsidR="002C1A01" w:rsidRPr="00EF7FD0" w:rsidRDefault="002C1A01" w:rsidP="002C1A01">
      <w:pPr>
        <w:shd w:val="clear" w:color="auto" w:fill="FFFFFF"/>
        <w:spacing w:after="120"/>
        <w:ind w:left="-426" w:firstLine="426"/>
        <w:jc w:val="both"/>
        <w:rPr>
          <w:rFonts w:ascii="Times New Roman" w:hAnsi="Times New Roman" w:cs="Times New Roman"/>
          <w:b/>
          <w:bCs/>
          <w:i/>
          <w:iCs/>
          <w:sz w:val="24"/>
          <w:szCs w:val="24"/>
          <w:lang w:val="uk-UA"/>
        </w:rPr>
      </w:pPr>
      <w:r w:rsidRPr="00EF7FD0">
        <w:rPr>
          <w:rFonts w:ascii="Times New Roman" w:hAnsi="Times New Roman" w:cs="Times New Roman"/>
          <w:b/>
          <w:bCs/>
          <w:i/>
          <w:iCs/>
          <w:sz w:val="24"/>
          <w:szCs w:val="24"/>
          <w:lang w:val="uk-UA"/>
        </w:rPr>
        <w:t xml:space="preserve">УВАГА Доставка матеріалів повинна відбуватися транспортом «Виконавця» за рахунок Виконавця з усією необхідною супровідною документацією. Виконавець забезпечує завантажувальні, розвантажувальні роботи та занос матеріалів на адресу Замовника в присутності представників Замовника. </w:t>
      </w:r>
    </w:p>
    <w:p w14:paraId="4727D2B1" w14:textId="77777777" w:rsidR="002C1A01" w:rsidRPr="00EF7FD0" w:rsidRDefault="002C1A01" w:rsidP="002C1A01">
      <w:pPr>
        <w:shd w:val="clear" w:color="auto" w:fill="FFFFFF"/>
        <w:spacing w:after="120"/>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При наданні послуг з поточного ремонту  використовуються інструмент, пристосування та техніка Виконавця.</w:t>
      </w:r>
    </w:p>
    <w:p w14:paraId="5DCA9934" w14:textId="77777777" w:rsidR="002C1A01" w:rsidRPr="00EF7FD0" w:rsidRDefault="002C1A01" w:rsidP="002C1A01">
      <w:pPr>
        <w:shd w:val="clear" w:color="auto" w:fill="FFFFFF"/>
        <w:spacing w:after="120"/>
        <w:ind w:left="-426" w:firstLine="426"/>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Гарантійний термін на надані послуги становить 5 років з дня підписання Акту.</w:t>
      </w:r>
    </w:p>
    <w:p w14:paraId="64433BD9" w14:textId="74C5F5F7" w:rsidR="002C1A01" w:rsidRPr="00EF7FD0" w:rsidRDefault="002C1A01" w:rsidP="008B1F4A">
      <w:pPr>
        <w:shd w:val="clear" w:color="auto" w:fill="FFFFFF"/>
        <w:spacing w:after="120"/>
        <w:ind w:left="-426" w:firstLine="426"/>
        <w:jc w:val="both"/>
        <w:rPr>
          <w:rFonts w:ascii="Times New Roman" w:hAnsi="Times New Roman" w:cs="Times New Roman"/>
          <w:b/>
          <w:bCs/>
          <w:sz w:val="24"/>
          <w:szCs w:val="24"/>
          <w:lang w:val="uk-UA"/>
        </w:rPr>
      </w:pPr>
      <w:r w:rsidRPr="00EF7FD0">
        <w:rPr>
          <w:rFonts w:ascii="Times New Roman" w:hAnsi="Times New Roman" w:cs="Times New Roman"/>
          <w:sz w:val="24"/>
          <w:szCs w:val="24"/>
          <w:lang w:val="uk-UA"/>
        </w:rPr>
        <w:lastRenderedPageBreak/>
        <w:t xml:space="preserve"> </w:t>
      </w:r>
      <w:r w:rsidR="008B1F4A">
        <w:rPr>
          <w:rFonts w:ascii="Times New Roman" w:hAnsi="Times New Roman" w:cs="Times New Roman"/>
          <w:sz w:val="24"/>
          <w:szCs w:val="24"/>
          <w:lang w:val="uk-UA"/>
        </w:rPr>
        <w:t xml:space="preserve">        </w:t>
      </w:r>
      <w:r w:rsidRPr="00EF7FD0">
        <w:rPr>
          <w:rFonts w:ascii="Times New Roman" w:hAnsi="Times New Roman" w:cs="Times New Roman"/>
          <w:b/>
          <w:bCs/>
          <w:sz w:val="24"/>
          <w:szCs w:val="24"/>
          <w:lang w:val="uk-UA"/>
        </w:rPr>
        <w:t xml:space="preserve">Вимоги до організації та порядку надання </w:t>
      </w:r>
      <w:r w:rsidRPr="00EF7FD0">
        <w:rPr>
          <w:rFonts w:ascii="Times New Roman" w:hAnsi="Times New Roman" w:cs="Times New Roman"/>
          <w:b/>
          <w:bCs/>
          <w:sz w:val="24"/>
          <w:szCs w:val="24"/>
          <w:lang w:val="uk-UA" w:eastAsia="ru-RU"/>
        </w:rPr>
        <w:t>послуг</w:t>
      </w:r>
      <w:r w:rsidRPr="00EF7FD0">
        <w:rPr>
          <w:rFonts w:ascii="Times New Roman" w:hAnsi="Times New Roman" w:cs="Times New Roman"/>
          <w:b/>
          <w:bCs/>
          <w:sz w:val="24"/>
          <w:szCs w:val="24"/>
          <w:lang w:val="uk-UA"/>
        </w:rPr>
        <w:t>:</w:t>
      </w:r>
    </w:p>
    <w:p w14:paraId="025BE07B" w14:textId="77777777" w:rsidR="002C1A01" w:rsidRPr="00EF7FD0" w:rsidRDefault="002C1A01" w:rsidP="002C1A01">
      <w:pPr>
        <w:ind w:firstLine="709"/>
        <w:jc w:val="both"/>
        <w:rPr>
          <w:rFonts w:ascii="Times New Roman" w:hAnsi="Times New Roman" w:cs="Times New Roman"/>
          <w:bCs/>
          <w:i/>
          <w:iCs/>
          <w:sz w:val="24"/>
          <w:szCs w:val="24"/>
          <w:u w:val="single"/>
          <w:lang w:val="uk-UA"/>
        </w:rPr>
      </w:pPr>
      <w:r w:rsidRPr="00EF7FD0">
        <w:rPr>
          <w:rFonts w:ascii="Times New Roman" w:hAnsi="Times New Roman" w:cs="Times New Roman"/>
          <w:bCs/>
          <w:sz w:val="24"/>
          <w:szCs w:val="24"/>
          <w:lang w:val="uk-UA"/>
        </w:rPr>
        <w:t xml:space="preserve">- </w:t>
      </w:r>
      <w:r w:rsidRPr="00EF7FD0">
        <w:rPr>
          <w:rFonts w:ascii="Times New Roman" w:hAnsi="Times New Roman" w:cs="Times New Roman"/>
          <w:bCs/>
          <w:i/>
          <w:iCs/>
          <w:sz w:val="24"/>
          <w:szCs w:val="24"/>
          <w:lang w:val="uk-UA"/>
        </w:rPr>
        <w:t>до початку надання послуг Виконавець зобов’язаний виконати підготовчі роботи по захисту приміщення Замовника від запилювання, забруднення, протікань та інших пошкоджень пов’язаних з наданням послуг, організувати винесення меблів з кабінетів у коридор та після завершення надання послуг занести меблі в кабінети;</w:t>
      </w:r>
    </w:p>
    <w:p w14:paraId="19BF90B3" w14:textId="77777777" w:rsidR="002C1A01" w:rsidRPr="00EF7FD0" w:rsidRDefault="002C1A01" w:rsidP="002C1A01">
      <w:pPr>
        <w:spacing w:after="120"/>
        <w:ind w:firstLine="709"/>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 якщо в процесі монтажних робіт пошкоджено частину приміщень будівлі, які не підлягали ремонту, Виконавець ремонтує пошкоджену частину протягом 3 (трьох) календарних днів за власні кошти;</w:t>
      </w:r>
    </w:p>
    <w:p w14:paraId="651ED77A" w14:textId="77777777" w:rsidR="002C1A01" w:rsidRPr="00EF7FD0" w:rsidRDefault="002C1A01" w:rsidP="002C1A01">
      <w:pPr>
        <w:spacing w:after="120"/>
        <w:ind w:firstLine="709"/>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 завезення обладнання та вивіз демонтованого, будівельного сміття має відбуватися безпосередньо з автотранспорту без проміжного складування на території установи, навантаження будівельного сміття та його вивіз за межі суду виконує Виконавець;</w:t>
      </w:r>
    </w:p>
    <w:p w14:paraId="6B3D59DB" w14:textId="77777777" w:rsidR="002C1A01" w:rsidRPr="00EF7FD0" w:rsidRDefault="002C1A01" w:rsidP="002C1A01">
      <w:pPr>
        <w:spacing w:after="120"/>
        <w:ind w:firstLine="709"/>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 послугу надавати суворо дотримуючись вимог чинного законодавства України по безпечному виконанню робіт, охороні праці, будівельних норм, державних стандартів України та правил, з дотриманням санітарних та протипожежних правил техніки безпеки;</w:t>
      </w:r>
    </w:p>
    <w:p w14:paraId="2BAD0E09" w14:textId="77777777" w:rsidR="002C1A01" w:rsidRPr="00EF7FD0" w:rsidRDefault="002C1A01" w:rsidP="002C1A01">
      <w:pPr>
        <w:ind w:firstLine="302"/>
        <w:jc w:val="both"/>
        <w:rPr>
          <w:rFonts w:ascii="Times New Roman" w:hAnsi="Times New Roman" w:cs="Times New Roman"/>
          <w:i/>
          <w:sz w:val="24"/>
          <w:szCs w:val="24"/>
          <w:lang w:val="uk-UA" w:eastAsia="uk-UA"/>
        </w:rPr>
      </w:pPr>
      <w:r w:rsidRPr="00EF7FD0">
        <w:rPr>
          <w:rFonts w:ascii="Times New Roman" w:hAnsi="Times New Roman" w:cs="Times New Roman"/>
          <w:i/>
          <w:sz w:val="24"/>
          <w:szCs w:val="24"/>
          <w:lang w:val="uk-UA" w:eastAsia="uk-UA"/>
        </w:rPr>
        <w:t>Учаснику рекомендується оглянути об’єкт замовника до кінцевого строку подання пропозицій.</w:t>
      </w:r>
    </w:p>
    <w:p w14:paraId="29004344" w14:textId="77777777" w:rsidR="002C1A01" w:rsidRPr="00EF7FD0" w:rsidRDefault="002C1A01" w:rsidP="002C1A01">
      <w:pPr>
        <w:ind w:firstLine="302"/>
        <w:jc w:val="both"/>
        <w:rPr>
          <w:rFonts w:ascii="Times New Roman" w:hAnsi="Times New Roman" w:cs="Times New Roman"/>
          <w:i/>
          <w:sz w:val="24"/>
          <w:szCs w:val="24"/>
          <w:lang w:val="uk-UA" w:eastAsia="uk-UA"/>
        </w:rPr>
      </w:pPr>
    </w:p>
    <w:p w14:paraId="337D3FCE" w14:textId="77777777" w:rsidR="002C1A01" w:rsidRPr="00EF7FD0" w:rsidRDefault="002C1A01" w:rsidP="002C1A01">
      <w:pPr>
        <w:pStyle w:val="a6"/>
        <w:ind w:left="0" w:firstLine="567"/>
        <w:jc w:val="center"/>
        <w:rPr>
          <w:rFonts w:ascii="Times New Roman" w:hAnsi="Times New Roman" w:cs="Times New Roman"/>
          <w:smallCaps/>
          <w:sz w:val="24"/>
          <w:szCs w:val="24"/>
          <w:lang w:val="uk-UA"/>
        </w:rPr>
      </w:pPr>
      <w:r w:rsidRPr="00EF7FD0">
        <w:rPr>
          <w:rFonts w:ascii="Times New Roman" w:hAnsi="Times New Roman" w:cs="Times New Roman"/>
          <w:b/>
          <w:smallCaps/>
          <w:sz w:val="24"/>
          <w:szCs w:val="24"/>
          <w:lang w:val="uk-UA"/>
        </w:rPr>
        <w:t>Вимоги щодо формування договірної ціни:</w:t>
      </w:r>
    </w:p>
    <w:p w14:paraId="67058A97" w14:textId="77777777" w:rsidR="002C1A01" w:rsidRPr="00EF7FD0" w:rsidRDefault="002C1A01" w:rsidP="002C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EF7FD0">
        <w:rPr>
          <w:rFonts w:ascii="Times New Roman" w:hAnsi="Times New Roman" w:cs="Times New Roman"/>
          <w:color w:val="000000"/>
          <w:sz w:val="24"/>
          <w:szCs w:val="24"/>
          <w:lang w:val="uk-UA"/>
        </w:rPr>
        <w:t>Договірна ціна – тверда.</w:t>
      </w:r>
    </w:p>
    <w:p w14:paraId="5AA2AB01" w14:textId="77777777" w:rsidR="002C1A01" w:rsidRPr="00EF7FD0" w:rsidRDefault="002C1A01" w:rsidP="002C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EF7FD0">
        <w:rPr>
          <w:rFonts w:ascii="Times New Roman" w:hAnsi="Times New Roman" w:cs="Times New Roman"/>
          <w:color w:val="000000"/>
          <w:sz w:val="24"/>
          <w:szCs w:val="24"/>
          <w:lang w:val="uk-UA"/>
        </w:rPr>
        <w:t>Послуги, які є предметом цієї закупівлі, у розумінні Закону України "Про публічні закупівлі" є послугами (послуга з поточного ремонту) і до них застосовуються відповідні положення даного закону як до послуг.</w:t>
      </w:r>
    </w:p>
    <w:p w14:paraId="2D8731A3" w14:textId="77777777" w:rsidR="002C1A01" w:rsidRPr="00EF7FD0" w:rsidRDefault="002C1A01" w:rsidP="002C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EF7FD0">
        <w:rPr>
          <w:rFonts w:ascii="Times New Roman" w:hAnsi="Times New Roman" w:cs="Times New Roman"/>
          <w:color w:val="000000"/>
          <w:sz w:val="24"/>
          <w:szCs w:val="24"/>
          <w:lang w:val="uk-UA"/>
        </w:rPr>
        <w:t xml:space="preserve">Учасник визначає ціни (із змінами та доповненнями) з урахуванням всіх видів та обсягів послуг, що повинні бути наданні.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 </w:t>
      </w:r>
    </w:p>
    <w:p w14:paraId="3687FFC0" w14:textId="77777777" w:rsidR="002C1A01" w:rsidRPr="00EF7FD0" w:rsidRDefault="002C1A01" w:rsidP="002C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EF7FD0">
        <w:rPr>
          <w:rFonts w:ascii="Times New Roman" w:hAnsi="Times New Roman" w:cs="Times New Roman"/>
          <w:color w:val="000000"/>
          <w:sz w:val="24"/>
          <w:szCs w:val="24"/>
          <w:lang w:val="uk-UA"/>
        </w:rPr>
        <w:t>Використовувані матеріали і обладнання повинні відповідати кошторисній документації, державним стандартам і технічним умовам.</w:t>
      </w:r>
    </w:p>
    <w:p w14:paraId="1A6B31CF" w14:textId="77777777" w:rsidR="002C1A01" w:rsidRPr="00EF7FD0" w:rsidRDefault="002C1A01" w:rsidP="002C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EF7FD0">
        <w:rPr>
          <w:rFonts w:ascii="Times New Roman" w:hAnsi="Times New Roman" w:cs="Times New Roman"/>
          <w:color w:val="000000"/>
          <w:sz w:val="24"/>
          <w:szCs w:val="24"/>
          <w:lang w:val="uk-UA"/>
        </w:rPr>
        <w:t>При складанні цінової пропозиції Учасник повинен керуватись розділом V «Визначення вартості об’єкта будівництва при складанні ціни пропозиції учасника процедури закупівлі (договірної ціни)» Настанови з визначення вартості будівництва затвердженої Наказом Міністерства розвитку громад та територій України 01 листопада 2021 року № 281.</w:t>
      </w:r>
    </w:p>
    <w:p w14:paraId="1D628980" w14:textId="77777777" w:rsidR="002C1A01" w:rsidRPr="00EF7FD0" w:rsidRDefault="002C1A01" w:rsidP="002C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EF7FD0">
        <w:rPr>
          <w:rFonts w:ascii="Times New Roman" w:hAnsi="Times New Roman" w:cs="Times New Roman"/>
          <w:color w:val="000000"/>
          <w:sz w:val="24"/>
          <w:szCs w:val="24"/>
          <w:lang w:val="uk-UA"/>
        </w:rPr>
        <w:t>Під час виконання договору про закупівлю учасник зобов’язується дотримуватись передбачених чинним законодавством вимог щодо застосування заходів із захисту довкілля, в тому числі тих, що передбачені згідно Закону України «Про охорону навколишнього природного середовища», Закону України «Про відходи».</w:t>
      </w:r>
    </w:p>
    <w:p w14:paraId="6841A8EC" w14:textId="77777777" w:rsidR="002C1A01" w:rsidRPr="00EF7FD0" w:rsidRDefault="002C1A01" w:rsidP="002C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EF7FD0">
        <w:rPr>
          <w:rFonts w:ascii="Times New Roman" w:hAnsi="Times New Roman" w:cs="Times New Roman"/>
          <w:color w:val="000000"/>
          <w:sz w:val="24"/>
          <w:szCs w:val="24"/>
          <w:lang w:val="uk-UA"/>
        </w:rPr>
        <w:t>Виконавцем повинні використовувати тільки сертифіковані матеріали та вироби, погоджені із Замовником.</w:t>
      </w:r>
    </w:p>
    <w:p w14:paraId="39FA5321" w14:textId="77777777" w:rsidR="002C1A01" w:rsidRPr="00EF7FD0" w:rsidRDefault="002C1A01" w:rsidP="002C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EF7FD0">
        <w:rPr>
          <w:rFonts w:ascii="Times New Roman" w:hAnsi="Times New Roman" w:cs="Times New Roman"/>
          <w:color w:val="000000"/>
          <w:sz w:val="24"/>
          <w:szCs w:val="24"/>
          <w:lang w:val="uk-UA"/>
        </w:rPr>
        <w:t>Учасник відповідає за одержання будь-яких та/або всіх необхідних дозволів, ліцензій на виконання робіт (надання послуг), сертифікатів на обладнання та матеріали, які будуть використовуватись при наданні послуг за Договором, та інших документів, пов’язаних із поданням пропозиції, та самостійно несе всі витрати на їх отримання.</w:t>
      </w:r>
    </w:p>
    <w:p w14:paraId="5353FA52" w14:textId="77777777" w:rsidR="002C1A01" w:rsidRPr="00EF7FD0" w:rsidRDefault="002C1A01" w:rsidP="002C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EF7FD0">
        <w:rPr>
          <w:rFonts w:ascii="Times New Roman" w:hAnsi="Times New Roman" w:cs="Times New Roman"/>
          <w:color w:val="000000"/>
          <w:sz w:val="24"/>
          <w:szCs w:val="24"/>
          <w:lang w:val="uk-UA"/>
        </w:rPr>
        <w:lastRenderedPageBreak/>
        <w:t xml:space="preserve">Ціна пропозиції Учасника процедури закупівлі (договірна ціна) повинна бути розрахована відповідно до КНУ «Настанова з визначення вартості будівництва», затверджена наказом Міністерства розвитку громад та територій України від 01 листопада 2021 року № 281 за діючими ресурсними елементними кошторисними нормами з показниками, рекомендованими </w:t>
      </w:r>
      <w:proofErr w:type="spellStart"/>
      <w:r w:rsidRPr="00EF7FD0">
        <w:rPr>
          <w:rFonts w:ascii="Times New Roman" w:hAnsi="Times New Roman" w:cs="Times New Roman"/>
          <w:color w:val="000000"/>
          <w:sz w:val="24"/>
          <w:szCs w:val="24"/>
          <w:lang w:val="uk-UA"/>
        </w:rPr>
        <w:t>Мінрегіоном</w:t>
      </w:r>
      <w:proofErr w:type="spellEnd"/>
      <w:r w:rsidRPr="00EF7FD0">
        <w:rPr>
          <w:rFonts w:ascii="Times New Roman" w:hAnsi="Times New Roman" w:cs="Times New Roman"/>
          <w:color w:val="000000"/>
          <w:sz w:val="24"/>
          <w:szCs w:val="24"/>
          <w:lang w:val="uk-UA"/>
        </w:rPr>
        <w:t xml:space="preserve"> для підприємств із бюджетним фінансуванням, з усіма змінами і доповненнями та іншими діючими нормативно-кошторисними документами.</w:t>
      </w:r>
    </w:p>
    <w:p w14:paraId="57B6F3C1" w14:textId="77777777" w:rsidR="002C1A01" w:rsidRPr="00EF7FD0" w:rsidRDefault="002C1A01" w:rsidP="002C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Ціна за послугу повинна бути сформована з урахуванням всіх витрат Виконавця, які необхідно понести Виконавцю у зв’язку із наданням послуг Замовнику, в тому числі: вартість проїзду працівників, витратних матеріалів, необхідних для послуг з їх доставкою/розвантаженням, доставкою інструменту Виконавця на об’єкт Замовника, сплату митних тарифів, транспортних витрат, податків і зборів, та інших витрат, понесених Виконавцем.</w:t>
      </w:r>
    </w:p>
    <w:p w14:paraId="20B21665" w14:textId="77777777" w:rsidR="002C1A01" w:rsidRPr="00EF7FD0" w:rsidRDefault="002C1A01" w:rsidP="002C1A01">
      <w:pPr>
        <w:snapToGrid w:val="0"/>
        <w:ind w:firstLine="567"/>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Загальна вартість за договірною ціною має відповідати ціні пропозиції Учасника. Договірна ціна означає ціну, за яку Учасник згоден надати послуги відповідно до тендерної документації. Договірна ціна повинна включати вартість усіх видів і обсягів робіт, всіх матеріальних ресурсів, необхідних для їх виконання, з урахуванням послуг, що передбачаються до виконання субпідрядними організаціями, у разі їх залучення. До договірної ціни не включаються витрати, пов'язані з укладенням договору.</w:t>
      </w:r>
    </w:p>
    <w:p w14:paraId="6B11EE04" w14:textId="77777777" w:rsidR="002C1A01" w:rsidRPr="00EF7FD0" w:rsidRDefault="002C1A01" w:rsidP="002C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Відомість ресурсів до зведеного кошторисного розрахунку повинна бути з обґрунтуванням та посиланням на країну-виробника матеріальних ресурсів. Поточні ціни на матеріальні ресурси приймаються за обґрунтованими, найменшими (при всіх рівних характеристиках) цінами на підставі проведеного Учасником аналізу цін на ринку будівельних матеріалів в регіоні розташування об’єкту.</w:t>
      </w:r>
    </w:p>
    <w:p w14:paraId="29E4FAAD" w14:textId="77777777" w:rsidR="002C1A01" w:rsidRPr="00EF7FD0" w:rsidRDefault="002C1A01" w:rsidP="002C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val="uk-UA"/>
        </w:rPr>
      </w:pPr>
      <w:r w:rsidRPr="00EF7FD0">
        <w:rPr>
          <w:rFonts w:ascii="Times New Roman" w:hAnsi="Times New Roman" w:cs="Times New Roman"/>
          <w:sz w:val="24"/>
          <w:szCs w:val="24"/>
          <w:lang w:val="uk-UA"/>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пропозиції. До розрахунку вартості пропозиції не включаються будь-які витрати, пов’язані з підготовкою та поданням пропозиції, понесені Учасником (в тому числі і у разі дискваліфікації). Всі можливі витрати Учасника сплачуються за рахунок його власних коштів та не відшкодовуються Замовником.</w:t>
      </w:r>
    </w:p>
    <w:p w14:paraId="507195FD" w14:textId="77777777" w:rsidR="002C1A01" w:rsidRPr="00EF7FD0" w:rsidRDefault="002C1A01" w:rsidP="002C1A01">
      <w:pPr>
        <w:jc w:val="center"/>
        <w:rPr>
          <w:rFonts w:ascii="Times New Roman" w:hAnsi="Times New Roman" w:cs="Times New Roman"/>
          <w:b/>
          <w:caps/>
          <w:sz w:val="24"/>
          <w:szCs w:val="24"/>
          <w:lang w:val="uk-UA"/>
        </w:rPr>
      </w:pPr>
    </w:p>
    <w:p w14:paraId="3093EE44" w14:textId="77777777" w:rsidR="002C1A01" w:rsidRPr="00EF7FD0" w:rsidRDefault="002C1A01" w:rsidP="002C1A01">
      <w:pPr>
        <w:jc w:val="center"/>
        <w:rPr>
          <w:rFonts w:ascii="Times New Roman" w:hAnsi="Times New Roman" w:cs="Times New Roman"/>
          <w:b/>
          <w:caps/>
          <w:sz w:val="24"/>
          <w:szCs w:val="24"/>
          <w:lang w:val="uk-UA"/>
        </w:rPr>
      </w:pPr>
      <w:r w:rsidRPr="00EF7FD0">
        <w:rPr>
          <w:rFonts w:ascii="Times New Roman" w:hAnsi="Times New Roman" w:cs="Times New Roman"/>
          <w:b/>
          <w:caps/>
          <w:sz w:val="24"/>
          <w:szCs w:val="24"/>
          <w:lang w:val="uk-UA"/>
        </w:rPr>
        <w:t>Документи, що підтверджують технічні, якісні та кількісні характеристики ПРЕДМЕТА ЗАКУПІВЛІ :</w:t>
      </w:r>
    </w:p>
    <w:p w14:paraId="36287B00" w14:textId="77777777" w:rsidR="002C1A01" w:rsidRPr="00EF7FD0" w:rsidRDefault="002C1A01" w:rsidP="002C1A01">
      <w:pPr>
        <w:ind w:firstLine="426"/>
        <w:jc w:val="both"/>
        <w:rPr>
          <w:rFonts w:ascii="Times New Roman" w:hAnsi="Times New Roman" w:cs="Times New Roman"/>
          <w:sz w:val="24"/>
          <w:szCs w:val="24"/>
          <w:lang w:val="uk-UA" w:eastAsia="ru-RU"/>
        </w:rPr>
      </w:pPr>
      <w:r w:rsidRPr="00EF7FD0">
        <w:rPr>
          <w:rFonts w:ascii="Times New Roman" w:hAnsi="Times New Roman" w:cs="Times New Roman"/>
          <w:sz w:val="24"/>
          <w:szCs w:val="24"/>
          <w:lang w:val="uk-UA" w:eastAsia="ru-RU"/>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4A036FBD" w14:textId="77777777" w:rsidR="002C1A01" w:rsidRPr="00EF7FD0" w:rsidRDefault="002C1A01" w:rsidP="002C1A01">
      <w:pPr>
        <w:pStyle w:val="a6"/>
        <w:numPr>
          <w:ilvl w:val="0"/>
          <w:numId w:val="14"/>
        </w:numPr>
        <w:spacing w:after="0" w:line="240" w:lineRule="auto"/>
        <w:ind w:left="1418" w:hanging="709"/>
        <w:contextualSpacing w:val="0"/>
        <w:jc w:val="both"/>
        <w:rPr>
          <w:rFonts w:ascii="Times New Roman" w:hAnsi="Times New Roman" w:cs="Times New Roman"/>
          <w:i/>
          <w:caps/>
          <w:sz w:val="24"/>
          <w:szCs w:val="24"/>
          <w:lang w:val="uk-UA" w:eastAsia="zh-CN"/>
        </w:rPr>
      </w:pPr>
      <w:r w:rsidRPr="00EF7FD0">
        <w:rPr>
          <w:rFonts w:ascii="Times New Roman" w:hAnsi="Times New Roman" w:cs="Times New Roman"/>
          <w:sz w:val="24"/>
          <w:szCs w:val="24"/>
          <w:lang w:val="uk-UA"/>
        </w:rPr>
        <w:t>Довідка (форма довільна) щодо можливості надання послуг згідно з вимогами.</w:t>
      </w:r>
    </w:p>
    <w:p w14:paraId="00E27D1B" w14:textId="77777777" w:rsidR="002C1A01" w:rsidRPr="00EF7FD0" w:rsidRDefault="002C1A01" w:rsidP="002C1A01">
      <w:pPr>
        <w:spacing w:after="0" w:line="240" w:lineRule="auto"/>
        <w:ind w:left="-426"/>
        <w:jc w:val="both"/>
        <w:rPr>
          <w:rFonts w:ascii="Times New Roman" w:hAnsi="Times New Roman" w:cs="Times New Roman"/>
          <w:bCs/>
          <w:i/>
          <w:iCs/>
          <w:sz w:val="24"/>
          <w:szCs w:val="24"/>
          <w:lang w:val="uk-UA" w:eastAsia="ru-RU"/>
        </w:rPr>
      </w:pPr>
      <w:r w:rsidRPr="00EF7FD0">
        <w:rPr>
          <w:rFonts w:ascii="Times New Roman" w:hAnsi="Times New Roman" w:cs="Times New Roman"/>
          <w:sz w:val="24"/>
          <w:szCs w:val="24"/>
          <w:lang w:val="uk-UA"/>
        </w:rPr>
        <w:t xml:space="preserve">     </w:t>
      </w:r>
    </w:p>
    <w:p w14:paraId="0BE62750" w14:textId="77777777" w:rsidR="002C1A01" w:rsidRPr="00EF7FD0" w:rsidRDefault="002C1A01" w:rsidP="002C1A01">
      <w:pPr>
        <w:numPr>
          <w:ilvl w:val="0"/>
          <w:numId w:val="12"/>
        </w:numPr>
        <w:tabs>
          <w:tab w:val="left" w:pos="993"/>
        </w:tabs>
        <w:spacing w:after="0" w:line="240" w:lineRule="auto"/>
        <w:ind w:left="0" w:firstLine="709"/>
        <w:jc w:val="both"/>
        <w:rPr>
          <w:rFonts w:ascii="Times New Roman" w:hAnsi="Times New Roman" w:cs="Times New Roman"/>
          <w:sz w:val="24"/>
          <w:szCs w:val="24"/>
          <w:lang w:val="uk-UA" w:eastAsia="ru-RU"/>
        </w:rPr>
      </w:pPr>
      <w:r w:rsidRPr="00EF7FD0">
        <w:rPr>
          <w:rFonts w:ascii="Times New Roman" w:hAnsi="Times New Roman" w:cs="Times New Roman"/>
          <w:sz w:val="24"/>
          <w:szCs w:val="24"/>
          <w:lang w:val="uk-UA" w:eastAsia="ru-RU"/>
        </w:rPr>
        <w:t>Довідка у довільній формі щодо дотримання вимог чинного законодавства із захисту довкілля, у якій зазначається застосування Учасником заходів із захисту довкілля, передбачених чинним законодавством України про відходи, пов’язаних з відходами, що утворюються у процесі виробництва предмета закупівлі.</w:t>
      </w:r>
    </w:p>
    <w:p w14:paraId="177EEBE0" w14:textId="77777777" w:rsidR="002C1A01" w:rsidRPr="00EF7FD0" w:rsidRDefault="002C1A01" w:rsidP="002C1A01">
      <w:pPr>
        <w:spacing w:after="0" w:line="240" w:lineRule="auto"/>
        <w:ind w:left="709"/>
        <w:jc w:val="both"/>
        <w:rPr>
          <w:rFonts w:ascii="Times New Roman" w:hAnsi="Times New Roman" w:cs="Times New Roman"/>
          <w:sz w:val="24"/>
          <w:szCs w:val="24"/>
          <w:lang w:val="uk-UA" w:eastAsia="ru-RU"/>
        </w:rPr>
      </w:pPr>
    </w:p>
    <w:p w14:paraId="7B2BBE1C" w14:textId="77777777" w:rsidR="002C1A01" w:rsidRPr="00EF7FD0" w:rsidRDefault="002C1A01" w:rsidP="002C1A01">
      <w:pPr>
        <w:numPr>
          <w:ilvl w:val="0"/>
          <w:numId w:val="12"/>
        </w:numPr>
        <w:tabs>
          <w:tab w:val="left" w:pos="993"/>
        </w:tabs>
        <w:spacing w:after="0" w:line="240" w:lineRule="auto"/>
        <w:ind w:left="0" w:firstLine="709"/>
        <w:jc w:val="both"/>
        <w:rPr>
          <w:rFonts w:ascii="Times New Roman" w:hAnsi="Times New Roman" w:cs="Times New Roman"/>
          <w:sz w:val="24"/>
          <w:szCs w:val="24"/>
          <w:lang w:val="uk-UA" w:eastAsia="ru-RU"/>
        </w:rPr>
      </w:pPr>
      <w:r w:rsidRPr="00EF7FD0">
        <w:rPr>
          <w:rFonts w:ascii="Times New Roman" w:hAnsi="Times New Roman" w:cs="Times New Roman"/>
          <w:sz w:val="24"/>
          <w:szCs w:val="24"/>
          <w:lang w:val="uk-UA" w:eastAsia="ru-RU"/>
        </w:rPr>
        <w:t xml:space="preserve">Ліцензія Учасника на ведення господарської діяльності з будівництва та ремонту об’єктів, або документ (наказ державного органу) про видачу такої ліцензії з посиланням на відповідні дані в електронному реєстрі ліцензій) надається Учасником у складі його пропозиції, </w:t>
      </w:r>
      <w:r w:rsidRPr="00EF7FD0">
        <w:rPr>
          <w:rFonts w:ascii="Times New Roman" w:hAnsi="Times New Roman" w:cs="Times New Roman"/>
          <w:sz w:val="24"/>
          <w:szCs w:val="24"/>
          <w:u w:val="single"/>
          <w:lang w:val="uk-UA" w:eastAsia="ru-RU"/>
        </w:rPr>
        <w:t>якщо таке вимагається чинним законодавством України</w:t>
      </w:r>
      <w:r w:rsidRPr="00EF7FD0">
        <w:rPr>
          <w:rFonts w:ascii="Times New Roman" w:hAnsi="Times New Roman" w:cs="Times New Roman"/>
          <w:sz w:val="24"/>
          <w:szCs w:val="24"/>
          <w:lang w:val="uk-UA" w:eastAsia="ru-RU"/>
        </w:rPr>
        <w:t xml:space="preserve">. </w:t>
      </w:r>
    </w:p>
    <w:p w14:paraId="401E1FD4" w14:textId="77777777" w:rsidR="002C1A01" w:rsidRPr="00EF7FD0" w:rsidRDefault="002C1A01" w:rsidP="002C1A01">
      <w:pPr>
        <w:numPr>
          <w:ilvl w:val="0"/>
          <w:numId w:val="12"/>
        </w:numPr>
        <w:tabs>
          <w:tab w:val="left" w:pos="851"/>
        </w:tabs>
        <w:spacing w:after="120" w:line="240" w:lineRule="auto"/>
        <w:ind w:left="0" w:firstLine="709"/>
        <w:jc w:val="both"/>
        <w:rPr>
          <w:rFonts w:ascii="Times New Roman" w:hAnsi="Times New Roman" w:cs="Times New Roman"/>
          <w:sz w:val="24"/>
          <w:szCs w:val="24"/>
          <w:lang w:val="uk-UA" w:eastAsia="ru-RU"/>
        </w:rPr>
      </w:pPr>
      <w:r w:rsidRPr="00EF7FD0">
        <w:rPr>
          <w:rFonts w:ascii="Times New Roman" w:hAnsi="Times New Roman" w:cs="Times New Roman"/>
          <w:sz w:val="24"/>
          <w:szCs w:val="24"/>
          <w:lang w:val="uk-UA" w:eastAsia="ru-RU"/>
        </w:rPr>
        <w:lastRenderedPageBreak/>
        <w:t>Інформація про необхідні технічні, якісні та кількісні характеристики предмета закупівлі (технічне завдання), а саме: згода з умовами та вимогами, які визначені у технічних, якісних та інших характеристиках предмета закупівлі та гарантування їх виконання у вигляді підписаних вказаних технічних вимог.</w:t>
      </w:r>
    </w:p>
    <w:p w14:paraId="5EB7DDBB" w14:textId="77777777" w:rsidR="002C1A01" w:rsidRPr="00EF7FD0" w:rsidRDefault="002C1A01" w:rsidP="002C1A01">
      <w:pPr>
        <w:numPr>
          <w:ilvl w:val="0"/>
          <w:numId w:val="12"/>
        </w:numPr>
        <w:tabs>
          <w:tab w:val="left" w:pos="452"/>
          <w:tab w:val="left" w:pos="993"/>
        </w:tabs>
        <w:spacing w:after="120" w:line="240" w:lineRule="auto"/>
        <w:ind w:left="0" w:firstLine="709"/>
        <w:jc w:val="both"/>
        <w:rPr>
          <w:rFonts w:ascii="Times New Roman" w:hAnsi="Times New Roman" w:cs="Times New Roman"/>
          <w:sz w:val="24"/>
          <w:szCs w:val="24"/>
          <w:lang w:val="uk-UA" w:eastAsia="ru-RU"/>
        </w:rPr>
      </w:pPr>
      <w:r w:rsidRPr="00EF7FD0">
        <w:rPr>
          <w:rFonts w:ascii="Times New Roman" w:hAnsi="Times New Roman" w:cs="Times New Roman"/>
          <w:bCs/>
          <w:spacing w:val="-3"/>
          <w:sz w:val="24"/>
          <w:szCs w:val="24"/>
          <w:lang w:val="uk-UA"/>
        </w:rPr>
        <w:t xml:space="preserve">Кошторисна документація </w:t>
      </w:r>
      <w:r w:rsidRPr="00EF7FD0">
        <w:rPr>
          <w:rFonts w:ascii="Times New Roman" w:eastAsia="Arial" w:hAnsi="Times New Roman" w:cs="Times New Roman"/>
          <w:sz w:val="24"/>
          <w:szCs w:val="24"/>
          <w:lang w:val="uk-UA" w:eastAsia="ru-RU"/>
        </w:rPr>
        <w:t xml:space="preserve">розрахована у </w:t>
      </w:r>
      <w:r w:rsidRPr="00EF7FD0">
        <w:rPr>
          <w:rFonts w:ascii="Times New Roman" w:hAnsi="Times New Roman" w:cs="Times New Roman"/>
          <w:sz w:val="24"/>
          <w:szCs w:val="24"/>
          <w:lang w:val="uk-UA"/>
        </w:rPr>
        <w:t>програмних комплексів ІВК або АВК або у файлах програмних комплексів, які взаємодіють між собою в частині кошторисної документації та розрахунків договірних цін -</w:t>
      </w:r>
      <w:r w:rsidRPr="00EF7FD0">
        <w:rPr>
          <w:rFonts w:ascii="Times New Roman" w:hAnsi="Times New Roman" w:cs="Times New Roman"/>
          <w:bCs/>
          <w:spacing w:val="-3"/>
          <w:sz w:val="24"/>
          <w:szCs w:val="24"/>
          <w:lang w:val="uk-UA"/>
        </w:rPr>
        <w:t xml:space="preserve"> у форматі PDF та в електронному вигляді (формат </w:t>
      </w:r>
      <w:proofErr w:type="spellStart"/>
      <w:r w:rsidRPr="00EF7FD0">
        <w:rPr>
          <w:rFonts w:ascii="Times New Roman" w:hAnsi="Times New Roman" w:cs="Times New Roman"/>
          <w:bCs/>
          <w:spacing w:val="-3"/>
          <w:sz w:val="24"/>
          <w:szCs w:val="24"/>
          <w:lang w:val="uk-UA"/>
        </w:rPr>
        <w:t>файлу.imd</w:t>
      </w:r>
      <w:proofErr w:type="spellEnd"/>
      <w:r w:rsidRPr="00EF7FD0">
        <w:rPr>
          <w:rFonts w:ascii="Times New Roman" w:hAnsi="Times New Roman" w:cs="Times New Roman"/>
          <w:bCs/>
          <w:spacing w:val="-3"/>
          <w:sz w:val="24"/>
          <w:szCs w:val="24"/>
          <w:lang w:val="uk-UA"/>
        </w:rPr>
        <w:t>)</w:t>
      </w:r>
      <w:r w:rsidRPr="00EF7FD0">
        <w:rPr>
          <w:rFonts w:ascii="Times New Roman" w:hAnsi="Times New Roman" w:cs="Times New Roman"/>
          <w:sz w:val="24"/>
          <w:szCs w:val="24"/>
          <w:lang w:val="uk-UA" w:eastAsia="ru-RU"/>
        </w:rPr>
        <w:t>.</w:t>
      </w:r>
    </w:p>
    <w:p w14:paraId="4EC24758" w14:textId="77777777" w:rsidR="002C1A01" w:rsidRPr="00EF7FD0" w:rsidRDefault="002C1A01" w:rsidP="002C1A01">
      <w:pPr>
        <w:widowControl w:val="0"/>
        <w:tabs>
          <w:tab w:val="left" w:pos="993"/>
          <w:tab w:val="left" w:pos="1276"/>
        </w:tabs>
        <w:autoSpaceDE w:val="0"/>
        <w:autoSpaceDN w:val="0"/>
        <w:adjustRightInd w:val="0"/>
        <w:ind w:firstLine="709"/>
        <w:jc w:val="both"/>
        <w:rPr>
          <w:rFonts w:ascii="Times New Roman" w:hAnsi="Times New Roman" w:cs="Times New Roman"/>
          <w:bCs/>
          <w:i/>
          <w:spacing w:val="-3"/>
          <w:sz w:val="24"/>
          <w:szCs w:val="24"/>
          <w:lang w:val="uk-UA"/>
        </w:rPr>
      </w:pPr>
      <w:r w:rsidRPr="00EF7FD0">
        <w:rPr>
          <w:rFonts w:ascii="Times New Roman" w:hAnsi="Times New Roman" w:cs="Times New Roman"/>
          <w:bCs/>
          <w:i/>
          <w:spacing w:val="-3"/>
          <w:sz w:val="24"/>
          <w:szCs w:val="24"/>
          <w:lang w:val="uk-UA"/>
        </w:rPr>
        <w:t>В складі кошторисної документації надається:</w:t>
      </w:r>
    </w:p>
    <w:p w14:paraId="0E37D0D7" w14:textId="77777777" w:rsidR="002C1A01" w:rsidRPr="00EF7FD0" w:rsidRDefault="002C1A01" w:rsidP="002C1A01">
      <w:pPr>
        <w:widowControl w:val="0"/>
        <w:numPr>
          <w:ilvl w:val="0"/>
          <w:numId w:val="13"/>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cs="Times New Roman"/>
          <w:bCs/>
          <w:i/>
          <w:color w:val="000000"/>
          <w:spacing w:val="-3"/>
          <w:sz w:val="24"/>
          <w:szCs w:val="24"/>
          <w:lang w:val="uk-UA"/>
        </w:rPr>
      </w:pPr>
      <w:r w:rsidRPr="00EF7FD0">
        <w:rPr>
          <w:rFonts w:ascii="Times New Roman" w:hAnsi="Times New Roman" w:cs="Times New Roman"/>
          <w:bCs/>
          <w:i/>
          <w:color w:val="000000"/>
          <w:spacing w:val="-3"/>
          <w:sz w:val="24"/>
          <w:szCs w:val="24"/>
          <w:lang w:val="uk-UA"/>
        </w:rPr>
        <w:t>договірна ціна з пояснювальною запискою;</w:t>
      </w:r>
    </w:p>
    <w:p w14:paraId="0E5381BB" w14:textId="77777777" w:rsidR="002C1A01" w:rsidRPr="00EF7FD0" w:rsidRDefault="002C1A01" w:rsidP="002C1A01">
      <w:pPr>
        <w:widowControl w:val="0"/>
        <w:numPr>
          <w:ilvl w:val="0"/>
          <w:numId w:val="13"/>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cs="Times New Roman"/>
          <w:bCs/>
          <w:i/>
          <w:color w:val="000000"/>
          <w:spacing w:val="-3"/>
          <w:sz w:val="24"/>
          <w:szCs w:val="24"/>
          <w:lang w:val="uk-UA"/>
        </w:rPr>
      </w:pPr>
      <w:r w:rsidRPr="00EF7FD0">
        <w:rPr>
          <w:rFonts w:ascii="Times New Roman" w:hAnsi="Times New Roman" w:cs="Times New Roman"/>
          <w:bCs/>
          <w:i/>
          <w:color w:val="000000"/>
          <w:spacing w:val="-3"/>
          <w:sz w:val="24"/>
          <w:szCs w:val="24"/>
          <w:lang w:val="uk-UA"/>
        </w:rPr>
        <w:t>зведений кошторисний розрахунок з пояснювальною запискою;</w:t>
      </w:r>
    </w:p>
    <w:p w14:paraId="34A48A32" w14:textId="77777777" w:rsidR="002C1A01" w:rsidRPr="00EF7FD0" w:rsidRDefault="002C1A01" w:rsidP="002C1A01">
      <w:pPr>
        <w:widowControl w:val="0"/>
        <w:numPr>
          <w:ilvl w:val="0"/>
          <w:numId w:val="13"/>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cs="Times New Roman"/>
          <w:bCs/>
          <w:i/>
          <w:color w:val="000000"/>
          <w:spacing w:val="-3"/>
          <w:sz w:val="24"/>
          <w:szCs w:val="24"/>
          <w:lang w:val="uk-UA"/>
        </w:rPr>
      </w:pPr>
      <w:r w:rsidRPr="00EF7FD0">
        <w:rPr>
          <w:rFonts w:ascii="Times New Roman" w:hAnsi="Times New Roman" w:cs="Times New Roman"/>
          <w:bCs/>
          <w:i/>
          <w:color w:val="000000"/>
          <w:spacing w:val="-3"/>
          <w:sz w:val="24"/>
          <w:szCs w:val="24"/>
          <w:lang w:val="uk-UA"/>
        </w:rPr>
        <w:t>локальний кошторисний розрахунок (форма № 1);</w:t>
      </w:r>
    </w:p>
    <w:p w14:paraId="275680E6" w14:textId="77777777" w:rsidR="002C1A01" w:rsidRPr="00EF7FD0" w:rsidRDefault="002C1A01" w:rsidP="002C1A01">
      <w:pPr>
        <w:widowControl w:val="0"/>
        <w:numPr>
          <w:ilvl w:val="0"/>
          <w:numId w:val="13"/>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cs="Times New Roman"/>
          <w:bCs/>
          <w:i/>
          <w:color w:val="000000"/>
          <w:spacing w:val="-3"/>
          <w:sz w:val="24"/>
          <w:szCs w:val="24"/>
          <w:lang w:val="uk-UA"/>
        </w:rPr>
      </w:pPr>
      <w:r w:rsidRPr="00EF7FD0">
        <w:rPr>
          <w:rFonts w:ascii="Times New Roman" w:hAnsi="Times New Roman" w:cs="Times New Roman"/>
          <w:bCs/>
          <w:i/>
          <w:color w:val="000000"/>
          <w:spacing w:val="-3"/>
          <w:sz w:val="24"/>
          <w:szCs w:val="24"/>
          <w:lang w:val="uk-UA"/>
        </w:rPr>
        <w:t>відомість ресурсів до зведеного кошторисного розрахунку;</w:t>
      </w:r>
    </w:p>
    <w:p w14:paraId="3C9BBE23" w14:textId="77777777" w:rsidR="002C1A01" w:rsidRPr="00EF7FD0" w:rsidRDefault="002C1A01" w:rsidP="002C1A01">
      <w:pPr>
        <w:widowControl w:val="0"/>
        <w:numPr>
          <w:ilvl w:val="0"/>
          <w:numId w:val="13"/>
        </w:numPr>
        <w:tabs>
          <w:tab w:val="left" w:pos="709"/>
          <w:tab w:val="left" w:pos="993"/>
          <w:tab w:val="left" w:pos="1560"/>
        </w:tabs>
        <w:autoSpaceDE w:val="0"/>
        <w:autoSpaceDN w:val="0"/>
        <w:adjustRightInd w:val="0"/>
        <w:spacing w:after="120" w:line="240" w:lineRule="auto"/>
        <w:ind w:left="0" w:firstLine="709"/>
        <w:jc w:val="both"/>
        <w:rPr>
          <w:rFonts w:ascii="Times New Roman" w:hAnsi="Times New Roman" w:cs="Times New Roman"/>
          <w:bCs/>
          <w:i/>
          <w:color w:val="000000"/>
          <w:spacing w:val="-3"/>
          <w:sz w:val="24"/>
          <w:szCs w:val="24"/>
          <w:lang w:val="uk-UA"/>
        </w:rPr>
      </w:pPr>
      <w:r w:rsidRPr="00EF7FD0">
        <w:rPr>
          <w:rFonts w:ascii="Times New Roman" w:hAnsi="Times New Roman" w:cs="Times New Roman"/>
          <w:bCs/>
          <w:i/>
          <w:color w:val="000000"/>
          <w:spacing w:val="-3"/>
          <w:sz w:val="24"/>
          <w:szCs w:val="24"/>
          <w:lang w:val="uk-UA"/>
        </w:rPr>
        <w:t>дефектний акт.</w:t>
      </w:r>
    </w:p>
    <w:p w14:paraId="3DDA229A" w14:textId="77777777" w:rsidR="002C1A01" w:rsidRPr="00EF7FD0" w:rsidRDefault="002C1A01" w:rsidP="002C1A01">
      <w:pPr>
        <w:shd w:val="clear" w:color="auto" w:fill="FFFFFF"/>
        <w:tabs>
          <w:tab w:val="left" w:pos="993"/>
        </w:tabs>
        <w:spacing w:after="120"/>
        <w:ind w:firstLine="709"/>
        <w:jc w:val="both"/>
        <w:rPr>
          <w:rFonts w:ascii="Times New Roman" w:hAnsi="Times New Roman" w:cs="Times New Roman"/>
          <w:bCs/>
          <w:i/>
          <w:iCs/>
          <w:sz w:val="24"/>
          <w:szCs w:val="24"/>
          <w:lang w:val="uk-UA"/>
        </w:rPr>
      </w:pPr>
      <w:r w:rsidRPr="00EF7FD0">
        <w:rPr>
          <w:rFonts w:ascii="Times New Roman" w:hAnsi="Times New Roman" w:cs="Times New Roman"/>
          <w:bCs/>
          <w:i/>
          <w:iCs/>
          <w:sz w:val="24"/>
          <w:szCs w:val="24"/>
          <w:lang w:val="uk-UA"/>
        </w:rPr>
        <w:t xml:space="preserve">Також надається календарний графік надання послуг в </w:t>
      </w:r>
      <w:proofErr w:type="spellStart"/>
      <w:r w:rsidRPr="00EF7FD0">
        <w:rPr>
          <w:rFonts w:ascii="Times New Roman" w:hAnsi="Times New Roman" w:cs="Times New Roman"/>
          <w:bCs/>
          <w:i/>
          <w:iCs/>
          <w:sz w:val="24"/>
          <w:szCs w:val="24"/>
          <w:lang w:val="uk-UA"/>
        </w:rPr>
        <w:t>pdf</w:t>
      </w:r>
      <w:proofErr w:type="spellEnd"/>
      <w:r w:rsidRPr="00EF7FD0">
        <w:rPr>
          <w:rFonts w:ascii="Times New Roman" w:hAnsi="Times New Roman" w:cs="Times New Roman"/>
          <w:bCs/>
          <w:i/>
          <w:iCs/>
          <w:sz w:val="24"/>
          <w:szCs w:val="24"/>
          <w:lang w:val="uk-UA"/>
        </w:rPr>
        <w:t>. форматі.</w:t>
      </w:r>
    </w:p>
    <w:p w14:paraId="746E3845" w14:textId="77777777" w:rsidR="002C1A01" w:rsidRPr="00EF7FD0" w:rsidRDefault="002C1A01" w:rsidP="002C1A01">
      <w:pPr>
        <w:widowControl w:val="0"/>
        <w:tabs>
          <w:tab w:val="left" w:pos="993"/>
        </w:tabs>
        <w:autoSpaceDE w:val="0"/>
        <w:autoSpaceDN w:val="0"/>
        <w:adjustRightInd w:val="0"/>
        <w:spacing w:after="120"/>
        <w:ind w:firstLine="709"/>
        <w:jc w:val="both"/>
        <w:rPr>
          <w:rFonts w:ascii="Times New Roman" w:hAnsi="Times New Roman" w:cs="Times New Roman"/>
          <w:bCs/>
          <w:i/>
          <w:spacing w:val="-3"/>
          <w:sz w:val="24"/>
          <w:szCs w:val="24"/>
          <w:lang w:val="uk-UA"/>
        </w:rPr>
      </w:pPr>
      <w:r w:rsidRPr="00EF7FD0">
        <w:rPr>
          <w:rFonts w:ascii="Times New Roman" w:hAnsi="Times New Roman" w:cs="Times New Roman"/>
          <w:bCs/>
          <w:i/>
          <w:spacing w:val="-3"/>
          <w:sz w:val="24"/>
          <w:szCs w:val="24"/>
          <w:lang w:val="uk-UA"/>
        </w:rPr>
        <w:t>Розрахунок прибутку, загальновиробничих витрат, адміністративних витрат, заробітної плати робітників здійснюється відповідно до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 281 «Про затвердження кошторисних норм України у будівництві» (зі змінами).</w:t>
      </w:r>
    </w:p>
    <w:p w14:paraId="4371B676" w14:textId="77777777" w:rsidR="002C1A01" w:rsidRPr="00EF7FD0" w:rsidRDefault="002C1A01" w:rsidP="002C1A01">
      <w:pPr>
        <w:widowControl w:val="0"/>
        <w:tabs>
          <w:tab w:val="left" w:pos="993"/>
        </w:tabs>
        <w:autoSpaceDE w:val="0"/>
        <w:autoSpaceDN w:val="0"/>
        <w:adjustRightInd w:val="0"/>
        <w:spacing w:after="120"/>
        <w:ind w:firstLine="709"/>
        <w:jc w:val="both"/>
        <w:rPr>
          <w:rFonts w:ascii="Times New Roman" w:hAnsi="Times New Roman" w:cs="Times New Roman"/>
          <w:bCs/>
          <w:i/>
          <w:spacing w:val="-3"/>
          <w:sz w:val="24"/>
          <w:szCs w:val="24"/>
          <w:lang w:val="uk-UA"/>
        </w:rPr>
      </w:pPr>
      <w:r w:rsidRPr="00EF7FD0">
        <w:rPr>
          <w:rFonts w:ascii="Times New Roman" w:hAnsi="Times New Roman" w:cs="Times New Roman"/>
          <w:bCs/>
          <w:i/>
          <w:spacing w:val="-3"/>
          <w:sz w:val="24"/>
          <w:szCs w:val="24"/>
          <w:lang w:val="uk-UA"/>
        </w:rPr>
        <w:t xml:space="preserve">Такі ресурси, як електроенергія та вода – виключати із кошторисного розрахунку. </w:t>
      </w:r>
    </w:p>
    <w:p w14:paraId="7C71AF65" w14:textId="77777777" w:rsidR="002C1A01" w:rsidRPr="00EF7FD0" w:rsidRDefault="002C1A01" w:rsidP="002C1A01">
      <w:pPr>
        <w:widowControl w:val="0"/>
        <w:tabs>
          <w:tab w:val="left" w:pos="993"/>
        </w:tabs>
        <w:autoSpaceDE w:val="0"/>
        <w:autoSpaceDN w:val="0"/>
        <w:adjustRightInd w:val="0"/>
        <w:spacing w:after="120"/>
        <w:ind w:firstLine="709"/>
        <w:jc w:val="both"/>
        <w:rPr>
          <w:rFonts w:ascii="Times New Roman" w:hAnsi="Times New Roman" w:cs="Times New Roman"/>
          <w:bCs/>
          <w:i/>
          <w:spacing w:val="-3"/>
          <w:sz w:val="24"/>
          <w:szCs w:val="24"/>
          <w:lang w:val="uk-UA"/>
        </w:rPr>
      </w:pPr>
      <w:r w:rsidRPr="00EF7FD0">
        <w:rPr>
          <w:rFonts w:ascii="Times New Roman" w:eastAsia="Arial" w:hAnsi="Times New Roman" w:cs="Times New Roman"/>
          <w:bCs/>
          <w:i/>
          <w:iCs/>
          <w:sz w:val="24"/>
          <w:szCs w:val="24"/>
          <w:lang w:val="uk-UA"/>
        </w:rPr>
        <w:t>При розрахунку кошторисної вартості необхідно врахувати всі супутні роботи, згідно з технологічним процесом надання вказаної послуги</w:t>
      </w:r>
      <w:r w:rsidRPr="00EF7FD0">
        <w:rPr>
          <w:rFonts w:ascii="Times New Roman" w:hAnsi="Times New Roman" w:cs="Times New Roman"/>
          <w:bCs/>
          <w:i/>
          <w:spacing w:val="-3"/>
          <w:sz w:val="24"/>
          <w:szCs w:val="24"/>
          <w:lang w:val="uk-UA"/>
        </w:rPr>
        <w:t>.</w:t>
      </w:r>
    </w:p>
    <w:p w14:paraId="1BD42E20" w14:textId="6B6DA479" w:rsidR="000F3CDF" w:rsidRPr="00EF7FD0" w:rsidRDefault="002C1A01" w:rsidP="002C1A01">
      <w:pPr>
        <w:spacing w:after="120"/>
        <w:ind w:firstLine="709"/>
        <w:jc w:val="both"/>
        <w:rPr>
          <w:rFonts w:ascii="Times New Roman" w:hAnsi="Times New Roman" w:cs="Times New Roman"/>
          <w:i/>
          <w:iCs/>
          <w:sz w:val="24"/>
          <w:szCs w:val="24"/>
          <w:lang w:val="uk-UA" w:eastAsia="ru-RU"/>
        </w:rPr>
      </w:pPr>
      <w:r w:rsidRPr="00EF7FD0">
        <w:rPr>
          <w:rFonts w:ascii="Times New Roman" w:hAnsi="Times New Roman" w:cs="Times New Roman"/>
          <w:sz w:val="24"/>
          <w:szCs w:val="24"/>
          <w:lang w:val="uk-UA"/>
        </w:rPr>
        <w:t xml:space="preserve">При наданні послуг весь товар (матеріали для надання послуг) повинен бути новим, таким, що не перебував у експлуатації, терміни та умови його зберігання не порушені. </w:t>
      </w:r>
      <w:r w:rsidRPr="00EF7FD0">
        <w:rPr>
          <w:rFonts w:ascii="Times New Roman" w:hAnsi="Times New Roman" w:cs="Times New Roman"/>
          <w:b/>
          <w:bCs/>
          <w:sz w:val="24"/>
          <w:szCs w:val="24"/>
          <w:lang w:val="uk-UA"/>
        </w:rPr>
        <w:t xml:space="preserve">ВАЖЛИВО! </w:t>
      </w:r>
      <w:r w:rsidRPr="00EF7FD0">
        <w:rPr>
          <w:rFonts w:ascii="Times New Roman" w:hAnsi="Times New Roman" w:cs="Times New Roman"/>
          <w:sz w:val="24"/>
          <w:szCs w:val="24"/>
          <w:lang w:val="uk-UA"/>
        </w:rPr>
        <w:t>При наданні послуг не приймаються пропозиції на товар (матеріали для надання послуг), який виготовлений в країні(ах) до якої(</w:t>
      </w:r>
      <w:proofErr w:type="spellStart"/>
      <w:r w:rsidRPr="00EF7FD0">
        <w:rPr>
          <w:rFonts w:ascii="Times New Roman" w:hAnsi="Times New Roman" w:cs="Times New Roman"/>
          <w:sz w:val="24"/>
          <w:szCs w:val="24"/>
          <w:lang w:val="uk-UA"/>
        </w:rPr>
        <w:t>их</w:t>
      </w:r>
      <w:proofErr w:type="spellEnd"/>
      <w:r w:rsidRPr="00EF7FD0">
        <w:rPr>
          <w:rFonts w:ascii="Times New Roman" w:hAnsi="Times New Roman" w:cs="Times New Roman"/>
          <w:sz w:val="24"/>
          <w:szCs w:val="24"/>
          <w:lang w:val="uk-UA"/>
        </w:rPr>
        <w:t>) застосовуються санкції (</w:t>
      </w:r>
      <w:r w:rsidRPr="00EF7FD0">
        <w:rPr>
          <w:rFonts w:ascii="Times New Roman" w:hAnsi="Times New Roman" w:cs="Times New Roman"/>
          <w:sz w:val="24"/>
          <w:szCs w:val="24"/>
          <w:shd w:val="clear" w:color="auto" w:fill="FFFFFF"/>
          <w:lang w:val="uk-UA"/>
        </w:rPr>
        <w:t>персональні спеціальні економічні та інші обмежувальні заходи</w:t>
      </w:r>
      <w:r w:rsidRPr="00EF7FD0">
        <w:rPr>
          <w:rFonts w:ascii="Times New Roman" w:hAnsi="Times New Roman" w:cs="Times New Roman"/>
          <w:sz w:val="24"/>
          <w:szCs w:val="24"/>
          <w:lang w:val="uk-UA"/>
        </w:rPr>
        <w:t>).</w:t>
      </w:r>
    </w:p>
    <w:sectPr w:rsidR="000F3CDF" w:rsidRPr="00EF7FD0" w:rsidSect="003A7EB9">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10251068"/>
    <w:multiLevelType w:val="hybridMultilevel"/>
    <w:tmpl w:val="227E8E5E"/>
    <w:lvl w:ilvl="0" w:tplc="2CD2EDD2">
      <w:start w:val="6"/>
      <w:numFmt w:val="bullet"/>
      <w:lvlText w:val="-"/>
      <w:lvlJc w:val="left"/>
      <w:pPr>
        <w:ind w:left="1287" w:hanging="360"/>
      </w:pPr>
      <w:rPr>
        <w:rFonts w:ascii="Times New Roman CYR" w:eastAsia="Times New Roman" w:hAnsi="Times New Roman CYR" w:cs="Times New Roman CYR"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1FA62FB"/>
    <w:multiLevelType w:val="hybridMultilevel"/>
    <w:tmpl w:val="E40E92BE"/>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5"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C4E4A"/>
    <w:multiLevelType w:val="hybridMultilevel"/>
    <w:tmpl w:val="6F92C89E"/>
    <w:lvl w:ilvl="0" w:tplc="04190001">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7"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9"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CE125C"/>
    <w:multiLevelType w:val="hybridMultilevel"/>
    <w:tmpl w:val="01985CCA"/>
    <w:lvl w:ilvl="0" w:tplc="263AC196">
      <w:start w:val="1"/>
      <w:numFmt w:val="decimal"/>
      <w:lvlText w:val="%1."/>
      <w:lvlJc w:val="left"/>
      <w:pPr>
        <w:ind w:left="720" w:hanging="360"/>
      </w:pPr>
      <w:rPr>
        <w:rFonts w:hint="default"/>
        <w:b/>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09536473">
    <w:abstractNumId w:val="2"/>
  </w:num>
  <w:num w:numId="2" w16cid:durableId="1630211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4097272">
    <w:abstractNumId w:val="8"/>
  </w:num>
  <w:num w:numId="4" w16cid:durableId="1241064015">
    <w:abstractNumId w:val="0"/>
  </w:num>
  <w:num w:numId="5" w16cid:durableId="576596449">
    <w:abstractNumId w:val="10"/>
  </w:num>
  <w:num w:numId="6" w16cid:durableId="1713731784">
    <w:abstractNumId w:val="9"/>
  </w:num>
  <w:num w:numId="7" w16cid:durableId="1022903840">
    <w:abstractNumId w:val="5"/>
  </w:num>
  <w:num w:numId="8" w16cid:durableId="715082355">
    <w:abstractNumId w:val="1"/>
  </w:num>
  <w:num w:numId="9" w16cid:durableId="1243293442">
    <w:abstractNumId w:val="11"/>
  </w:num>
  <w:num w:numId="10" w16cid:durableId="1309365192">
    <w:abstractNumId w:val="14"/>
  </w:num>
  <w:num w:numId="11" w16cid:durableId="591355260">
    <w:abstractNumId w:val="13"/>
  </w:num>
  <w:num w:numId="12" w16cid:durableId="1460342171">
    <w:abstractNumId w:val="4"/>
  </w:num>
  <w:num w:numId="13" w16cid:durableId="1377042754">
    <w:abstractNumId w:val="3"/>
  </w:num>
  <w:num w:numId="14" w16cid:durableId="1208487580">
    <w:abstractNumId w:val="6"/>
  </w:num>
  <w:num w:numId="15" w16cid:durableId="876432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32"/>
    <w:rsid w:val="0000146E"/>
    <w:rsid w:val="0003773E"/>
    <w:rsid w:val="000444DC"/>
    <w:rsid w:val="000607F7"/>
    <w:rsid w:val="000F3CDF"/>
    <w:rsid w:val="0018795F"/>
    <w:rsid w:val="0019202F"/>
    <w:rsid w:val="001C2019"/>
    <w:rsid w:val="00204662"/>
    <w:rsid w:val="00226BE5"/>
    <w:rsid w:val="002C1A01"/>
    <w:rsid w:val="002C31E4"/>
    <w:rsid w:val="00307591"/>
    <w:rsid w:val="00313D0F"/>
    <w:rsid w:val="0032725D"/>
    <w:rsid w:val="003506E8"/>
    <w:rsid w:val="003A7EB9"/>
    <w:rsid w:val="003E531C"/>
    <w:rsid w:val="004810EC"/>
    <w:rsid w:val="00497023"/>
    <w:rsid w:val="00515314"/>
    <w:rsid w:val="00516236"/>
    <w:rsid w:val="00516AFB"/>
    <w:rsid w:val="005650CE"/>
    <w:rsid w:val="00583316"/>
    <w:rsid w:val="0059128F"/>
    <w:rsid w:val="005E633C"/>
    <w:rsid w:val="006D2D73"/>
    <w:rsid w:val="00746741"/>
    <w:rsid w:val="00762AF2"/>
    <w:rsid w:val="00877FB7"/>
    <w:rsid w:val="0088255F"/>
    <w:rsid w:val="00885FF8"/>
    <w:rsid w:val="008A0D35"/>
    <w:rsid w:val="008B1F4A"/>
    <w:rsid w:val="0091696C"/>
    <w:rsid w:val="009274EA"/>
    <w:rsid w:val="00973E1E"/>
    <w:rsid w:val="009A4D38"/>
    <w:rsid w:val="009B2646"/>
    <w:rsid w:val="00A01D60"/>
    <w:rsid w:val="00A11F09"/>
    <w:rsid w:val="00A43C39"/>
    <w:rsid w:val="00A979E9"/>
    <w:rsid w:val="00AB29DF"/>
    <w:rsid w:val="00AE3C2F"/>
    <w:rsid w:val="00AE5FFA"/>
    <w:rsid w:val="00B0448D"/>
    <w:rsid w:val="00B81EB5"/>
    <w:rsid w:val="00BC1A4F"/>
    <w:rsid w:val="00BF2139"/>
    <w:rsid w:val="00C524EF"/>
    <w:rsid w:val="00C74A62"/>
    <w:rsid w:val="00D23799"/>
    <w:rsid w:val="00D37132"/>
    <w:rsid w:val="00D61141"/>
    <w:rsid w:val="00D8051A"/>
    <w:rsid w:val="00DF6BD7"/>
    <w:rsid w:val="00E45B7E"/>
    <w:rsid w:val="00E46AC5"/>
    <w:rsid w:val="00EF7FD0"/>
    <w:rsid w:val="00F04E81"/>
    <w:rsid w:val="00F06D98"/>
    <w:rsid w:val="00F77E49"/>
    <w:rsid w:val="00FB521F"/>
    <w:rsid w:val="00FF2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1FC9"/>
  <w15:chartTrackingRefBased/>
  <w15:docId w15:val="{7D78D809-2C1F-42CD-9DFD-632546EF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8 Знак,Знак17 Знак"/>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Number Bullets,AC List 01,EBRD List,CA bullets,Chapter10,List Paragraph,Список уровня 2,название табл/рис,Bullet Number,Bullet 1,Use Case List Paragraph,lp1,lp11,List Paragraph11,Абзац списка12,заголовок 1.1,Elenco Normale"/>
    <w:basedOn w:val="a"/>
    <w:link w:val="a7"/>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C74A6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Интернет) Знак"/>
    <w:aliases w:val="Обычный (веб)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8 Знак Знак"/>
    <w:link w:val="a3"/>
    <w:uiPriority w:val="99"/>
    <w:qFormat/>
    <w:locked/>
    <w:rsid w:val="000F3CDF"/>
    <w:rPr>
      <w:rFonts w:ascii="Times New Roman" w:eastAsia="Times New Roman" w:hAnsi="Times New Roman" w:cs="Times New Roman"/>
      <w:kern w:val="0"/>
      <w:sz w:val="24"/>
      <w:szCs w:val="24"/>
      <w14:ligatures w14:val="none"/>
    </w:rPr>
  </w:style>
  <w:style w:type="paragraph" w:styleId="a9">
    <w:name w:val="No Spacing"/>
    <w:link w:val="aa"/>
    <w:uiPriority w:val="1"/>
    <w:qFormat/>
    <w:rsid w:val="000F3CDF"/>
    <w:pPr>
      <w:spacing w:after="0" w:line="240" w:lineRule="auto"/>
    </w:pPr>
    <w:rPr>
      <w:rFonts w:ascii="Calibri" w:eastAsia="Times New Roman" w:hAnsi="Calibri" w:cs="Times New Roman"/>
      <w:kern w:val="0"/>
      <w:lang w:val="uk-UA" w:eastAsia="uk-UA"/>
      <w14:ligatures w14:val="none"/>
    </w:rPr>
  </w:style>
  <w:style w:type="character" w:customStyle="1" w:styleId="aa">
    <w:name w:val="Без интервала Знак"/>
    <w:link w:val="a9"/>
    <w:uiPriority w:val="1"/>
    <w:locked/>
    <w:rsid w:val="000F3CDF"/>
    <w:rPr>
      <w:rFonts w:ascii="Calibri" w:eastAsia="Times New Roman" w:hAnsi="Calibri" w:cs="Times New Roman"/>
      <w:kern w:val="0"/>
      <w:lang w:val="uk-UA" w:eastAsia="uk-UA"/>
      <w14:ligatures w14:val="none"/>
    </w:rPr>
  </w:style>
  <w:style w:type="paragraph" w:customStyle="1" w:styleId="4">
    <w:name w:val="Абзац списка4"/>
    <w:basedOn w:val="a"/>
    <w:rsid w:val="000F3CDF"/>
    <w:pPr>
      <w:suppressAutoHyphens/>
      <w:spacing w:after="200" w:line="276" w:lineRule="auto"/>
      <w:ind w:left="720"/>
    </w:pPr>
    <w:rPr>
      <w:rFonts w:ascii="Calibri" w:eastAsia="Times New Roman" w:hAnsi="Calibri" w:cs="Times New Roman"/>
      <w:kern w:val="0"/>
      <w:lang w:val="uk-UA" w:eastAsia="ar-SA"/>
      <w14:ligatures w14:val="none"/>
    </w:rPr>
  </w:style>
  <w:style w:type="character" w:customStyle="1" w:styleId="a7">
    <w:name w:val="Абзац списка Знак"/>
    <w:aliases w:val="Number Bullets Знак,AC List 01 Знак,EBRD List Знак,CA bullets Знак,Chapter10 Знак,List Paragraph Знак,Список уровня 2 Знак,название табл/рис Знак,Bullet Number Знак,Bullet 1 Знак,Use Case List Paragraph Знак,lp1 Знак,lp11 Знак"/>
    <w:link w:val="a6"/>
    <w:qFormat/>
    <w:rsid w:val="000F3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6</Pages>
  <Words>2416</Words>
  <Characters>13774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33</cp:revision>
  <cp:lastPrinted>2025-11-21T10:33:00Z</cp:lastPrinted>
  <dcterms:created xsi:type="dcterms:W3CDTF">2024-08-12T10:23:00Z</dcterms:created>
  <dcterms:modified xsi:type="dcterms:W3CDTF">2025-11-21T10:34:00Z</dcterms:modified>
</cp:coreProperties>
</file>