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5539" w14:textId="77777777" w:rsidR="00405C9D" w:rsidRPr="000A285A" w:rsidRDefault="0019202F" w:rsidP="0019202F">
      <w:pPr>
        <w:pStyle w:val="a3"/>
        <w:shd w:val="clear" w:color="auto" w:fill="FFFFFF"/>
        <w:spacing w:before="0" w:beforeAutospacing="0" w:after="150" w:afterAutospacing="0"/>
        <w:jc w:val="center"/>
        <w:rPr>
          <w:rStyle w:val="a5"/>
          <w:lang w:val="uk-UA"/>
        </w:rPr>
      </w:pPr>
      <w:r w:rsidRPr="000A285A">
        <w:rPr>
          <w:rStyle w:val="a5"/>
          <w:lang w:val="uk-UA"/>
        </w:rPr>
        <w:t>Обґрунтування</w:t>
      </w:r>
      <w:r w:rsidR="00405C9D" w:rsidRPr="000A285A">
        <w:rPr>
          <w:rStyle w:val="a5"/>
          <w:lang w:val="uk-UA"/>
        </w:rPr>
        <w:t xml:space="preserve"> </w:t>
      </w:r>
    </w:p>
    <w:p w14:paraId="3A0725B4" w14:textId="77777777" w:rsidR="0019202F" w:rsidRPr="000A285A" w:rsidRDefault="0019202F" w:rsidP="0019202F">
      <w:pPr>
        <w:pStyle w:val="a3"/>
        <w:shd w:val="clear" w:color="auto" w:fill="FFFFFF"/>
        <w:spacing w:before="0" w:beforeAutospacing="0" w:after="150" w:afterAutospacing="0"/>
        <w:jc w:val="center"/>
        <w:rPr>
          <w:b/>
          <w:lang w:val="uk-UA"/>
        </w:rPr>
      </w:pPr>
      <w:r w:rsidRPr="000A285A">
        <w:rPr>
          <w:rStyle w:val="a5"/>
          <w:lang w:val="uk-UA"/>
        </w:rPr>
        <w:t>технічних та якісних характеристик предмета закупівлі, розміру бюджетного призначення, очікуваної вартості послуг</w:t>
      </w:r>
    </w:p>
    <w:p w14:paraId="77DD3115" w14:textId="77777777" w:rsidR="00C01432" w:rsidRPr="000A285A" w:rsidRDefault="00C01432" w:rsidP="00C01432">
      <w:pPr>
        <w:spacing w:line="240" w:lineRule="auto"/>
        <w:jc w:val="center"/>
        <w:rPr>
          <w:rFonts w:ascii="Times New Roman" w:eastAsia="Times New Roman" w:hAnsi="Times New Roman" w:cs="Times New Roman"/>
          <w:b/>
          <w:bCs/>
          <w:sz w:val="24"/>
          <w:szCs w:val="24"/>
          <w:lang w:val="uk-UA" w:eastAsia="uk-UA"/>
        </w:rPr>
      </w:pPr>
      <w:r w:rsidRPr="000A285A">
        <w:rPr>
          <w:rFonts w:ascii="Times New Roman" w:hAnsi="Times New Roman" w:cs="Times New Roman"/>
          <w:b/>
          <w:bCs/>
          <w:sz w:val="24"/>
          <w:szCs w:val="24"/>
          <w:lang w:val="uk-UA"/>
        </w:rPr>
        <w:t xml:space="preserve">Послуги з поточного ремонту стелі, а саме: встановлення стелі типу "Армстронг" у частині приміщення адміністративної будівлі за </w:t>
      </w:r>
      <w:proofErr w:type="spellStart"/>
      <w:r w:rsidRPr="000A285A">
        <w:rPr>
          <w:rFonts w:ascii="Times New Roman" w:hAnsi="Times New Roman" w:cs="Times New Roman"/>
          <w:b/>
          <w:bCs/>
          <w:sz w:val="24"/>
          <w:szCs w:val="24"/>
          <w:lang w:val="uk-UA"/>
        </w:rPr>
        <w:t>адресою</w:t>
      </w:r>
      <w:proofErr w:type="spellEnd"/>
      <w:r w:rsidRPr="000A285A">
        <w:rPr>
          <w:rFonts w:ascii="Times New Roman" w:hAnsi="Times New Roman" w:cs="Times New Roman"/>
          <w:b/>
          <w:bCs/>
          <w:sz w:val="24"/>
          <w:szCs w:val="24"/>
          <w:lang w:val="uk-UA"/>
        </w:rPr>
        <w:t>: проспект Науки, будинок 5, місто Харків</w:t>
      </w:r>
    </w:p>
    <w:p w14:paraId="27DD4DCA" w14:textId="77777777" w:rsidR="009D001E" w:rsidRPr="000A285A" w:rsidRDefault="00057921" w:rsidP="009D001E">
      <w:pPr>
        <w:spacing w:after="0" w:line="240" w:lineRule="auto"/>
        <w:jc w:val="center"/>
        <w:rPr>
          <w:rFonts w:ascii="Times New Roman" w:hAnsi="Times New Roman" w:cs="Times New Roman"/>
          <w:b/>
          <w:sz w:val="24"/>
          <w:szCs w:val="24"/>
          <w:lang w:val="uk-UA"/>
        </w:rPr>
      </w:pPr>
      <w:r w:rsidRPr="000A285A">
        <w:rPr>
          <w:rFonts w:ascii="Times New Roman" w:hAnsi="Times New Roman" w:cs="Times New Roman"/>
          <w:b/>
          <w:sz w:val="24"/>
          <w:szCs w:val="24"/>
          <w:lang w:val="uk-UA"/>
        </w:rPr>
        <w:t xml:space="preserve">Код за Єдиним закупівельним словником, </w:t>
      </w:r>
    </w:p>
    <w:p w14:paraId="6585634B" w14:textId="76189371" w:rsidR="009D001E" w:rsidRPr="000A285A" w:rsidRDefault="009D001E" w:rsidP="009D001E">
      <w:pPr>
        <w:spacing w:after="0" w:line="240" w:lineRule="auto"/>
        <w:jc w:val="center"/>
        <w:rPr>
          <w:rFonts w:ascii="Times New Roman" w:eastAsia="Times New Roman" w:hAnsi="Times New Roman" w:cs="Times New Roman"/>
          <w:b/>
          <w:sz w:val="24"/>
          <w:szCs w:val="24"/>
          <w:lang w:val="uk-UA"/>
        </w:rPr>
      </w:pPr>
      <w:r w:rsidRPr="000A285A">
        <w:rPr>
          <w:rFonts w:ascii="Times New Roman" w:hAnsi="Times New Roman" w:cs="Times New Roman"/>
          <w:b/>
          <w:sz w:val="24"/>
          <w:szCs w:val="24"/>
          <w:lang w:val="uk-UA"/>
        </w:rPr>
        <w:t xml:space="preserve">ДК 021:2015 </w:t>
      </w:r>
      <w:r w:rsidRPr="000A285A">
        <w:rPr>
          <w:rFonts w:ascii="Times New Roman" w:eastAsia="Times New Roman" w:hAnsi="Times New Roman" w:cs="Times New Roman"/>
          <w:b/>
          <w:sz w:val="24"/>
          <w:szCs w:val="24"/>
          <w:lang w:val="uk-UA"/>
        </w:rPr>
        <w:t>45420000-7 Столярні та теслярні роботи.</w:t>
      </w:r>
    </w:p>
    <w:p w14:paraId="7DBB4501" w14:textId="77777777" w:rsidR="009D001E" w:rsidRPr="000A285A" w:rsidRDefault="009D001E" w:rsidP="009D001E">
      <w:pPr>
        <w:spacing w:after="0" w:line="240" w:lineRule="auto"/>
        <w:jc w:val="center"/>
        <w:rPr>
          <w:rFonts w:ascii="Times New Roman" w:eastAsia="Times New Roman" w:hAnsi="Times New Roman" w:cs="Times New Roman"/>
          <w:b/>
          <w:sz w:val="24"/>
          <w:szCs w:val="24"/>
          <w:lang w:val="uk-UA"/>
        </w:rPr>
      </w:pPr>
    </w:p>
    <w:p w14:paraId="0F59D129" w14:textId="493F2A68" w:rsidR="0019202F" w:rsidRPr="000A285A" w:rsidRDefault="0019202F" w:rsidP="009D001E">
      <w:pPr>
        <w:jc w:val="center"/>
        <w:rPr>
          <w:rFonts w:ascii="Times New Roman" w:hAnsi="Times New Roman" w:cs="Times New Roman"/>
          <w:sz w:val="24"/>
          <w:szCs w:val="24"/>
          <w:lang w:val="uk-UA"/>
        </w:rPr>
      </w:pPr>
      <w:r w:rsidRPr="000A285A">
        <w:rPr>
          <w:rFonts w:ascii="Times New Roman" w:hAnsi="Times New Roman" w:cs="Times New Roman"/>
          <w:b/>
          <w:sz w:val="24"/>
          <w:szCs w:val="24"/>
          <w:lang w:val="uk-UA"/>
        </w:rPr>
        <w:t xml:space="preserve">З метою забезпечення належних умов функціонування Господарського суду Донецької області </w:t>
      </w:r>
      <w:bookmarkStart w:id="0" w:name="_Hlk174364127"/>
      <w:r w:rsidRPr="000A285A">
        <w:rPr>
          <w:rFonts w:ascii="Times New Roman" w:hAnsi="Times New Roman" w:cs="Times New Roman"/>
          <w:b/>
          <w:sz w:val="24"/>
          <w:szCs w:val="24"/>
          <w:lang w:val="uk-UA"/>
        </w:rPr>
        <w:t xml:space="preserve">оголошено закупівлю відкриті торги з особливостями на </w:t>
      </w:r>
      <w:r w:rsidR="006C3F7D" w:rsidRPr="000A285A">
        <w:rPr>
          <w:rFonts w:ascii="Times New Roman" w:hAnsi="Times New Roman" w:cs="Times New Roman"/>
          <w:b/>
          <w:sz w:val="24"/>
          <w:szCs w:val="24"/>
          <w:lang w:val="uk-UA"/>
        </w:rPr>
        <w:t xml:space="preserve">                               </w:t>
      </w:r>
      <w:r w:rsidRPr="000A285A">
        <w:rPr>
          <w:rFonts w:ascii="Times New Roman" w:hAnsi="Times New Roman" w:cs="Times New Roman"/>
          <w:b/>
          <w:sz w:val="24"/>
          <w:szCs w:val="24"/>
          <w:lang w:val="uk-UA"/>
        </w:rPr>
        <w:t>202</w:t>
      </w:r>
      <w:r w:rsidR="00057921" w:rsidRPr="000A285A">
        <w:rPr>
          <w:rFonts w:ascii="Times New Roman" w:hAnsi="Times New Roman" w:cs="Times New Roman"/>
          <w:b/>
          <w:sz w:val="24"/>
          <w:szCs w:val="24"/>
          <w:lang w:val="uk-UA"/>
        </w:rPr>
        <w:t>5</w:t>
      </w:r>
      <w:r w:rsidRPr="000A285A">
        <w:rPr>
          <w:rFonts w:ascii="Times New Roman" w:hAnsi="Times New Roman" w:cs="Times New Roman"/>
          <w:b/>
          <w:sz w:val="24"/>
          <w:szCs w:val="24"/>
          <w:lang w:val="uk-UA"/>
        </w:rPr>
        <w:t xml:space="preserve"> рік для закупівлі послуг</w:t>
      </w:r>
      <w:bookmarkEnd w:id="0"/>
      <w:r w:rsidRPr="000A285A">
        <w:rPr>
          <w:rFonts w:ascii="Times New Roman" w:hAnsi="Times New Roman" w:cs="Times New Roman"/>
          <w:sz w:val="24"/>
          <w:szCs w:val="24"/>
          <w:lang w:val="uk-UA"/>
        </w:rPr>
        <w:t xml:space="preserve">. </w:t>
      </w:r>
    </w:p>
    <w:p w14:paraId="03B9DE2D" w14:textId="2BC6ADC4" w:rsidR="0019202F" w:rsidRPr="000A285A" w:rsidRDefault="0019202F" w:rsidP="0019202F">
      <w:pPr>
        <w:pStyle w:val="a3"/>
        <w:shd w:val="clear" w:color="auto" w:fill="FFFFFF"/>
        <w:spacing w:before="0" w:beforeAutospacing="0" w:after="150" w:afterAutospacing="0"/>
        <w:jc w:val="both"/>
        <w:rPr>
          <w:lang w:val="uk-UA"/>
        </w:rPr>
      </w:pPr>
      <w:r w:rsidRPr="000A285A">
        <w:rPr>
          <w:lang w:val="uk-UA"/>
        </w:rPr>
        <w:t xml:space="preserve">Відкриті торги з особливостями застосовуються відповідно до п.10 Постанови від </w:t>
      </w:r>
      <w:r w:rsidR="0075788B" w:rsidRPr="000A285A">
        <w:rPr>
          <w:lang w:val="uk-UA"/>
        </w:rPr>
        <w:t xml:space="preserve">                            </w:t>
      </w:r>
      <w:r w:rsidRPr="000A285A">
        <w:rPr>
          <w:lang w:val="uk-UA"/>
        </w:rPr>
        <w:t xml:space="preserve">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w:t>
      </w:r>
      <w:proofErr w:type="spellStart"/>
      <w:r w:rsidRPr="000A285A">
        <w:rPr>
          <w:lang w:val="uk-UA"/>
        </w:rPr>
        <w:t>закупівліˮ</w:t>
      </w:r>
      <w:proofErr w:type="spellEnd"/>
      <w:r w:rsidRPr="000A285A">
        <w:rPr>
          <w:lang w:val="uk-UA"/>
        </w:rPr>
        <w:t>.</w:t>
      </w:r>
    </w:p>
    <w:p w14:paraId="0C8D1461" w14:textId="77777777" w:rsidR="0019202F" w:rsidRPr="000A285A" w:rsidRDefault="0019202F" w:rsidP="0019202F">
      <w:pPr>
        <w:pStyle w:val="a3"/>
        <w:shd w:val="clear" w:color="auto" w:fill="FFFFFF"/>
        <w:spacing w:before="0" w:beforeAutospacing="0" w:after="150" w:afterAutospacing="0"/>
        <w:jc w:val="both"/>
        <w:rPr>
          <w:lang w:val="uk-UA"/>
        </w:rPr>
      </w:pPr>
      <w:r w:rsidRPr="000A285A">
        <w:rPr>
          <w:lang w:val="uk-UA"/>
        </w:rPr>
        <w:t>Закупівля на 202</w:t>
      </w:r>
      <w:r w:rsidR="00057921" w:rsidRPr="000A285A">
        <w:rPr>
          <w:lang w:val="uk-UA"/>
        </w:rPr>
        <w:t>5</w:t>
      </w:r>
      <w:r w:rsidRPr="000A285A">
        <w:rPr>
          <w:lang w:val="uk-UA"/>
        </w:rPr>
        <w:t xml:space="preserve"> рік. </w:t>
      </w:r>
    </w:p>
    <w:p w14:paraId="073578DA" w14:textId="3BB3466D" w:rsidR="00E30289" w:rsidRPr="000A285A" w:rsidRDefault="0019202F" w:rsidP="00E30289">
      <w:pPr>
        <w:spacing w:line="240" w:lineRule="atLeast"/>
        <w:jc w:val="both"/>
        <w:rPr>
          <w:rFonts w:ascii="Times New Roman" w:eastAsia="Times New Roman" w:hAnsi="Times New Roman" w:cs="Times New Roman"/>
          <w:color w:val="6D6D6D"/>
          <w:kern w:val="0"/>
          <w:sz w:val="24"/>
          <w:szCs w:val="24"/>
          <w:lang w:val="uk-UA" w:eastAsia="ru-RU"/>
        </w:rPr>
      </w:pPr>
      <w:r w:rsidRPr="000A285A">
        <w:rPr>
          <w:rFonts w:ascii="Times New Roman" w:hAnsi="Times New Roman" w:cs="Times New Roman"/>
          <w:sz w:val="24"/>
          <w:szCs w:val="24"/>
          <w:lang w:val="uk-UA"/>
        </w:rPr>
        <w:t>(Оголошення про проведення відкритих торгів з особливостями</w:t>
      </w:r>
      <w:r w:rsidR="00E30289" w:rsidRPr="000A285A">
        <w:rPr>
          <w:rFonts w:ascii="Times New Roman" w:hAnsi="Times New Roman" w:cs="Times New Roman"/>
          <w:color w:val="6D6D6D"/>
          <w:sz w:val="24"/>
          <w:szCs w:val="24"/>
          <w:lang w:val="uk-UA"/>
        </w:rPr>
        <w:t xml:space="preserve"> </w:t>
      </w:r>
      <w:hyperlink r:id="rId5" w:tgtFrame="_blank" w:tooltip="Оголошення на порталі Уповноваженого органу" w:history="1">
        <w:r w:rsidR="00E30289" w:rsidRPr="000A285A">
          <w:rPr>
            <w:rFonts w:ascii="Times New Roman" w:eastAsia="Times New Roman" w:hAnsi="Times New Roman" w:cs="Times New Roman"/>
            <w:color w:val="000000"/>
            <w:kern w:val="0"/>
            <w:sz w:val="24"/>
            <w:szCs w:val="24"/>
            <w:bdr w:val="none" w:sz="0" w:space="0" w:color="auto" w:frame="1"/>
            <w:lang w:val="uk-UA" w:eastAsia="ru-RU"/>
          </w:rPr>
          <w:br/>
          <w:t>UA-2025-1</w:t>
        </w:r>
        <w:r w:rsidR="000A285A" w:rsidRPr="000A285A">
          <w:rPr>
            <w:rFonts w:ascii="Times New Roman" w:eastAsia="Times New Roman" w:hAnsi="Times New Roman" w:cs="Times New Roman"/>
            <w:color w:val="000000"/>
            <w:kern w:val="0"/>
            <w:sz w:val="24"/>
            <w:szCs w:val="24"/>
            <w:bdr w:val="none" w:sz="0" w:space="0" w:color="auto" w:frame="1"/>
            <w:lang w:val="uk-UA" w:eastAsia="ru-RU"/>
          </w:rPr>
          <w:t>2</w:t>
        </w:r>
        <w:r w:rsidR="00E30289" w:rsidRPr="000A285A">
          <w:rPr>
            <w:rFonts w:ascii="Times New Roman" w:eastAsia="Times New Roman" w:hAnsi="Times New Roman" w:cs="Times New Roman"/>
            <w:color w:val="000000"/>
            <w:kern w:val="0"/>
            <w:sz w:val="24"/>
            <w:szCs w:val="24"/>
            <w:bdr w:val="none" w:sz="0" w:space="0" w:color="auto" w:frame="1"/>
            <w:lang w:val="uk-UA" w:eastAsia="ru-RU"/>
          </w:rPr>
          <w:t>-0</w:t>
        </w:r>
        <w:r w:rsidR="000A285A" w:rsidRPr="000A285A">
          <w:rPr>
            <w:rFonts w:ascii="Times New Roman" w:eastAsia="Times New Roman" w:hAnsi="Times New Roman" w:cs="Times New Roman"/>
            <w:color w:val="000000"/>
            <w:kern w:val="0"/>
            <w:sz w:val="24"/>
            <w:szCs w:val="24"/>
            <w:bdr w:val="none" w:sz="0" w:space="0" w:color="auto" w:frame="1"/>
            <w:lang w:val="uk-UA" w:eastAsia="ru-RU"/>
          </w:rPr>
          <w:t>2</w:t>
        </w:r>
        <w:r w:rsidR="00E30289" w:rsidRPr="000A285A">
          <w:rPr>
            <w:rFonts w:ascii="Times New Roman" w:eastAsia="Times New Roman" w:hAnsi="Times New Roman" w:cs="Times New Roman"/>
            <w:color w:val="000000"/>
            <w:kern w:val="0"/>
            <w:sz w:val="24"/>
            <w:szCs w:val="24"/>
            <w:bdr w:val="none" w:sz="0" w:space="0" w:color="auto" w:frame="1"/>
            <w:lang w:val="uk-UA" w:eastAsia="ru-RU"/>
          </w:rPr>
          <w:t>-0</w:t>
        </w:r>
        <w:r w:rsidR="000A285A" w:rsidRPr="000A285A">
          <w:rPr>
            <w:rFonts w:ascii="Times New Roman" w:eastAsia="Times New Roman" w:hAnsi="Times New Roman" w:cs="Times New Roman"/>
            <w:color w:val="000000"/>
            <w:kern w:val="0"/>
            <w:sz w:val="24"/>
            <w:szCs w:val="24"/>
            <w:bdr w:val="none" w:sz="0" w:space="0" w:color="auto" w:frame="1"/>
            <w:lang w:val="uk-UA" w:eastAsia="ru-RU"/>
          </w:rPr>
          <w:t>08960</w:t>
        </w:r>
        <w:r w:rsidR="00E30289" w:rsidRPr="000A285A">
          <w:rPr>
            <w:rFonts w:ascii="Times New Roman" w:eastAsia="Times New Roman" w:hAnsi="Times New Roman" w:cs="Times New Roman"/>
            <w:color w:val="000000"/>
            <w:kern w:val="0"/>
            <w:sz w:val="24"/>
            <w:szCs w:val="24"/>
            <w:bdr w:val="none" w:sz="0" w:space="0" w:color="auto" w:frame="1"/>
            <w:lang w:val="uk-UA" w:eastAsia="ru-RU"/>
          </w:rPr>
          <w:t>-a</w:t>
        </w:r>
      </w:hyperlink>
      <w:r w:rsidR="00E30289" w:rsidRPr="000A285A">
        <w:rPr>
          <w:rFonts w:ascii="Times New Roman" w:eastAsia="Times New Roman" w:hAnsi="Times New Roman" w:cs="Times New Roman"/>
          <w:color w:val="6D6D6D"/>
          <w:kern w:val="0"/>
          <w:sz w:val="24"/>
          <w:szCs w:val="24"/>
          <w:lang w:val="uk-UA" w:eastAsia="ru-RU"/>
        </w:rPr>
        <w:t>).</w:t>
      </w:r>
      <w:r w:rsidR="000A285A" w:rsidRPr="000A285A">
        <w:rPr>
          <w:rFonts w:ascii="Times New Roman" w:hAnsi="Times New Roman" w:cs="Times New Roman"/>
          <w:color w:val="000000"/>
          <w:sz w:val="24"/>
          <w:szCs w:val="24"/>
          <w:shd w:val="clear" w:color="auto" w:fill="F3F3F3"/>
          <w:lang w:val="uk-UA"/>
        </w:rPr>
        <w:t xml:space="preserve"> </w:t>
      </w:r>
    </w:p>
    <w:p w14:paraId="6FF90192" w14:textId="2014464E" w:rsidR="00601EA8" w:rsidRPr="000A285A" w:rsidRDefault="00601EA8"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uk-UA"/>
        </w:rPr>
      </w:pPr>
      <w:r w:rsidRPr="000A285A">
        <w:rPr>
          <w:rFonts w:ascii="Times New Roman" w:hAnsi="Times New Roman" w:cs="Times New Roman"/>
          <w:color w:val="000000" w:themeColor="text1"/>
          <w:sz w:val="24"/>
          <w:szCs w:val="24"/>
          <w:lang w:val="uk-UA"/>
        </w:rPr>
        <w:t xml:space="preserve">Розмір бюджетного призначення за кошторисом: заплановано – </w:t>
      </w:r>
      <w:r w:rsidR="00C01432" w:rsidRPr="000A285A">
        <w:rPr>
          <w:rFonts w:ascii="Times New Roman" w:hAnsi="Times New Roman" w:cs="Times New Roman"/>
          <w:b/>
          <w:bCs/>
          <w:color w:val="000000" w:themeColor="text1"/>
          <w:sz w:val="24"/>
          <w:szCs w:val="24"/>
          <w:lang w:val="uk-UA"/>
        </w:rPr>
        <w:t>91 0</w:t>
      </w:r>
      <w:r w:rsidR="00057921" w:rsidRPr="000A285A">
        <w:rPr>
          <w:rFonts w:ascii="Times New Roman" w:hAnsi="Times New Roman" w:cs="Times New Roman"/>
          <w:b/>
          <w:bCs/>
          <w:color w:val="000000" w:themeColor="text1"/>
          <w:sz w:val="24"/>
          <w:szCs w:val="24"/>
          <w:lang w:val="uk-UA"/>
        </w:rPr>
        <w:t>00</w:t>
      </w:r>
      <w:r w:rsidRPr="000A285A">
        <w:rPr>
          <w:rFonts w:ascii="Times New Roman" w:hAnsi="Times New Roman" w:cs="Times New Roman"/>
          <w:b/>
          <w:bCs/>
          <w:color w:val="000000" w:themeColor="text1"/>
          <w:sz w:val="24"/>
          <w:szCs w:val="24"/>
          <w:lang w:val="uk-UA"/>
        </w:rPr>
        <w:t>,00 грн (</w:t>
      </w:r>
      <w:r w:rsidR="00057921" w:rsidRPr="000A285A">
        <w:rPr>
          <w:rFonts w:ascii="Times New Roman" w:hAnsi="Times New Roman" w:cs="Times New Roman"/>
          <w:b/>
          <w:bCs/>
          <w:color w:val="000000" w:themeColor="text1"/>
          <w:sz w:val="24"/>
          <w:szCs w:val="24"/>
          <w:lang w:val="uk-UA"/>
        </w:rPr>
        <w:t>д</w:t>
      </w:r>
      <w:r w:rsidR="00C01432" w:rsidRPr="000A285A">
        <w:rPr>
          <w:rFonts w:ascii="Times New Roman" w:hAnsi="Times New Roman" w:cs="Times New Roman"/>
          <w:b/>
          <w:bCs/>
          <w:color w:val="000000" w:themeColor="text1"/>
          <w:sz w:val="24"/>
          <w:szCs w:val="24"/>
          <w:lang w:val="uk-UA"/>
        </w:rPr>
        <w:t xml:space="preserve">ев’яносто одна </w:t>
      </w:r>
      <w:r w:rsidR="0075788B" w:rsidRPr="000A285A">
        <w:rPr>
          <w:rFonts w:ascii="Times New Roman" w:hAnsi="Times New Roman" w:cs="Times New Roman"/>
          <w:b/>
          <w:bCs/>
          <w:color w:val="000000" w:themeColor="text1"/>
          <w:sz w:val="24"/>
          <w:szCs w:val="24"/>
          <w:lang w:val="uk-UA"/>
        </w:rPr>
        <w:t xml:space="preserve"> </w:t>
      </w:r>
      <w:r w:rsidRPr="000A285A">
        <w:rPr>
          <w:rFonts w:ascii="Times New Roman" w:hAnsi="Times New Roman" w:cs="Times New Roman"/>
          <w:b/>
          <w:bCs/>
          <w:color w:val="000000" w:themeColor="text1"/>
          <w:sz w:val="24"/>
          <w:szCs w:val="24"/>
          <w:lang w:val="uk-UA"/>
        </w:rPr>
        <w:t>тисяч</w:t>
      </w:r>
      <w:r w:rsidR="0075788B" w:rsidRPr="000A285A">
        <w:rPr>
          <w:rFonts w:ascii="Times New Roman" w:hAnsi="Times New Roman" w:cs="Times New Roman"/>
          <w:b/>
          <w:bCs/>
          <w:color w:val="000000" w:themeColor="text1"/>
          <w:sz w:val="24"/>
          <w:szCs w:val="24"/>
          <w:lang w:val="uk-UA"/>
        </w:rPr>
        <w:t>а</w:t>
      </w:r>
      <w:r w:rsidRPr="000A285A">
        <w:rPr>
          <w:rFonts w:ascii="Times New Roman" w:hAnsi="Times New Roman" w:cs="Times New Roman"/>
          <w:b/>
          <w:bCs/>
          <w:color w:val="000000" w:themeColor="text1"/>
          <w:sz w:val="24"/>
          <w:szCs w:val="24"/>
          <w:lang w:val="uk-UA"/>
        </w:rPr>
        <w:t xml:space="preserve"> гривень 00 копійок) </w:t>
      </w:r>
      <w:r w:rsidRPr="000A285A">
        <w:rPr>
          <w:rFonts w:ascii="Times New Roman" w:hAnsi="Times New Roman" w:cs="Times New Roman"/>
          <w:color w:val="000000" w:themeColor="text1"/>
          <w:sz w:val="24"/>
          <w:szCs w:val="24"/>
          <w:lang w:val="uk-UA"/>
        </w:rPr>
        <w:t xml:space="preserve">з урахуванням ПДВ. </w:t>
      </w:r>
    </w:p>
    <w:p w14:paraId="3EBE2165" w14:textId="77777777" w:rsidR="00405C9D" w:rsidRPr="000A285A" w:rsidRDefault="00405C9D" w:rsidP="00601EA8">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highlight w:val="yellow"/>
          <w:lang w:val="uk-UA"/>
        </w:rPr>
      </w:pPr>
    </w:p>
    <w:p w14:paraId="4C671887" w14:textId="3698C82F" w:rsidR="0019202F" w:rsidRPr="000A285A" w:rsidRDefault="00233AAC" w:rsidP="0019202F">
      <w:pPr>
        <w:pStyle w:val="a3"/>
        <w:shd w:val="clear" w:color="auto" w:fill="FFFFFF"/>
        <w:spacing w:before="0" w:beforeAutospacing="0" w:after="150" w:afterAutospacing="0"/>
        <w:jc w:val="both"/>
        <w:rPr>
          <w:lang w:val="uk-UA"/>
        </w:rPr>
      </w:pPr>
      <w:r w:rsidRPr="000A285A">
        <w:rPr>
          <w:lang w:val="uk-UA"/>
        </w:rPr>
        <w:t xml:space="preserve">Очікувана вартість послуг визначена з урахуванням положень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w:t>
      </w:r>
      <w:r w:rsidR="0075788B" w:rsidRPr="000A285A">
        <w:rPr>
          <w:lang w:val="uk-UA"/>
        </w:rPr>
        <w:t xml:space="preserve">                            </w:t>
      </w:r>
      <w:r w:rsidRPr="000A285A">
        <w:rPr>
          <w:lang w:val="uk-UA"/>
        </w:rPr>
        <w:t xml:space="preserve">№ 275 та аналізу цін на </w:t>
      </w:r>
      <w:proofErr w:type="spellStart"/>
      <w:r w:rsidRPr="000A285A">
        <w:rPr>
          <w:lang w:val="uk-UA"/>
        </w:rPr>
        <w:t>Prozorro</w:t>
      </w:r>
      <w:proofErr w:type="spellEnd"/>
      <w:r w:rsidRPr="000A285A">
        <w:rPr>
          <w:lang w:val="uk-UA"/>
        </w:rPr>
        <w:t>.</w:t>
      </w:r>
      <w:r w:rsidR="00057921" w:rsidRPr="000A285A">
        <w:rPr>
          <w:lang w:val="uk-UA"/>
        </w:rPr>
        <w:t xml:space="preserve"> </w:t>
      </w:r>
      <w:r w:rsidR="0019202F" w:rsidRPr="000A285A">
        <w:rPr>
          <w:lang w:val="uk-UA"/>
        </w:rPr>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14:paraId="5E6D55E2" w14:textId="77777777" w:rsidR="00C01432" w:rsidRPr="000A285A" w:rsidRDefault="00C01432" w:rsidP="00C01432">
      <w:pPr>
        <w:tabs>
          <w:tab w:val="num" w:pos="426"/>
          <w:tab w:val="left" w:pos="567"/>
          <w:tab w:val="left" w:pos="1560"/>
          <w:tab w:val="right" w:leader="underscore" w:pos="9923"/>
        </w:tabs>
        <w:ind w:right="-1"/>
        <w:jc w:val="center"/>
        <w:rPr>
          <w:rFonts w:ascii="Times New Roman" w:eastAsia="Arial" w:hAnsi="Times New Roman" w:cs="Times New Roman"/>
          <w:b/>
          <w:color w:val="000000"/>
          <w:sz w:val="24"/>
          <w:szCs w:val="24"/>
          <w:lang w:val="uk-UA" w:eastAsia="ru-RU"/>
        </w:rPr>
      </w:pPr>
      <w:r w:rsidRPr="000A285A">
        <w:rPr>
          <w:rFonts w:ascii="Times New Roman" w:eastAsia="Arial" w:hAnsi="Times New Roman" w:cs="Times New Roman"/>
          <w:b/>
          <w:color w:val="000000"/>
          <w:sz w:val="24"/>
          <w:szCs w:val="24"/>
          <w:lang w:val="uk-UA" w:eastAsia="ru-RU"/>
        </w:rPr>
        <w:t>ТЕХНІЧНА СПЕЦИФІКАЦІЯ</w:t>
      </w:r>
    </w:p>
    <w:tbl>
      <w:tblPr>
        <w:tblW w:w="9328" w:type="dxa"/>
        <w:tblInd w:w="113" w:type="dxa"/>
        <w:tblLook w:val="04A0" w:firstRow="1" w:lastRow="0" w:firstColumn="1" w:lastColumn="0" w:noHBand="0" w:noVBand="1"/>
      </w:tblPr>
      <w:tblGrid>
        <w:gridCol w:w="638"/>
        <w:gridCol w:w="5538"/>
        <w:gridCol w:w="1905"/>
        <w:gridCol w:w="19"/>
        <w:gridCol w:w="1149"/>
        <w:gridCol w:w="79"/>
      </w:tblGrid>
      <w:tr w:rsidR="00C01432" w:rsidRPr="000A285A" w14:paraId="72B7677F" w14:textId="77777777" w:rsidTr="00F934FE">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3849858"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w:t>
            </w:r>
            <w:r w:rsidRPr="000A285A">
              <w:rPr>
                <w:rFonts w:ascii="Times New Roman" w:eastAsia="Times New Roman" w:hAnsi="Times New Roman" w:cs="Times New Roman"/>
                <w:color w:val="080000"/>
                <w:sz w:val="24"/>
                <w:szCs w:val="24"/>
                <w:lang w:val="uk-UA" w:eastAsia="ru-RU"/>
              </w:rPr>
              <w:br/>
            </w:r>
            <w:proofErr w:type="spellStart"/>
            <w:r w:rsidRPr="000A285A">
              <w:rPr>
                <w:rFonts w:ascii="Times New Roman" w:eastAsia="Times New Roman" w:hAnsi="Times New Roman" w:cs="Times New Roman"/>
                <w:color w:val="080000"/>
                <w:sz w:val="24"/>
                <w:szCs w:val="24"/>
                <w:lang w:val="uk-UA" w:eastAsia="ru-RU"/>
              </w:rPr>
              <w:t>Ч.ч</w:t>
            </w:r>
            <w:proofErr w:type="spellEnd"/>
            <w:r w:rsidRPr="000A285A">
              <w:rPr>
                <w:rFonts w:ascii="Times New Roman" w:eastAsia="Times New Roman" w:hAnsi="Times New Roman" w:cs="Times New Roman"/>
                <w:color w:val="080000"/>
                <w:sz w:val="24"/>
                <w:szCs w:val="24"/>
                <w:lang w:val="uk-UA" w:eastAsia="ru-RU"/>
              </w:rPr>
              <w:t>.</w:t>
            </w:r>
          </w:p>
        </w:tc>
        <w:tc>
          <w:tcPr>
            <w:tcW w:w="5538" w:type="dxa"/>
            <w:tcBorders>
              <w:top w:val="single" w:sz="4" w:space="0" w:color="000000"/>
              <w:left w:val="nil"/>
              <w:bottom w:val="single" w:sz="4" w:space="0" w:color="000000"/>
              <w:right w:val="single" w:sz="4" w:space="0" w:color="000000"/>
            </w:tcBorders>
            <w:shd w:val="clear" w:color="000000" w:fill="FFFFFF"/>
            <w:vAlign w:val="center"/>
            <w:hideMark/>
          </w:tcPr>
          <w:p w14:paraId="30D52842"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Найменування послуг і витрат</w:t>
            </w:r>
          </w:p>
        </w:tc>
        <w:tc>
          <w:tcPr>
            <w:tcW w:w="1905" w:type="dxa"/>
            <w:tcBorders>
              <w:top w:val="single" w:sz="4" w:space="0" w:color="000000"/>
              <w:left w:val="nil"/>
              <w:bottom w:val="single" w:sz="4" w:space="0" w:color="000000"/>
              <w:right w:val="nil"/>
            </w:tcBorders>
            <w:shd w:val="clear" w:color="000000" w:fill="FFFFFF"/>
            <w:vAlign w:val="center"/>
            <w:hideMark/>
          </w:tcPr>
          <w:p w14:paraId="7C763FF8"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Одиниця</w:t>
            </w:r>
            <w:r w:rsidRPr="000A285A">
              <w:rPr>
                <w:rFonts w:ascii="Times New Roman" w:eastAsia="Times New Roman" w:hAnsi="Times New Roman" w:cs="Times New Roman"/>
                <w:color w:val="080000"/>
                <w:sz w:val="24"/>
                <w:szCs w:val="24"/>
                <w:lang w:val="uk-UA" w:eastAsia="ru-RU"/>
              </w:rPr>
              <w:br/>
              <w:t>виміру</w:t>
            </w:r>
          </w:p>
        </w:tc>
        <w:tc>
          <w:tcPr>
            <w:tcW w:w="1247"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F80FEAF"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Кількість</w:t>
            </w:r>
          </w:p>
        </w:tc>
      </w:tr>
      <w:tr w:rsidR="00C01432" w:rsidRPr="000A285A" w14:paraId="1A3A9324" w14:textId="77777777" w:rsidTr="00F934FE">
        <w:trPr>
          <w:trHeight w:val="304"/>
        </w:trPr>
        <w:tc>
          <w:tcPr>
            <w:tcW w:w="638" w:type="dxa"/>
            <w:tcBorders>
              <w:top w:val="single" w:sz="4" w:space="0" w:color="000000"/>
              <w:left w:val="single" w:sz="4" w:space="0" w:color="000000"/>
              <w:bottom w:val="single" w:sz="4" w:space="0" w:color="000000"/>
              <w:right w:val="single" w:sz="4" w:space="0" w:color="000000"/>
            </w:tcBorders>
            <w:shd w:val="clear" w:color="000000" w:fill="FFFFFF"/>
            <w:hideMark/>
          </w:tcPr>
          <w:p w14:paraId="010A70DF"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1</w:t>
            </w:r>
          </w:p>
        </w:tc>
        <w:tc>
          <w:tcPr>
            <w:tcW w:w="5538" w:type="dxa"/>
            <w:tcBorders>
              <w:top w:val="single" w:sz="4" w:space="0" w:color="000000"/>
              <w:left w:val="nil"/>
              <w:bottom w:val="single" w:sz="4" w:space="0" w:color="000000"/>
              <w:right w:val="single" w:sz="4" w:space="0" w:color="000000"/>
            </w:tcBorders>
            <w:shd w:val="clear" w:color="000000" w:fill="FFFFFF"/>
            <w:hideMark/>
          </w:tcPr>
          <w:p w14:paraId="0898C6B3"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2</w:t>
            </w:r>
          </w:p>
        </w:tc>
        <w:tc>
          <w:tcPr>
            <w:tcW w:w="1905" w:type="dxa"/>
            <w:tcBorders>
              <w:top w:val="single" w:sz="4" w:space="0" w:color="000000"/>
              <w:left w:val="nil"/>
              <w:bottom w:val="single" w:sz="4" w:space="0" w:color="000000"/>
              <w:right w:val="single" w:sz="4" w:space="0" w:color="000000"/>
            </w:tcBorders>
            <w:shd w:val="clear" w:color="000000" w:fill="FFFFFF"/>
            <w:hideMark/>
          </w:tcPr>
          <w:p w14:paraId="680B7088"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3</w:t>
            </w:r>
          </w:p>
        </w:tc>
        <w:tc>
          <w:tcPr>
            <w:tcW w:w="1247" w:type="dxa"/>
            <w:gridSpan w:val="3"/>
            <w:tcBorders>
              <w:top w:val="nil"/>
              <w:left w:val="nil"/>
              <w:bottom w:val="single" w:sz="4" w:space="0" w:color="000000"/>
              <w:right w:val="single" w:sz="4" w:space="0" w:color="000000"/>
            </w:tcBorders>
            <w:shd w:val="clear" w:color="000000" w:fill="FFFFFF"/>
            <w:hideMark/>
          </w:tcPr>
          <w:p w14:paraId="19E8FCE5" w14:textId="77777777" w:rsidR="00C01432" w:rsidRPr="000A285A" w:rsidRDefault="00C01432" w:rsidP="00F934FE">
            <w:pPr>
              <w:spacing w:after="0" w:line="240" w:lineRule="auto"/>
              <w:jc w:val="center"/>
              <w:rPr>
                <w:rFonts w:ascii="Times New Roman" w:eastAsia="Times New Roman" w:hAnsi="Times New Roman" w:cs="Times New Roman"/>
                <w:color w:val="080000"/>
                <w:sz w:val="24"/>
                <w:szCs w:val="24"/>
                <w:lang w:val="uk-UA" w:eastAsia="ru-RU"/>
              </w:rPr>
            </w:pPr>
            <w:r w:rsidRPr="000A285A">
              <w:rPr>
                <w:rFonts w:ascii="Times New Roman" w:eastAsia="Times New Roman" w:hAnsi="Times New Roman" w:cs="Times New Roman"/>
                <w:color w:val="080000"/>
                <w:sz w:val="24"/>
                <w:szCs w:val="24"/>
                <w:lang w:val="uk-UA" w:eastAsia="ru-RU"/>
              </w:rPr>
              <w:t>4</w:t>
            </w:r>
          </w:p>
        </w:tc>
      </w:tr>
      <w:tr w:rsidR="00C01432" w:rsidRPr="000A285A" w14:paraId="3C3A173A" w14:textId="77777777" w:rsidTr="00F934FE">
        <w:trPr>
          <w:trHeight w:val="656"/>
        </w:trPr>
        <w:tc>
          <w:tcPr>
            <w:tcW w:w="638" w:type="dxa"/>
            <w:tcBorders>
              <w:top w:val="nil"/>
              <w:left w:val="single" w:sz="4" w:space="0" w:color="000000"/>
              <w:bottom w:val="single" w:sz="4" w:space="0" w:color="000000"/>
              <w:right w:val="single" w:sz="4" w:space="0" w:color="000000"/>
            </w:tcBorders>
            <w:shd w:val="clear" w:color="000000" w:fill="FFFFFF"/>
          </w:tcPr>
          <w:p w14:paraId="542B9D86" w14:textId="77777777" w:rsidR="00C01432" w:rsidRPr="000A285A" w:rsidRDefault="00C01432" w:rsidP="00F934FE">
            <w:pPr>
              <w:jc w:val="center"/>
              <w:rPr>
                <w:rFonts w:ascii="Times New Roman" w:eastAsia="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1</w:t>
            </w:r>
          </w:p>
        </w:tc>
        <w:tc>
          <w:tcPr>
            <w:tcW w:w="5538" w:type="dxa"/>
            <w:tcBorders>
              <w:top w:val="nil"/>
              <w:left w:val="nil"/>
              <w:bottom w:val="single" w:sz="4" w:space="0" w:color="000000"/>
              <w:right w:val="nil"/>
            </w:tcBorders>
            <w:shd w:val="clear" w:color="000000" w:fill="FFFFFF"/>
          </w:tcPr>
          <w:p w14:paraId="28470887" w14:textId="77777777" w:rsidR="00C01432" w:rsidRPr="000A285A" w:rsidRDefault="00C01432" w:rsidP="00F934FE">
            <w:pP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Демонтаж світильників для люмінесцентних ламп</w:t>
            </w:r>
          </w:p>
        </w:tc>
        <w:tc>
          <w:tcPr>
            <w:tcW w:w="1905" w:type="dxa"/>
            <w:tcBorders>
              <w:top w:val="nil"/>
              <w:left w:val="single" w:sz="4" w:space="0" w:color="000000"/>
              <w:bottom w:val="single" w:sz="4" w:space="0" w:color="000000"/>
              <w:right w:val="single" w:sz="4" w:space="0" w:color="000000"/>
            </w:tcBorders>
            <w:shd w:val="clear" w:color="000000" w:fill="FFFFFF"/>
          </w:tcPr>
          <w:p w14:paraId="481EFDA2" w14:textId="77777777" w:rsidR="00C01432" w:rsidRPr="000A285A" w:rsidRDefault="00C01432" w:rsidP="00F934FE">
            <w:pPr>
              <w:jc w:val="center"/>
              <w:rPr>
                <w:rFonts w:ascii="Times New Roman" w:hAnsi="Times New Roman" w:cs="Times New Roman"/>
                <w:color w:val="080000"/>
                <w:sz w:val="24"/>
                <w:szCs w:val="24"/>
                <w:lang w:val="uk-UA"/>
              </w:rPr>
            </w:pPr>
            <w:proofErr w:type="spellStart"/>
            <w:r w:rsidRPr="000A285A">
              <w:rPr>
                <w:rFonts w:ascii="Times New Roman" w:hAnsi="Times New Roman" w:cs="Times New Roman"/>
                <w:color w:val="080000"/>
                <w:sz w:val="24"/>
                <w:szCs w:val="24"/>
                <w:lang w:val="uk-UA"/>
              </w:rPr>
              <w:t>шт</w:t>
            </w:r>
            <w:proofErr w:type="spellEnd"/>
          </w:p>
        </w:tc>
        <w:tc>
          <w:tcPr>
            <w:tcW w:w="1247" w:type="dxa"/>
            <w:gridSpan w:val="3"/>
            <w:tcBorders>
              <w:top w:val="nil"/>
              <w:left w:val="nil"/>
              <w:bottom w:val="single" w:sz="4" w:space="0" w:color="000000"/>
              <w:right w:val="single" w:sz="4" w:space="0" w:color="000000"/>
            </w:tcBorders>
            <w:shd w:val="clear" w:color="000000" w:fill="FFFFFF"/>
          </w:tcPr>
          <w:p w14:paraId="67F4FA7A"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6</w:t>
            </w:r>
          </w:p>
        </w:tc>
      </w:tr>
      <w:tr w:rsidR="00C01432" w:rsidRPr="000A285A" w14:paraId="66216B40" w14:textId="77777777" w:rsidTr="00F934FE">
        <w:trPr>
          <w:trHeight w:val="33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1B99DE0B"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2</w:t>
            </w:r>
          </w:p>
        </w:tc>
        <w:tc>
          <w:tcPr>
            <w:tcW w:w="5538" w:type="dxa"/>
            <w:tcBorders>
              <w:top w:val="single" w:sz="4" w:space="0" w:color="000000"/>
              <w:left w:val="nil"/>
              <w:bottom w:val="single" w:sz="4" w:space="0" w:color="000000"/>
              <w:right w:val="nil"/>
            </w:tcBorders>
            <w:shd w:val="clear" w:color="000000" w:fill="FFFFFF"/>
          </w:tcPr>
          <w:p w14:paraId="78E81AE4" w14:textId="77777777" w:rsidR="00C01432" w:rsidRPr="000A285A" w:rsidRDefault="00C01432" w:rsidP="00F934FE">
            <w:pP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Улаштування каркасу підвісних стель</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7B5CA74B"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м2 горизонтальної проекції стелі</w:t>
            </w:r>
          </w:p>
        </w:tc>
        <w:tc>
          <w:tcPr>
            <w:tcW w:w="1247" w:type="dxa"/>
            <w:gridSpan w:val="3"/>
            <w:tcBorders>
              <w:top w:val="nil"/>
              <w:left w:val="nil"/>
              <w:bottom w:val="single" w:sz="4" w:space="0" w:color="000000"/>
              <w:right w:val="single" w:sz="4" w:space="0" w:color="000000"/>
            </w:tcBorders>
            <w:shd w:val="clear" w:color="000000" w:fill="FFFFFF"/>
          </w:tcPr>
          <w:p w14:paraId="2C8ADBDD"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69</w:t>
            </w:r>
          </w:p>
        </w:tc>
      </w:tr>
      <w:tr w:rsidR="00C01432" w:rsidRPr="000A285A" w14:paraId="4CC8546F" w14:textId="77777777" w:rsidTr="00F934FE">
        <w:trPr>
          <w:trHeight w:val="604"/>
        </w:trPr>
        <w:tc>
          <w:tcPr>
            <w:tcW w:w="638" w:type="dxa"/>
            <w:tcBorders>
              <w:top w:val="single" w:sz="4" w:space="0" w:color="000000"/>
              <w:left w:val="single" w:sz="4" w:space="0" w:color="000000"/>
              <w:bottom w:val="single" w:sz="4" w:space="0" w:color="000000"/>
              <w:right w:val="single" w:sz="4" w:space="0" w:color="000000"/>
            </w:tcBorders>
            <w:shd w:val="clear" w:color="000000" w:fill="FFFFFF"/>
          </w:tcPr>
          <w:p w14:paraId="2B1C5868"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3</w:t>
            </w:r>
          </w:p>
        </w:tc>
        <w:tc>
          <w:tcPr>
            <w:tcW w:w="5538" w:type="dxa"/>
            <w:tcBorders>
              <w:top w:val="single" w:sz="4" w:space="0" w:color="000000"/>
              <w:left w:val="nil"/>
              <w:bottom w:val="single" w:sz="4" w:space="0" w:color="000000"/>
              <w:right w:val="nil"/>
            </w:tcBorders>
            <w:shd w:val="clear" w:color="000000" w:fill="FFFFFF"/>
          </w:tcPr>
          <w:p w14:paraId="797865AB" w14:textId="77777777" w:rsidR="00C01432" w:rsidRPr="000A285A" w:rsidRDefault="00C01432" w:rsidP="00F934FE">
            <w:pP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Укладання плит стельових в каркас стелі</w:t>
            </w:r>
            <w:r w:rsidRPr="000A285A">
              <w:rPr>
                <w:rFonts w:ascii="Times New Roman" w:hAnsi="Times New Roman" w:cs="Times New Roman"/>
                <w:color w:val="080000"/>
                <w:sz w:val="24"/>
                <w:szCs w:val="24"/>
                <w:lang w:val="uk-UA"/>
              </w:rPr>
              <w:br/>
              <w:t>Обсяг = ((69-6*0.6*0.6) / 100)*100</w:t>
            </w:r>
          </w:p>
        </w:tc>
        <w:tc>
          <w:tcPr>
            <w:tcW w:w="1905" w:type="dxa"/>
            <w:tcBorders>
              <w:top w:val="single" w:sz="4" w:space="0" w:color="000000"/>
              <w:left w:val="single" w:sz="4" w:space="0" w:color="000000"/>
              <w:bottom w:val="single" w:sz="4" w:space="0" w:color="000000"/>
              <w:right w:val="single" w:sz="4" w:space="0" w:color="000000"/>
            </w:tcBorders>
            <w:shd w:val="clear" w:color="000000" w:fill="FFFFFF"/>
          </w:tcPr>
          <w:p w14:paraId="1AE153CC"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м2 горизонтальної проекції стелі</w:t>
            </w:r>
          </w:p>
        </w:tc>
        <w:tc>
          <w:tcPr>
            <w:tcW w:w="1247" w:type="dxa"/>
            <w:gridSpan w:val="3"/>
            <w:tcBorders>
              <w:top w:val="nil"/>
              <w:left w:val="nil"/>
              <w:bottom w:val="single" w:sz="4" w:space="0" w:color="000000"/>
              <w:right w:val="single" w:sz="4" w:space="0" w:color="000000"/>
            </w:tcBorders>
            <w:shd w:val="clear" w:color="000000" w:fill="FFFFFF"/>
          </w:tcPr>
          <w:p w14:paraId="51588A8E" w14:textId="77777777" w:rsidR="00C01432" w:rsidRPr="000A285A" w:rsidRDefault="00C01432"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66,84</w:t>
            </w:r>
          </w:p>
        </w:tc>
      </w:tr>
      <w:tr w:rsidR="000A285A" w:rsidRPr="000A285A" w14:paraId="3809C0AD" w14:textId="77777777" w:rsidTr="00C74C33">
        <w:trPr>
          <w:trHeight w:val="945"/>
        </w:trPr>
        <w:tc>
          <w:tcPr>
            <w:tcW w:w="638" w:type="dxa"/>
            <w:vMerge w:val="restart"/>
            <w:tcBorders>
              <w:top w:val="single" w:sz="4" w:space="0" w:color="000000"/>
              <w:left w:val="single" w:sz="4" w:space="0" w:color="000000"/>
              <w:right w:val="single" w:sz="4" w:space="0" w:color="000000"/>
            </w:tcBorders>
            <w:shd w:val="clear" w:color="000000" w:fill="FFFFFF"/>
          </w:tcPr>
          <w:p w14:paraId="3C5C00EA" w14:textId="77777777" w:rsidR="000A285A" w:rsidRPr="000A285A" w:rsidRDefault="000A285A"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4</w:t>
            </w:r>
          </w:p>
        </w:tc>
        <w:tc>
          <w:tcPr>
            <w:tcW w:w="5538" w:type="dxa"/>
            <w:vMerge w:val="restart"/>
            <w:tcBorders>
              <w:top w:val="single" w:sz="4" w:space="0" w:color="000000"/>
              <w:left w:val="nil"/>
              <w:right w:val="nil"/>
            </w:tcBorders>
            <w:shd w:val="clear" w:color="000000" w:fill="FFFFFF"/>
          </w:tcPr>
          <w:p w14:paraId="309BDBA3" w14:textId="77777777" w:rsidR="000A285A" w:rsidRPr="000A285A" w:rsidRDefault="000A285A" w:rsidP="00F934FE">
            <w:pP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Монтаж світильників для люмінесцентних ламп, які встановлюються в</w:t>
            </w:r>
            <w:r w:rsidRPr="000A285A">
              <w:rPr>
                <w:rFonts w:ascii="Times New Roman" w:hAnsi="Times New Roman" w:cs="Times New Roman"/>
                <w:color w:val="080000"/>
                <w:sz w:val="24"/>
                <w:szCs w:val="24"/>
                <w:lang w:val="uk-UA"/>
              </w:rPr>
              <w:br/>
              <w:t xml:space="preserve">підвісних стелях, кількість ламп 1 </w:t>
            </w:r>
            <w:proofErr w:type="spellStart"/>
            <w:r w:rsidRPr="000A285A">
              <w:rPr>
                <w:rFonts w:ascii="Times New Roman" w:hAnsi="Times New Roman" w:cs="Times New Roman"/>
                <w:color w:val="080000"/>
                <w:sz w:val="24"/>
                <w:szCs w:val="24"/>
                <w:lang w:val="uk-UA"/>
              </w:rPr>
              <w:t>шт</w:t>
            </w:r>
            <w:proofErr w:type="spellEnd"/>
          </w:p>
        </w:tc>
        <w:tc>
          <w:tcPr>
            <w:tcW w:w="1905" w:type="dxa"/>
            <w:tcBorders>
              <w:top w:val="single" w:sz="4" w:space="0" w:color="000000"/>
              <w:left w:val="single" w:sz="4" w:space="0" w:color="000000"/>
              <w:bottom w:val="single" w:sz="4" w:space="0" w:color="auto"/>
              <w:right w:val="single" w:sz="4" w:space="0" w:color="000000"/>
            </w:tcBorders>
            <w:shd w:val="clear" w:color="000000" w:fill="FFFFFF"/>
          </w:tcPr>
          <w:p w14:paraId="6645D2C1" w14:textId="77777777" w:rsidR="000A285A" w:rsidRPr="000A285A" w:rsidRDefault="000A285A" w:rsidP="00F934FE">
            <w:pPr>
              <w:jc w:val="center"/>
              <w:rPr>
                <w:rFonts w:ascii="Times New Roman" w:hAnsi="Times New Roman" w:cs="Times New Roman"/>
                <w:color w:val="080000"/>
                <w:sz w:val="24"/>
                <w:szCs w:val="24"/>
                <w:lang w:val="uk-UA"/>
              </w:rPr>
            </w:pPr>
            <w:proofErr w:type="spellStart"/>
            <w:r w:rsidRPr="000A285A">
              <w:rPr>
                <w:rFonts w:ascii="Times New Roman" w:hAnsi="Times New Roman" w:cs="Times New Roman"/>
                <w:color w:val="080000"/>
                <w:sz w:val="24"/>
                <w:szCs w:val="24"/>
                <w:lang w:val="uk-UA"/>
              </w:rPr>
              <w:t>шт</w:t>
            </w:r>
            <w:proofErr w:type="spellEnd"/>
          </w:p>
        </w:tc>
        <w:tc>
          <w:tcPr>
            <w:tcW w:w="1247" w:type="dxa"/>
            <w:gridSpan w:val="3"/>
            <w:tcBorders>
              <w:top w:val="nil"/>
              <w:left w:val="nil"/>
              <w:bottom w:val="single" w:sz="4" w:space="0" w:color="auto"/>
              <w:right w:val="single" w:sz="4" w:space="0" w:color="000000"/>
            </w:tcBorders>
            <w:shd w:val="clear" w:color="000000" w:fill="FFFFFF"/>
          </w:tcPr>
          <w:p w14:paraId="1FB32E73" w14:textId="77777777" w:rsidR="000A285A" w:rsidRPr="000A285A" w:rsidRDefault="000A285A" w:rsidP="00F934FE">
            <w:pPr>
              <w:jc w:val="center"/>
              <w:rPr>
                <w:rFonts w:ascii="Times New Roman" w:hAnsi="Times New Roman" w:cs="Times New Roman"/>
                <w:color w:val="080000"/>
                <w:sz w:val="24"/>
                <w:szCs w:val="24"/>
                <w:lang w:val="uk-UA"/>
              </w:rPr>
            </w:pPr>
            <w:r w:rsidRPr="000A285A">
              <w:rPr>
                <w:rFonts w:ascii="Times New Roman" w:hAnsi="Times New Roman" w:cs="Times New Roman"/>
                <w:color w:val="080000"/>
                <w:sz w:val="24"/>
                <w:szCs w:val="24"/>
                <w:lang w:val="uk-UA"/>
              </w:rPr>
              <w:t>6</w:t>
            </w:r>
          </w:p>
        </w:tc>
      </w:tr>
      <w:tr w:rsidR="000A285A" w:rsidRPr="000A285A" w14:paraId="0854602E" w14:textId="77777777" w:rsidTr="00C74C33">
        <w:trPr>
          <w:trHeight w:val="105"/>
        </w:trPr>
        <w:tc>
          <w:tcPr>
            <w:tcW w:w="638" w:type="dxa"/>
            <w:vMerge/>
            <w:tcBorders>
              <w:left w:val="single" w:sz="4" w:space="0" w:color="000000"/>
              <w:bottom w:val="single" w:sz="4" w:space="0" w:color="000000"/>
              <w:right w:val="single" w:sz="4" w:space="0" w:color="000000"/>
            </w:tcBorders>
            <w:shd w:val="clear" w:color="000000" w:fill="FFFFFF"/>
          </w:tcPr>
          <w:p w14:paraId="2A043A76" w14:textId="77777777" w:rsidR="000A285A" w:rsidRPr="000A285A" w:rsidRDefault="000A285A" w:rsidP="00F934FE">
            <w:pPr>
              <w:jc w:val="center"/>
              <w:rPr>
                <w:rFonts w:ascii="Times New Roman" w:hAnsi="Times New Roman" w:cs="Times New Roman"/>
                <w:color w:val="080000"/>
                <w:sz w:val="24"/>
                <w:szCs w:val="24"/>
                <w:lang w:val="uk-UA"/>
              </w:rPr>
            </w:pPr>
          </w:p>
        </w:tc>
        <w:tc>
          <w:tcPr>
            <w:tcW w:w="5538" w:type="dxa"/>
            <w:vMerge/>
            <w:tcBorders>
              <w:left w:val="nil"/>
              <w:bottom w:val="single" w:sz="4" w:space="0" w:color="000000"/>
              <w:right w:val="nil"/>
            </w:tcBorders>
            <w:shd w:val="clear" w:color="000000" w:fill="FFFFFF"/>
          </w:tcPr>
          <w:p w14:paraId="7F438B91" w14:textId="77777777" w:rsidR="000A285A" w:rsidRPr="000A285A" w:rsidRDefault="000A285A" w:rsidP="00F934FE">
            <w:pPr>
              <w:rPr>
                <w:rFonts w:ascii="Times New Roman" w:hAnsi="Times New Roman" w:cs="Times New Roman"/>
                <w:color w:val="080000"/>
                <w:sz w:val="24"/>
                <w:szCs w:val="24"/>
                <w:lang w:val="uk-UA"/>
              </w:rPr>
            </w:pPr>
          </w:p>
        </w:tc>
        <w:tc>
          <w:tcPr>
            <w:tcW w:w="1905" w:type="dxa"/>
            <w:tcBorders>
              <w:top w:val="single" w:sz="4" w:space="0" w:color="auto"/>
              <w:left w:val="single" w:sz="4" w:space="0" w:color="000000"/>
              <w:bottom w:val="single" w:sz="4" w:space="0" w:color="000000"/>
              <w:right w:val="single" w:sz="4" w:space="0" w:color="000000"/>
            </w:tcBorders>
            <w:shd w:val="clear" w:color="000000" w:fill="FFFFFF"/>
          </w:tcPr>
          <w:p w14:paraId="5D4E3D8C" w14:textId="77777777" w:rsidR="000A285A" w:rsidRPr="000A285A" w:rsidRDefault="000A285A" w:rsidP="00F934FE">
            <w:pPr>
              <w:jc w:val="center"/>
              <w:rPr>
                <w:rFonts w:ascii="Times New Roman" w:hAnsi="Times New Roman" w:cs="Times New Roman"/>
                <w:color w:val="080000"/>
                <w:sz w:val="24"/>
                <w:szCs w:val="24"/>
                <w:lang w:val="uk-UA"/>
              </w:rPr>
            </w:pPr>
          </w:p>
        </w:tc>
        <w:tc>
          <w:tcPr>
            <w:tcW w:w="1247" w:type="dxa"/>
            <w:gridSpan w:val="3"/>
            <w:tcBorders>
              <w:top w:val="single" w:sz="4" w:space="0" w:color="auto"/>
              <w:left w:val="nil"/>
              <w:bottom w:val="single" w:sz="4" w:space="0" w:color="000000"/>
              <w:right w:val="single" w:sz="4" w:space="0" w:color="000000"/>
            </w:tcBorders>
            <w:shd w:val="clear" w:color="000000" w:fill="FFFFFF"/>
          </w:tcPr>
          <w:p w14:paraId="1D9C1813" w14:textId="77777777" w:rsidR="000A285A" w:rsidRPr="000A285A" w:rsidRDefault="000A285A" w:rsidP="00F934FE">
            <w:pPr>
              <w:jc w:val="center"/>
              <w:rPr>
                <w:rFonts w:ascii="Times New Roman" w:hAnsi="Times New Roman" w:cs="Times New Roman"/>
                <w:color w:val="080000"/>
                <w:sz w:val="24"/>
                <w:szCs w:val="24"/>
                <w:lang w:val="uk-UA"/>
              </w:rPr>
            </w:pPr>
          </w:p>
        </w:tc>
      </w:tr>
      <w:tr w:rsidR="00C01432" w:rsidRPr="000A285A" w14:paraId="2D92ADE5" w14:textId="77777777" w:rsidTr="00F934FE">
        <w:tblPrEx>
          <w:tblBorders>
            <w:top w:val="single" w:sz="4" w:space="0" w:color="auto"/>
          </w:tblBorders>
          <w:tblLook w:val="0000" w:firstRow="0" w:lastRow="0" w:firstColumn="0" w:lastColumn="0" w:noHBand="0" w:noVBand="0"/>
        </w:tblPrEx>
        <w:trPr>
          <w:gridBefore w:val="4"/>
          <w:gridAfter w:val="1"/>
          <w:wBefore w:w="8100" w:type="dxa"/>
          <w:wAfter w:w="79" w:type="dxa"/>
          <w:trHeight w:val="100"/>
        </w:trPr>
        <w:tc>
          <w:tcPr>
            <w:tcW w:w="1149" w:type="dxa"/>
          </w:tcPr>
          <w:p w14:paraId="693190F3" w14:textId="77777777" w:rsidR="00C01432" w:rsidRPr="000A285A" w:rsidRDefault="00C01432" w:rsidP="00F934FE">
            <w:pPr>
              <w:jc w:val="center"/>
              <w:rPr>
                <w:rFonts w:ascii="Times New Roman" w:hAnsi="Times New Roman" w:cs="Times New Roman"/>
                <w:b/>
                <w:bCs/>
                <w:color w:val="FF0000"/>
                <w:sz w:val="24"/>
                <w:szCs w:val="24"/>
                <w:lang w:val="uk-UA" w:eastAsia="ru-RU"/>
              </w:rPr>
            </w:pPr>
          </w:p>
        </w:tc>
      </w:tr>
    </w:tbl>
    <w:p w14:paraId="6F25E814" w14:textId="77777777" w:rsidR="00C01432" w:rsidRPr="000A285A" w:rsidRDefault="00C01432" w:rsidP="00C01432">
      <w:pPr>
        <w:jc w:val="center"/>
        <w:rPr>
          <w:rFonts w:ascii="Times New Roman" w:hAnsi="Times New Roman" w:cs="Times New Roman"/>
          <w:b/>
          <w:bCs/>
          <w:color w:val="FF0000"/>
          <w:sz w:val="24"/>
          <w:szCs w:val="24"/>
          <w:u w:val="single"/>
          <w:lang w:val="uk-UA" w:eastAsia="ru-RU"/>
        </w:rPr>
      </w:pPr>
      <w:r w:rsidRPr="000A285A">
        <w:rPr>
          <w:rFonts w:ascii="Times New Roman" w:hAnsi="Times New Roman" w:cs="Times New Roman"/>
          <w:b/>
          <w:bCs/>
          <w:color w:val="FF0000"/>
          <w:sz w:val="24"/>
          <w:szCs w:val="24"/>
          <w:u w:val="single"/>
          <w:lang w:val="uk-UA" w:eastAsia="ru-RU"/>
        </w:rPr>
        <w:t>* УВАГА!  Виїзд фахівця для уточнення розмірів обов'язковий</w:t>
      </w:r>
    </w:p>
    <w:p w14:paraId="1C4548D2" w14:textId="77777777" w:rsidR="00C01432" w:rsidRPr="000A285A" w:rsidRDefault="00C01432" w:rsidP="00C01432">
      <w:pPr>
        <w:shd w:val="clear" w:color="auto" w:fill="FFFFFF"/>
        <w:jc w:val="both"/>
        <w:rPr>
          <w:rFonts w:ascii="Times New Roman" w:hAnsi="Times New Roman" w:cs="Times New Roman"/>
          <w:b/>
          <w:sz w:val="24"/>
          <w:szCs w:val="24"/>
          <w:lang w:val="uk-UA"/>
        </w:rPr>
      </w:pPr>
      <w:r w:rsidRPr="000A285A">
        <w:rPr>
          <w:rFonts w:ascii="Times New Roman" w:hAnsi="Times New Roman" w:cs="Times New Roman"/>
          <w:sz w:val="24"/>
          <w:szCs w:val="24"/>
          <w:lang w:val="uk-UA"/>
        </w:rPr>
        <w:t xml:space="preserve">         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0A285A">
        <w:rPr>
          <w:rFonts w:ascii="Times New Roman" w:hAnsi="Times New Roman" w:cs="Times New Roman"/>
          <w:b/>
          <w:sz w:val="24"/>
          <w:szCs w:val="24"/>
          <w:lang w:val="uk-UA"/>
        </w:rPr>
        <w:t>Таким чином, вважається, що до кожного посилання додається вираз «або еквівалент».</w:t>
      </w:r>
    </w:p>
    <w:p w14:paraId="29075604" w14:textId="77777777" w:rsidR="00C01432" w:rsidRPr="000A285A" w:rsidRDefault="00C01432" w:rsidP="00C01432">
      <w:pPr>
        <w:ind w:firstLine="720"/>
        <w:jc w:val="both"/>
        <w:rPr>
          <w:rFonts w:ascii="Times New Roman" w:hAnsi="Times New Roman" w:cs="Times New Roman"/>
          <w:b/>
          <w:bCs/>
          <w:color w:val="000000"/>
          <w:sz w:val="24"/>
          <w:szCs w:val="24"/>
          <w:lang w:val="uk-UA"/>
        </w:rPr>
      </w:pPr>
      <w:r w:rsidRPr="000A285A">
        <w:rPr>
          <w:rFonts w:ascii="Times New Roman" w:hAnsi="Times New Roman" w:cs="Times New Roman"/>
          <w:b/>
          <w:bCs/>
          <w:color w:val="000000"/>
          <w:sz w:val="24"/>
          <w:szCs w:val="24"/>
          <w:lang w:val="uk-UA"/>
        </w:rPr>
        <w:t>Учасник, який подав тендерну пропозицію, вважається таким, що погоджується з технічними, якісними, кількісними, функціональними характеристиками до предмета закупівлі та іншими вимогами до предмета закупівлі, що містяться в тендерній документації та цьому додатку, а також підтверджує можливість надання послуг відповідно до вимог, визначених цією документацією.</w:t>
      </w:r>
    </w:p>
    <w:p w14:paraId="197B93FF" w14:textId="77777777" w:rsidR="00C01432" w:rsidRPr="000A285A" w:rsidRDefault="00C01432" w:rsidP="00C01432">
      <w:pPr>
        <w:ind w:left="990" w:firstLine="1134"/>
        <w:jc w:val="both"/>
        <w:rPr>
          <w:rFonts w:ascii="Times New Roman" w:hAnsi="Times New Roman" w:cs="Times New Roman"/>
          <w:b/>
          <w:caps/>
          <w:sz w:val="24"/>
          <w:szCs w:val="24"/>
          <w:lang w:val="uk-UA"/>
        </w:rPr>
      </w:pPr>
    </w:p>
    <w:p w14:paraId="34E96E7C" w14:textId="77777777" w:rsidR="00C01432" w:rsidRPr="000A285A" w:rsidRDefault="00C01432" w:rsidP="00C01432">
      <w:pPr>
        <w:ind w:left="990" w:firstLine="1134"/>
        <w:jc w:val="both"/>
        <w:rPr>
          <w:rFonts w:ascii="Times New Roman" w:hAnsi="Times New Roman" w:cs="Times New Roman"/>
          <w:b/>
          <w:caps/>
          <w:sz w:val="24"/>
          <w:szCs w:val="24"/>
          <w:lang w:val="uk-UA"/>
        </w:rPr>
      </w:pPr>
      <w:r w:rsidRPr="000A285A">
        <w:rPr>
          <w:rFonts w:ascii="Times New Roman" w:hAnsi="Times New Roman" w:cs="Times New Roman"/>
          <w:b/>
          <w:caps/>
          <w:sz w:val="24"/>
          <w:szCs w:val="24"/>
          <w:lang w:val="uk-UA"/>
        </w:rPr>
        <w:t>вимоги до предмету закупівлі:</w:t>
      </w:r>
    </w:p>
    <w:p w14:paraId="7A406482" w14:textId="77777777" w:rsidR="00C01432" w:rsidRPr="000A285A" w:rsidRDefault="00C01432" w:rsidP="00C01432">
      <w:pPr>
        <w:shd w:val="clear" w:color="auto" w:fill="FFFFFF"/>
        <w:spacing w:after="120"/>
        <w:ind w:left="-284" w:firstLine="568"/>
        <w:jc w:val="both"/>
        <w:rPr>
          <w:rFonts w:ascii="Times New Roman" w:hAnsi="Times New Roman" w:cs="Times New Roman"/>
          <w:sz w:val="24"/>
          <w:szCs w:val="24"/>
          <w:lang w:val="uk-UA"/>
        </w:rPr>
      </w:pPr>
      <w:r w:rsidRPr="000A285A">
        <w:rPr>
          <w:rFonts w:ascii="Times New Roman" w:hAnsi="Times New Roman" w:cs="Times New Roman"/>
          <w:b/>
          <w:bCs/>
          <w:sz w:val="24"/>
          <w:szCs w:val="24"/>
          <w:lang w:val="uk-UA"/>
        </w:rPr>
        <w:t>Вимоги щодо якості предмета закупівлі:</w:t>
      </w:r>
      <w:r w:rsidRPr="000A285A">
        <w:rPr>
          <w:rFonts w:ascii="Times New Roman" w:hAnsi="Times New Roman" w:cs="Times New Roman"/>
          <w:sz w:val="24"/>
          <w:szCs w:val="24"/>
          <w:lang w:val="uk-UA"/>
        </w:rPr>
        <w:t xml:space="preserve"> послуги виконуються згідно кошторисних норм України "Настанови з визначення вартості будівництва", що затверджені наказом Міністерства розвитку громад та територій України від 01.11.2021 № 281 "Про затвердження кошторисних норм України у будівництві" та інших умов нормативної документації України передбаченої для даного виду послуг. Якість надання послуг має відповідати нормам діючих нормативно-правових актів.</w:t>
      </w:r>
    </w:p>
    <w:p w14:paraId="135CCAC9" w14:textId="77777777" w:rsidR="00C01432" w:rsidRPr="000A285A" w:rsidRDefault="00C01432" w:rsidP="00C01432">
      <w:pPr>
        <w:shd w:val="clear" w:color="auto" w:fill="FFFFFF"/>
        <w:spacing w:after="120"/>
        <w:ind w:left="-426" w:firstLine="568"/>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Строк надання послуг з поточного ремонту: до 24.12.2025 року. </w:t>
      </w:r>
    </w:p>
    <w:p w14:paraId="69DC48B9" w14:textId="77777777" w:rsidR="00C01432" w:rsidRPr="000A285A" w:rsidRDefault="00C01432" w:rsidP="00C01432">
      <w:pPr>
        <w:shd w:val="clear" w:color="auto" w:fill="FFFFFF"/>
        <w:spacing w:after="120"/>
        <w:ind w:left="-426" w:firstLine="568"/>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Обладнання та матеріали, які будуть використовуватись мають бути новими та не експлуатованими; продукція повинна відповідати вимогам чинного законодавства.</w:t>
      </w:r>
    </w:p>
    <w:p w14:paraId="42DEDAE4" w14:textId="77777777" w:rsidR="00C01432" w:rsidRPr="000A285A" w:rsidRDefault="00C01432" w:rsidP="00C01432">
      <w:pPr>
        <w:shd w:val="clear" w:color="auto" w:fill="FFFFFF"/>
        <w:spacing w:after="120"/>
        <w:ind w:left="-426" w:firstLine="568"/>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Якщо пропозиція закупівлі учасника містить не всі види послуг або зміну обсягів та складу послуг згідно з документацією закупівель, ця пропозиція вважається такою, що не відповідає умовам технічної специфікації та іншим вимогам щодо предмета закупівлі тендерної документації, та відхиляється замовником. Запропоновані матеріали за якісними характеристиками повинні бути не гірше зазначених у тендерній документації якісних характеристик, що підтверджуватиметься відповідними документами та інформацією про технічні, якісні та кількісні характеристики предмета закупівлі.</w:t>
      </w:r>
    </w:p>
    <w:p w14:paraId="7A803611" w14:textId="77777777" w:rsidR="00C01432" w:rsidRPr="000A285A" w:rsidRDefault="00C01432" w:rsidP="00C01432">
      <w:pPr>
        <w:autoSpaceDE w:val="0"/>
        <w:autoSpaceDN w:val="0"/>
        <w:spacing w:after="120"/>
        <w:ind w:left="-426"/>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            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w:t>
      </w:r>
    </w:p>
    <w:p w14:paraId="23A710D4" w14:textId="77777777" w:rsidR="00C01432" w:rsidRPr="000A285A" w:rsidRDefault="00C01432" w:rsidP="00C01432">
      <w:pPr>
        <w:shd w:val="clear" w:color="auto" w:fill="FFFFFF"/>
        <w:spacing w:after="120"/>
        <w:ind w:left="-426" w:firstLine="426"/>
        <w:jc w:val="both"/>
        <w:rPr>
          <w:rFonts w:ascii="Times New Roman" w:hAnsi="Times New Roman" w:cs="Times New Roman"/>
          <w:b/>
          <w:bCs/>
          <w:i/>
          <w:iCs/>
          <w:sz w:val="24"/>
          <w:szCs w:val="24"/>
          <w:lang w:val="uk-UA"/>
        </w:rPr>
      </w:pPr>
      <w:r w:rsidRPr="000A285A">
        <w:rPr>
          <w:rFonts w:ascii="Times New Roman" w:hAnsi="Times New Roman" w:cs="Times New Roman"/>
          <w:b/>
          <w:bCs/>
          <w:i/>
          <w:iCs/>
          <w:sz w:val="24"/>
          <w:szCs w:val="24"/>
          <w:lang w:val="uk-UA"/>
        </w:rPr>
        <w:t xml:space="preserve">  УВАГА Доставка матеріалів повинна відбуватися транспортом «Виконавця» за рахунок Виконавця з усією необхідною супровідною документацією. Виконавець забезпечує завантажувальні, розвантажувальні роботи та занос матеріалів на адресу Замовника в присутності представників Замовника. </w:t>
      </w:r>
    </w:p>
    <w:p w14:paraId="5B3D6929" w14:textId="77777777" w:rsidR="00C01432" w:rsidRPr="000A285A" w:rsidRDefault="00C01432" w:rsidP="00C01432">
      <w:pPr>
        <w:shd w:val="clear" w:color="auto" w:fill="FFFFFF"/>
        <w:spacing w:after="120"/>
        <w:ind w:left="-426" w:firstLine="426"/>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 При наданні послуг з поточного ремонту використовуються інструмент, пристосування та техніка Виконавця.</w:t>
      </w:r>
    </w:p>
    <w:p w14:paraId="5DF8230F" w14:textId="77777777" w:rsidR="00C01432" w:rsidRPr="000A285A" w:rsidRDefault="00C01432" w:rsidP="00C01432">
      <w:pPr>
        <w:shd w:val="clear" w:color="auto" w:fill="FFFFFF"/>
        <w:spacing w:after="120"/>
        <w:ind w:left="-426" w:firstLine="426"/>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 Гарантійний термін на надані послуги становить 5 років з дня підписання Акту.</w:t>
      </w:r>
    </w:p>
    <w:p w14:paraId="2E35FC73" w14:textId="7959596E" w:rsidR="00C01432" w:rsidRPr="000A285A" w:rsidRDefault="00C01432" w:rsidP="00C01432">
      <w:pPr>
        <w:shd w:val="clear" w:color="auto" w:fill="FFFFFF"/>
        <w:spacing w:after="120"/>
        <w:ind w:left="-426" w:firstLine="426"/>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 </w:t>
      </w:r>
    </w:p>
    <w:p w14:paraId="68228CDC" w14:textId="77777777" w:rsidR="00C01432" w:rsidRPr="000A285A" w:rsidRDefault="00C01432" w:rsidP="00C01432">
      <w:pPr>
        <w:shd w:val="clear" w:color="auto" w:fill="FFFFFF"/>
        <w:spacing w:after="120"/>
        <w:ind w:left="-426" w:firstLine="426"/>
        <w:jc w:val="both"/>
        <w:rPr>
          <w:rFonts w:ascii="Times New Roman" w:hAnsi="Times New Roman" w:cs="Times New Roman"/>
          <w:sz w:val="24"/>
          <w:szCs w:val="24"/>
          <w:lang w:val="uk-UA"/>
        </w:rPr>
      </w:pPr>
    </w:p>
    <w:p w14:paraId="1082BFE6" w14:textId="77777777" w:rsidR="00C01432" w:rsidRPr="000A285A" w:rsidRDefault="00C01432" w:rsidP="00C01432">
      <w:pPr>
        <w:spacing w:after="120"/>
        <w:ind w:firstLine="709"/>
        <w:jc w:val="both"/>
        <w:rPr>
          <w:rFonts w:ascii="Times New Roman" w:hAnsi="Times New Roman" w:cs="Times New Roman"/>
          <w:b/>
          <w:bCs/>
          <w:sz w:val="24"/>
          <w:szCs w:val="24"/>
          <w:lang w:val="uk-UA"/>
        </w:rPr>
      </w:pPr>
      <w:r w:rsidRPr="000A285A">
        <w:rPr>
          <w:rFonts w:ascii="Times New Roman" w:hAnsi="Times New Roman" w:cs="Times New Roman"/>
          <w:b/>
          <w:bCs/>
          <w:sz w:val="24"/>
          <w:szCs w:val="24"/>
          <w:lang w:val="uk-UA"/>
        </w:rPr>
        <w:t xml:space="preserve">Вимоги до організації та порядку надання </w:t>
      </w:r>
      <w:r w:rsidRPr="000A285A">
        <w:rPr>
          <w:rFonts w:ascii="Times New Roman" w:hAnsi="Times New Roman" w:cs="Times New Roman"/>
          <w:b/>
          <w:bCs/>
          <w:sz w:val="24"/>
          <w:szCs w:val="24"/>
          <w:lang w:val="uk-UA" w:eastAsia="ru-RU"/>
        </w:rPr>
        <w:t>послуг</w:t>
      </w:r>
      <w:r w:rsidRPr="000A285A">
        <w:rPr>
          <w:rFonts w:ascii="Times New Roman" w:hAnsi="Times New Roman" w:cs="Times New Roman"/>
          <w:b/>
          <w:bCs/>
          <w:sz w:val="24"/>
          <w:szCs w:val="24"/>
          <w:lang w:val="uk-UA"/>
        </w:rPr>
        <w:t>:</w:t>
      </w:r>
    </w:p>
    <w:p w14:paraId="03088438" w14:textId="77777777" w:rsidR="00C01432" w:rsidRPr="000A285A" w:rsidRDefault="00C01432" w:rsidP="00C01432">
      <w:pPr>
        <w:ind w:firstLine="709"/>
        <w:jc w:val="both"/>
        <w:rPr>
          <w:rFonts w:ascii="Times New Roman" w:hAnsi="Times New Roman" w:cs="Times New Roman"/>
          <w:bCs/>
          <w:sz w:val="24"/>
          <w:szCs w:val="24"/>
          <w:u w:val="single"/>
          <w:lang w:val="uk-UA"/>
        </w:rPr>
      </w:pPr>
      <w:r w:rsidRPr="000A285A">
        <w:rPr>
          <w:rFonts w:ascii="Times New Roman" w:hAnsi="Times New Roman" w:cs="Times New Roman"/>
          <w:bCs/>
          <w:sz w:val="24"/>
          <w:szCs w:val="24"/>
          <w:lang w:val="uk-UA"/>
        </w:rPr>
        <w:t>- до початку надання послуг Виконавець зобов’язаний виконати підготовчі роботи по захисту приміщення Замовника від запилювання, забруднення, протікань та інших пошкоджень пов’язаних з наданням послуг;</w:t>
      </w:r>
    </w:p>
    <w:p w14:paraId="78C50B84" w14:textId="77777777" w:rsidR="00C01432" w:rsidRPr="000A285A" w:rsidRDefault="00C01432" w:rsidP="00C01432">
      <w:pPr>
        <w:spacing w:after="120"/>
        <w:ind w:firstLine="709"/>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якщо в процесі монтажних робіт пошкоджено частину приміщень будівлі, які не підлягали ремонту, Виконавець ремонтує пошкоджену частину протягом 3 (трьох) календарних днів за власні кошти;</w:t>
      </w:r>
    </w:p>
    <w:p w14:paraId="3A57C97B" w14:textId="77777777" w:rsidR="00C01432" w:rsidRPr="000A285A" w:rsidRDefault="00C01432" w:rsidP="00C01432">
      <w:pPr>
        <w:spacing w:after="120"/>
        <w:ind w:firstLine="709"/>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навантаження будівельного сміття та його вивіз за межі суду виконує Виконавець;</w:t>
      </w:r>
    </w:p>
    <w:p w14:paraId="54D94E45" w14:textId="77777777" w:rsidR="00C01432" w:rsidRPr="000A285A" w:rsidRDefault="00C01432" w:rsidP="00C01432">
      <w:pPr>
        <w:spacing w:after="120"/>
        <w:ind w:firstLine="709"/>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послугу надавати суворо дотримуючись вимог чинного законодавства України по безпечному виконанню робіт, охороні праці, будівельних норм, державних стандартів України та правил, з дотриманням санітарних та протипожежних правил техніки безпеки;</w:t>
      </w:r>
    </w:p>
    <w:p w14:paraId="2F9C9E0F" w14:textId="77777777" w:rsidR="00C01432" w:rsidRPr="000A285A" w:rsidRDefault="00C01432" w:rsidP="00C01432">
      <w:pPr>
        <w:ind w:firstLine="302"/>
        <w:jc w:val="both"/>
        <w:rPr>
          <w:rFonts w:ascii="Times New Roman" w:hAnsi="Times New Roman" w:cs="Times New Roman"/>
          <w:i/>
          <w:sz w:val="24"/>
          <w:szCs w:val="24"/>
          <w:lang w:val="uk-UA" w:eastAsia="uk-UA"/>
        </w:rPr>
      </w:pPr>
      <w:r w:rsidRPr="000A285A">
        <w:rPr>
          <w:rFonts w:ascii="Times New Roman" w:hAnsi="Times New Roman" w:cs="Times New Roman"/>
          <w:i/>
          <w:sz w:val="24"/>
          <w:szCs w:val="24"/>
          <w:lang w:val="uk-UA" w:eastAsia="uk-UA"/>
        </w:rPr>
        <w:t>Учаснику рекомендується оглянути об’єкт замовника до кінцевого строку подання пропозицій.</w:t>
      </w:r>
    </w:p>
    <w:p w14:paraId="26687BFE" w14:textId="77777777" w:rsidR="00C01432" w:rsidRPr="000A285A" w:rsidRDefault="00C01432" w:rsidP="00C01432">
      <w:pPr>
        <w:pStyle w:val="a6"/>
        <w:ind w:left="0" w:firstLine="567"/>
        <w:jc w:val="center"/>
        <w:rPr>
          <w:rFonts w:ascii="Times New Roman" w:hAnsi="Times New Roman" w:cs="Times New Roman"/>
          <w:b/>
          <w:smallCaps/>
          <w:sz w:val="24"/>
          <w:szCs w:val="24"/>
          <w:lang w:val="uk-UA"/>
        </w:rPr>
      </w:pPr>
    </w:p>
    <w:p w14:paraId="11699140" w14:textId="77777777" w:rsidR="00C01432" w:rsidRPr="000A285A" w:rsidRDefault="00C01432" w:rsidP="00C01432">
      <w:pPr>
        <w:pStyle w:val="a6"/>
        <w:ind w:left="0" w:firstLine="567"/>
        <w:jc w:val="center"/>
        <w:rPr>
          <w:rFonts w:ascii="Times New Roman" w:hAnsi="Times New Roman" w:cs="Times New Roman"/>
          <w:smallCaps/>
          <w:sz w:val="24"/>
          <w:szCs w:val="24"/>
          <w:lang w:val="uk-UA"/>
        </w:rPr>
      </w:pPr>
      <w:r w:rsidRPr="000A285A">
        <w:rPr>
          <w:rFonts w:ascii="Times New Roman" w:hAnsi="Times New Roman" w:cs="Times New Roman"/>
          <w:b/>
          <w:smallCaps/>
          <w:sz w:val="24"/>
          <w:szCs w:val="24"/>
          <w:lang w:val="uk-UA"/>
        </w:rPr>
        <w:t>Вимоги щодо формування договірної ціни:</w:t>
      </w:r>
    </w:p>
    <w:p w14:paraId="19F5ECCA"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Договірна ціна – тверда.</w:t>
      </w:r>
    </w:p>
    <w:p w14:paraId="0A89BF21"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Послуги, які є предметом цієї закупівлі, у розумінні Закону України "Про публічні закупівлі" є послугами (послуга з поточного ремонту) і до них застосовуються відповідні положення даного закону як до послуг.</w:t>
      </w:r>
    </w:p>
    <w:p w14:paraId="6175FBE0"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 xml:space="preserve">Учасник визначає ціни (із змінами та доповненнями) з урахуванням всіх видів та обсягів послуг, що повинні бути наданні. Ціна пропозиції повинна включати всі  витрати Учасника, зокрема сплату податків і зборів, що сплачуються або мають бути сплачені, вартість матеріалів, страхування, інші витрати. </w:t>
      </w:r>
    </w:p>
    <w:p w14:paraId="064CA4A2"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Використовувані матеріали і обладнання повинні відповідати кошторисній документації, державним стандартам і технічним умовам.</w:t>
      </w:r>
    </w:p>
    <w:p w14:paraId="45548FAD"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При складанні цінової пропозиції Учасник повинен керуватись розділом V «Визначення вартості об’єкта будівництва при складанні ціни пропозиції учасника процедури закупівлі (договірної ціни)» Настанови з визначення вартості будівництва затвердженої Наказом Міністерства розвитку громад та територій України 01 листопада 2021 року № 281.</w:t>
      </w:r>
    </w:p>
    <w:p w14:paraId="5818BBDC"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Під час виконання договору про закупівлю учасник зобов’язується дотримуватись передбачених чинним законодавством вимог щодо застосування заходів із захисту довкілля, в тому числі тих, що передбачені згідно Закону України «Про охорону навколишнього природного середовища», Закону України «Про відходи».</w:t>
      </w:r>
    </w:p>
    <w:p w14:paraId="47EBC2DC"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Виконавцем повинні використовувати тільки сертифіковані матеріали та вироби, погоджені із Замовником.</w:t>
      </w:r>
    </w:p>
    <w:p w14:paraId="3A9F46E4"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Учасник відповідає за одержання будь-яких та/або всіх необхідних дозволів, ліцензій на виконання робіт (надання послуг), сертифікатів на обладнання та матеріали, які будуть використовуватись при наданні послуг за Договором, та інших документів, пов’язаних із поданням пропозиції, та самостійно несе всі витрати на їх отримання.</w:t>
      </w:r>
    </w:p>
    <w:p w14:paraId="0B6F71EC"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color w:val="000000"/>
          <w:sz w:val="24"/>
          <w:szCs w:val="24"/>
          <w:lang w:val="uk-UA"/>
        </w:rPr>
      </w:pPr>
      <w:r w:rsidRPr="000A285A">
        <w:rPr>
          <w:rFonts w:ascii="Times New Roman" w:hAnsi="Times New Roman" w:cs="Times New Roman"/>
          <w:color w:val="000000"/>
          <w:sz w:val="24"/>
          <w:szCs w:val="24"/>
          <w:lang w:val="uk-UA"/>
        </w:rPr>
        <w:t xml:space="preserve">Ціна пропозиції Учасника процедури закупівлі (договірна ціна) повинна бути розрахована відповідно до КНУ «Настанова з визначення вартості будівництва», затверджена наказом Міністерства розвитку громад та територій України від 01 листопада 2021 року № 281 за діючими ресурсними елементними кошторисними нормами з показниками, рекомендованими </w:t>
      </w:r>
      <w:proofErr w:type="spellStart"/>
      <w:r w:rsidRPr="000A285A">
        <w:rPr>
          <w:rFonts w:ascii="Times New Roman" w:hAnsi="Times New Roman" w:cs="Times New Roman"/>
          <w:color w:val="000000"/>
          <w:sz w:val="24"/>
          <w:szCs w:val="24"/>
          <w:lang w:val="uk-UA"/>
        </w:rPr>
        <w:t>Мінрегіоном</w:t>
      </w:r>
      <w:proofErr w:type="spellEnd"/>
      <w:r w:rsidRPr="000A285A">
        <w:rPr>
          <w:rFonts w:ascii="Times New Roman" w:hAnsi="Times New Roman" w:cs="Times New Roman"/>
          <w:color w:val="000000"/>
          <w:sz w:val="24"/>
          <w:szCs w:val="24"/>
          <w:lang w:val="uk-UA"/>
        </w:rPr>
        <w:t xml:space="preserve"> для підприємств із бюджетним фінансуванням, з усіма змінами і доповненнями та іншими діючими нормативно-кошторисними документами.</w:t>
      </w:r>
    </w:p>
    <w:p w14:paraId="4D721D16"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Ціна за послугу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працівників, витратних матеріалів, необхідних для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14:paraId="2DD2B13B" w14:textId="77777777" w:rsidR="00C01432" w:rsidRPr="000A285A" w:rsidRDefault="00C01432" w:rsidP="00C01432">
      <w:pPr>
        <w:snapToGrid w:val="0"/>
        <w:ind w:firstLine="567"/>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Загальна вартість за договірною ціною має відповідати ціні пропозиції Учасника. Договірна ціна означає ціну, за яку Учасник згоден надати послуги відповідно до тендерної документації. Договірна ціна повинна включати вартість усіх видів і обсягів робіт, всіх матеріальних ресурсів, необхідних для їх виконання, з урахуванням послуг, що передбачаються до виконання субпідрядними організаціями, у разі їх залучення. До договірної ціни не включаються витрати, пов'язані з укладенням договору.</w:t>
      </w:r>
    </w:p>
    <w:p w14:paraId="06E5EEEB"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Відомість ресурсів до зведеного кошторисного розрахунку повинна бути з обґрунтуванням та посиланням на країну-виробника матеріальних ресурсів. Поточні ціни на матеріальні ресурси приймаються за обґрунтованими, найменшими (при всіх рівних характеристиках) цінами на підставі проведеного Учасником аналізу цін на ринку будівельних матеріалів в регіоні розташування об’єкту.</w:t>
      </w:r>
    </w:p>
    <w:p w14:paraId="3E0B4F9D" w14:textId="77777777" w:rsidR="00C01432" w:rsidRPr="000A285A" w:rsidRDefault="00C01432" w:rsidP="00C0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Не врахована Учасником вартість окремих послуг не сплачується Замовником окремо, а витрати на їх виконання вважаються врахованими у загальній ціні пропозиції. До розрахунку вартості пропозиції не включаються будь-які витрати, пов’язані з підготовкою та поданням пропозиції, понесені Учасником (в тому числі і у разі дискваліфікації). Всі можливі витрати Учасника сплачуються за рахунок його власних коштів та не відшкодовуються Замовником.</w:t>
      </w:r>
    </w:p>
    <w:p w14:paraId="52FA143F" w14:textId="77777777" w:rsidR="00C01432" w:rsidRPr="000A285A" w:rsidRDefault="00C01432" w:rsidP="00C01432">
      <w:pPr>
        <w:jc w:val="center"/>
        <w:rPr>
          <w:rFonts w:ascii="Times New Roman" w:hAnsi="Times New Roman" w:cs="Times New Roman"/>
          <w:b/>
          <w:caps/>
          <w:sz w:val="24"/>
          <w:szCs w:val="24"/>
          <w:lang w:val="uk-UA"/>
        </w:rPr>
      </w:pPr>
    </w:p>
    <w:p w14:paraId="5EE7A966" w14:textId="77777777" w:rsidR="00C01432" w:rsidRPr="000A285A" w:rsidRDefault="00C01432" w:rsidP="00C01432">
      <w:pPr>
        <w:jc w:val="center"/>
        <w:rPr>
          <w:rFonts w:ascii="Times New Roman" w:hAnsi="Times New Roman" w:cs="Times New Roman"/>
          <w:b/>
          <w:caps/>
          <w:sz w:val="24"/>
          <w:szCs w:val="24"/>
          <w:lang w:val="uk-UA"/>
        </w:rPr>
      </w:pPr>
      <w:r w:rsidRPr="000A285A">
        <w:rPr>
          <w:rFonts w:ascii="Times New Roman" w:hAnsi="Times New Roman" w:cs="Times New Roman"/>
          <w:b/>
          <w:caps/>
          <w:sz w:val="24"/>
          <w:szCs w:val="24"/>
          <w:lang w:val="uk-UA"/>
        </w:rPr>
        <w:t>Документи, що підтверджують технічні, якісні та кількісні характеристики ПРЕДМЕТА ЗАКУПІВЛІ:</w:t>
      </w:r>
    </w:p>
    <w:p w14:paraId="785A9933" w14:textId="77777777" w:rsidR="00C01432" w:rsidRPr="000A285A" w:rsidRDefault="00C01432" w:rsidP="00C01432">
      <w:pPr>
        <w:ind w:firstLine="426"/>
        <w:jc w:val="both"/>
        <w:rPr>
          <w:rFonts w:ascii="Times New Roman" w:hAnsi="Times New Roman" w:cs="Times New Roman"/>
          <w:sz w:val="24"/>
          <w:szCs w:val="24"/>
          <w:lang w:val="uk-UA" w:eastAsia="ru-RU"/>
        </w:rPr>
      </w:pPr>
      <w:r w:rsidRPr="000A285A">
        <w:rPr>
          <w:rFonts w:ascii="Times New Roman" w:hAnsi="Times New Roman" w:cs="Times New Roman"/>
          <w:sz w:val="24"/>
          <w:szCs w:val="24"/>
          <w:lang w:val="uk-UA"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14:paraId="46B42FFD" w14:textId="77777777" w:rsidR="00C01432" w:rsidRPr="000A285A" w:rsidRDefault="00C01432" w:rsidP="00C01432">
      <w:pPr>
        <w:pStyle w:val="a6"/>
        <w:numPr>
          <w:ilvl w:val="0"/>
          <w:numId w:val="15"/>
        </w:numPr>
        <w:spacing w:after="0" w:line="240" w:lineRule="auto"/>
        <w:ind w:left="993" w:hanging="284"/>
        <w:contextualSpacing w:val="0"/>
        <w:jc w:val="both"/>
        <w:rPr>
          <w:rFonts w:ascii="Times New Roman" w:hAnsi="Times New Roman" w:cs="Times New Roman"/>
          <w:i/>
          <w:caps/>
          <w:sz w:val="24"/>
          <w:szCs w:val="24"/>
          <w:lang w:val="uk-UA" w:eastAsia="zh-CN"/>
        </w:rPr>
      </w:pPr>
      <w:r w:rsidRPr="000A285A">
        <w:rPr>
          <w:rFonts w:ascii="Times New Roman" w:hAnsi="Times New Roman" w:cs="Times New Roman"/>
          <w:sz w:val="24"/>
          <w:szCs w:val="24"/>
          <w:lang w:val="uk-UA"/>
        </w:rPr>
        <w:t>Довідка (форма довільна) щодо можливості надання послуг згідно з вимогами.</w:t>
      </w:r>
    </w:p>
    <w:p w14:paraId="09A1DD7F" w14:textId="77777777" w:rsidR="00C01432" w:rsidRPr="000A285A" w:rsidRDefault="00C01432" w:rsidP="00C01432">
      <w:pPr>
        <w:spacing w:after="0" w:line="240" w:lineRule="auto"/>
        <w:ind w:left="-426"/>
        <w:jc w:val="both"/>
        <w:rPr>
          <w:rFonts w:ascii="Times New Roman" w:hAnsi="Times New Roman" w:cs="Times New Roman"/>
          <w:bCs/>
          <w:i/>
          <w:iCs/>
          <w:sz w:val="24"/>
          <w:szCs w:val="24"/>
          <w:lang w:val="uk-UA" w:eastAsia="ru-RU"/>
        </w:rPr>
      </w:pPr>
      <w:r w:rsidRPr="000A285A">
        <w:rPr>
          <w:rFonts w:ascii="Times New Roman" w:hAnsi="Times New Roman" w:cs="Times New Roman"/>
          <w:sz w:val="24"/>
          <w:szCs w:val="24"/>
          <w:lang w:val="uk-UA"/>
        </w:rPr>
        <w:t xml:space="preserve">     </w:t>
      </w:r>
    </w:p>
    <w:p w14:paraId="21BB09C9" w14:textId="77777777" w:rsidR="00C01432" w:rsidRPr="000A285A" w:rsidRDefault="00C01432" w:rsidP="00C01432">
      <w:pPr>
        <w:numPr>
          <w:ilvl w:val="0"/>
          <w:numId w:val="13"/>
        </w:numPr>
        <w:tabs>
          <w:tab w:val="left" w:pos="993"/>
        </w:tabs>
        <w:spacing w:after="0" w:line="240" w:lineRule="auto"/>
        <w:ind w:left="0" w:firstLine="709"/>
        <w:jc w:val="both"/>
        <w:rPr>
          <w:rFonts w:ascii="Times New Roman" w:hAnsi="Times New Roman" w:cs="Times New Roman"/>
          <w:sz w:val="24"/>
          <w:szCs w:val="24"/>
          <w:lang w:val="uk-UA" w:eastAsia="ru-RU"/>
        </w:rPr>
      </w:pPr>
      <w:r w:rsidRPr="000A285A">
        <w:rPr>
          <w:rFonts w:ascii="Times New Roman" w:hAnsi="Times New Roman" w:cs="Times New Roman"/>
          <w:sz w:val="24"/>
          <w:szCs w:val="24"/>
          <w:lang w:val="uk-UA" w:eastAsia="ru-RU"/>
        </w:rPr>
        <w:t>Довідка у довільній формі щодо дотримання вимог чинного законодавства із захисту довкілля, у якій зазначається застосування Учасником заходів із захисту довкілля, передбачених чинним законодавством України про відходи, пов’язаних з відходами, що утворюються у процесі виробництва предмета закупівлі.</w:t>
      </w:r>
    </w:p>
    <w:p w14:paraId="1F7323C9" w14:textId="77777777" w:rsidR="00C01432" w:rsidRPr="000A285A" w:rsidRDefault="00C01432" w:rsidP="00C01432">
      <w:pPr>
        <w:spacing w:after="0" w:line="240" w:lineRule="auto"/>
        <w:ind w:left="709"/>
        <w:jc w:val="both"/>
        <w:rPr>
          <w:rFonts w:ascii="Times New Roman" w:hAnsi="Times New Roman" w:cs="Times New Roman"/>
          <w:sz w:val="24"/>
          <w:szCs w:val="24"/>
          <w:lang w:val="uk-UA" w:eastAsia="ru-RU"/>
        </w:rPr>
      </w:pPr>
    </w:p>
    <w:p w14:paraId="1F309F9A" w14:textId="77777777" w:rsidR="00C01432" w:rsidRPr="000A285A" w:rsidRDefault="00C01432" w:rsidP="00C01432">
      <w:pPr>
        <w:numPr>
          <w:ilvl w:val="0"/>
          <w:numId w:val="13"/>
        </w:numPr>
        <w:tabs>
          <w:tab w:val="left" w:pos="993"/>
        </w:tabs>
        <w:spacing w:after="0" w:line="240" w:lineRule="auto"/>
        <w:ind w:left="0" w:firstLine="709"/>
        <w:jc w:val="both"/>
        <w:rPr>
          <w:rFonts w:ascii="Times New Roman" w:hAnsi="Times New Roman" w:cs="Times New Roman"/>
          <w:sz w:val="24"/>
          <w:szCs w:val="24"/>
          <w:lang w:val="uk-UA" w:eastAsia="ru-RU"/>
        </w:rPr>
      </w:pPr>
      <w:r w:rsidRPr="000A285A">
        <w:rPr>
          <w:rFonts w:ascii="Times New Roman" w:hAnsi="Times New Roman" w:cs="Times New Roman"/>
          <w:sz w:val="24"/>
          <w:szCs w:val="24"/>
          <w:lang w:val="uk-UA" w:eastAsia="ru-RU"/>
        </w:rPr>
        <w:t xml:space="preserve">Ліцензія Учасника на ведення господарської діяльності з будівництва та ремонту об’єктів, або документ (наказ державного органу) про видачу такої ліцензії з посиланням на відповідні дані в електронному реєстрі ліцензій) надається Учасником у складі його пропозиції, </w:t>
      </w:r>
      <w:r w:rsidRPr="000A285A">
        <w:rPr>
          <w:rFonts w:ascii="Times New Roman" w:hAnsi="Times New Roman" w:cs="Times New Roman"/>
          <w:sz w:val="24"/>
          <w:szCs w:val="24"/>
          <w:u w:val="single"/>
          <w:lang w:val="uk-UA" w:eastAsia="ru-RU"/>
        </w:rPr>
        <w:t>якщо таке вимагається чинним законодавством України</w:t>
      </w:r>
      <w:r w:rsidRPr="000A285A">
        <w:rPr>
          <w:rFonts w:ascii="Times New Roman" w:hAnsi="Times New Roman" w:cs="Times New Roman"/>
          <w:sz w:val="24"/>
          <w:szCs w:val="24"/>
          <w:lang w:val="uk-UA" w:eastAsia="ru-RU"/>
        </w:rPr>
        <w:t xml:space="preserve">. </w:t>
      </w:r>
    </w:p>
    <w:p w14:paraId="276798A9" w14:textId="77777777" w:rsidR="00C01432" w:rsidRPr="000A285A" w:rsidRDefault="00C01432" w:rsidP="00C01432">
      <w:pPr>
        <w:tabs>
          <w:tab w:val="left" w:pos="993"/>
        </w:tabs>
        <w:spacing w:after="0" w:line="240" w:lineRule="auto"/>
        <w:ind w:left="709"/>
        <w:jc w:val="both"/>
        <w:rPr>
          <w:rFonts w:ascii="Times New Roman" w:hAnsi="Times New Roman" w:cs="Times New Roman"/>
          <w:sz w:val="24"/>
          <w:szCs w:val="24"/>
          <w:lang w:val="uk-UA" w:eastAsia="ru-RU"/>
        </w:rPr>
      </w:pPr>
    </w:p>
    <w:p w14:paraId="4C584A55" w14:textId="77777777" w:rsidR="00C01432" w:rsidRPr="000A285A" w:rsidRDefault="00C01432" w:rsidP="00C01432">
      <w:pPr>
        <w:numPr>
          <w:ilvl w:val="0"/>
          <w:numId w:val="13"/>
        </w:numPr>
        <w:tabs>
          <w:tab w:val="left" w:pos="851"/>
        </w:tabs>
        <w:spacing w:after="120" w:line="240" w:lineRule="auto"/>
        <w:ind w:left="0" w:firstLine="709"/>
        <w:jc w:val="both"/>
        <w:rPr>
          <w:rFonts w:ascii="Times New Roman" w:hAnsi="Times New Roman" w:cs="Times New Roman"/>
          <w:sz w:val="24"/>
          <w:szCs w:val="24"/>
          <w:lang w:val="uk-UA" w:eastAsia="ru-RU"/>
        </w:rPr>
      </w:pPr>
      <w:r w:rsidRPr="000A285A">
        <w:rPr>
          <w:rFonts w:ascii="Times New Roman" w:hAnsi="Times New Roman" w:cs="Times New Roman"/>
          <w:sz w:val="24"/>
          <w:szCs w:val="24"/>
          <w:lang w:val="uk-UA" w:eastAsia="ru-RU"/>
        </w:rPr>
        <w:t>Інформація про необхідні технічні, якісні та кількісні характеристики предмета закупівлі (технічне завдання), а саме: згода з умовами та вимогами, які визначені у технічних, якісних та інших характеристиках предмета закупівлі та гарантування їх виконання у вигляді підписаних вказаних технічних вимог.</w:t>
      </w:r>
    </w:p>
    <w:p w14:paraId="72288EE5" w14:textId="77777777" w:rsidR="00C01432" w:rsidRPr="000A285A" w:rsidRDefault="00C01432" w:rsidP="00C01432">
      <w:pPr>
        <w:numPr>
          <w:ilvl w:val="0"/>
          <w:numId w:val="13"/>
        </w:numPr>
        <w:tabs>
          <w:tab w:val="left" w:pos="452"/>
          <w:tab w:val="left" w:pos="993"/>
        </w:tabs>
        <w:spacing w:after="120" w:line="240" w:lineRule="auto"/>
        <w:ind w:left="0" w:firstLine="709"/>
        <w:jc w:val="both"/>
        <w:rPr>
          <w:rFonts w:ascii="Times New Roman" w:hAnsi="Times New Roman" w:cs="Times New Roman"/>
          <w:sz w:val="24"/>
          <w:szCs w:val="24"/>
          <w:lang w:val="uk-UA" w:eastAsia="ru-RU"/>
        </w:rPr>
      </w:pPr>
      <w:r w:rsidRPr="000A285A">
        <w:rPr>
          <w:rFonts w:ascii="Times New Roman" w:hAnsi="Times New Roman" w:cs="Times New Roman"/>
          <w:bCs/>
          <w:spacing w:val="-3"/>
          <w:sz w:val="24"/>
          <w:szCs w:val="24"/>
          <w:lang w:val="uk-UA"/>
        </w:rPr>
        <w:t xml:space="preserve">Кошторисна документація </w:t>
      </w:r>
      <w:r w:rsidRPr="000A285A">
        <w:rPr>
          <w:rFonts w:ascii="Times New Roman" w:eastAsia="Arial" w:hAnsi="Times New Roman" w:cs="Times New Roman"/>
          <w:sz w:val="24"/>
          <w:szCs w:val="24"/>
          <w:lang w:val="uk-UA" w:eastAsia="ru-RU"/>
        </w:rPr>
        <w:t xml:space="preserve">розрахована у </w:t>
      </w:r>
      <w:r w:rsidRPr="000A285A">
        <w:rPr>
          <w:rFonts w:ascii="Times New Roman" w:hAnsi="Times New Roman" w:cs="Times New Roman"/>
          <w:sz w:val="24"/>
          <w:szCs w:val="24"/>
          <w:lang w:val="uk-UA"/>
        </w:rPr>
        <w:t>програмних комплексів ІВК або АВК або у файлах програмних комплексів, які взаємодіють між собою в частині кошторисної документації та розрахунків договірних цін -</w:t>
      </w:r>
      <w:r w:rsidRPr="000A285A">
        <w:rPr>
          <w:rFonts w:ascii="Times New Roman" w:hAnsi="Times New Roman" w:cs="Times New Roman"/>
          <w:bCs/>
          <w:spacing w:val="-3"/>
          <w:sz w:val="24"/>
          <w:szCs w:val="24"/>
          <w:lang w:val="uk-UA"/>
        </w:rPr>
        <w:t xml:space="preserve"> у форматі PDF та в електронному вигляді</w:t>
      </w:r>
      <w:r w:rsidRPr="000A285A">
        <w:rPr>
          <w:rFonts w:ascii="Times New Roman" w:hAnsi="Times New Roman" w:cs="Times New Roman"/>
          <w:sz w:val="24"/>
          <w:szCs w:val="24"/>
          <w:lang w:val="uk-UA" w:eastAsia="ru-RU"/>
        </w:rPr>
        <w:t>.</w:t>
      </w:r>
    </w:p>
    <w:p w14:paraId="18FED63D" w14:textId="77777777" w:rsidR="00C01432" w:rsidRPr="000A285A" w:rsidRDefault="00C01432" w:rsidP="00C01432">
      <w:pPr>
        <w:widowControl w:val="0"/>
        <w:tabs>
          <w:tab w:val="left" w:pos="993"/>
          <w:tab w:val="left" w:pos="1276"/>
        </w:tabs>
        <w:autoSpaceDE w:val="0"/>
        <w:autoSpaceDN w:val="0"/>
        <w:adjustRightInd w:val="0"/>
        <w:spacing w:after="0"/>
        <w:ind w:firstLine="709"/>
        <w:jc w:val="both"/>
        <w:rPr>
          <w:rFonts w:ascii="Times New Roman" w:hAnsi="Times New Roman" w:cs="Times New Roman"/>
          <w:bCs/>
          <w:i/>
          <w:spacing w:val="-3"/>
          <w:sz w:val="24"/>
          <w:szCs w:val="24"/>
          <w:lang w:val="uk-UA"/>
        </w:rPr>
      </w:pPr>
      <w:r w:rsidRPr="000A285A">
        <w:rPr>
          <w:rFonts w:ascii="Times New Roman" w:hAnsi="Times New Roman" w:cs="Times New Roman"/>
          <w:bCs/>
          <w:i/>
          <w:spacing w:val="-3"/>
          <w:sz w:val="24"/>
          <w:szCs w:val="24"/>
          <w:lang w:val="uk-UA"/>
        </w:rPr>
        <w:t>В складі кошторисної документації надається:</w:t>
      </w:r>
    </w:p>
    <w:p w14:paraId="036D9D22" w14:textId="77777777" w:rsidR="00C01432" w:rsidRPr="000A285A" w:rsidRDefault="00C01432" w:rsidP="00C0143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0A285A">
        <w:rPr>
          <w:rFonts w:ascii="Times New Roman" w:hAnsi="Times New Roman" w:cs="Times New Roman"/>
          <w:bCs/>
          <w:i/>
          <w:color w:val="000000"/>
          <w:spacing w:val="-3"/>
          <w:sz w:val="24"/>
          <w:szCs w:val="24"/>
          <w:lang w:val="uk-UA"/>
        </w:rPr>
        <w:t>договірна ціна ;</w:t>
      </w:r>
    </w:p>
    <w:p w14:paraId="1F31D2F5" w14:textId="77777777" w:rsidR="00C01432" w:rsidRPr="000A285A" w:rsidRDefault="00C01432" w:rsidP="00C0143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0A285A">
        <w:rPr>
          <w:rFonts w:ascii="Times New Roman" w:hAnsi="Times New Roman" w:cs="Times New Roman"/>
          <w:bCs/>
          <w:i/>
          <w:color w:val="000000"/>
          <w:spacing w:val="-3"/>
          <w:sz w:val="24"/>
          <w:szCs w:val="24"/>
          <w:lang w:val="uk-UA"/>
        </w:rPr>
        <w:t>локальний кошторисний розрахунок;</w:t>
      </w:r>
    </w:p>
    <w:p w14:paraId="5576BDEB" w14:textId="77777777" w:rsidR="00C01432" w:rsidRPr="000A285A" w:rsidRDefault="00C01432" w:rsidP="00C0143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0A285A">
        <w:rPr>
          <w:rFonts w:ascii="Times New Roman" w:hAnsi="Times New Roman" w:cs="Times New Roman"/>
          <w:bCs/>
          <w:i/>
          <w:color w:val="000000"/>
          <w:spacing w:val="-3"/>
          <w:sz w:val="24"/>
          <w:szCs w:val="24"/>
          <w:lang w:val="uk-UA"/>
        </w:rPr>
        <w:t>відомість ресурсів;</w:t>
      </w:r>
    </w:p>
    <w:p w14:paraId="4760D40F" w14:textId="77777777" w:rsidR="00C01432" w:rsidRPr="000A285A" w:rsidRDefault="00C01432" w:rsidP="00C01432">
      <w:pPr>
        <w:widowControl w:val="0"/>
        <w:numPr>
          <w:ilvl w:val="0"/>
          <w:numId w:val="14"/>
        </w:numPr>
        <w:tabs>
          <w:tab w:val="left" w:pos="709"/>
          <w:tab w:val="left" w:pos="993"/>
          <w:tab w:val="left" w:pos="1560"/>
        </w:tabs>
        <w:autoSpaceDE w:val="0"/>
        <w:autoSpaceDN w:val="0"/>
        <w:adjustRightInd w:val="0"/>
        <w:spacing w:after="0" w:line="240" w:lineRule="auto"/>
        <w:ind w:left="0" w:firstLine="709"/>
        <w:jc w:val="both"/>
        <w:rPr>
          <w:rFonts w:ascii="Times New Roman" w:hAnsi="Times New Roman" w:cs="Times New Roman"/>
          <w:bCs/>
          <w:i/>
          <w:color w:val="000000"/>
          <w:spacing w:val="-3"/>
          <w:sz w:val="24"/>
          <w:szCs w:val="24"/>
          <w:lang w:val="uk-UA"/>
        </w:rPr>
      </w:pPr>
      <w:r w:rsidRPr="000A285A">
        <w:rPr>
          <w:rFonts w:ascii="Times New Roman" w:hAnsi="Times New Roman" w:cs="Times New Roman"/>
          <w:bCs/>
          <w:i/>
          <w:color w:val="000000"/>
          <w:spacing w:val="-3"/>
          <w:sz w:val="24"/>
          <w:szCs w:val="24"/>
          <w:lang w:val="uk-UA"/>
        </w:rPr>
        <w:t>дефектний акт.</w:t>
      </w:r>
    </w:p>
    <w:p w14:paraId="68B42EAB" w14:textId="77777777" w:rsidR="00C01432" w:rsidRPr="000A285A" w:rsidRDefault="00C01432" w:rsidP="00C01432">
      <w:pPr>
        <w:widowControl w:val="0"/>
        <w:tabs>
          <w:tab w:val="left" w:pos="993"/>
        </w:tabs>
        <w:autoSpaceDE w:val="0"/>
        <w:autoSpaceDN w:val="0"/>
        <w:adjustRightInd w:val="0"/>
        <w:spacing w:after="120"/>
        <w:ind w:firstLine="709"/>
        <w:jc w:val="both"/>
        <w:rPr>
          <w:rFonts w:ascii="Times New Roman" w:hAnsi="Times New Roman" w:cs="Times New Roman"/>
          <w:bCs/>
          <w:i/>
          <w:spacing w:val="-3"/>
          <w:sz w:val="24"/>
          <w:szCs w:val="24"/>
          <w:lang w:val="uk-UA"/>
        </w:rPr>
      </w:pPr>
      <w:r w:rsidRPr="000A285A">
        <w:rPr>
          <w:rFonts w:ascii="Times New Roman" w:hAnsi="Times New Roman" w:cs="Times New Roman"/>
          <w:bCs/>
          <w:i/>
          <w:spacing w:val="-3"/>
          <w:sz w:val="24"/>
          <w:szCs w:val="24"/>
          <w:lang w:val="uk-UA"/>
        </w:rPr>
        <w:t>Розрахунок прибутку, загальновиробничих витрат, адміністративних витрат, заробітної плати робітників здійснюється відповідно до кошторисних норм України «Настанова з визначення вартості будівництва», затверджених наказом Міністерства розвитку громад та територій України від 01.11.2021 № 281 «Про затвердження кошторисних норм України у будівництві» (зі змінами).</w:t>
      </w:r>
    </w:p>
    <w:p w14:paraId="636F538D" w14:textId="77777777" w:rsidR="00C01432" w:rsidRPr="000A285A" w:rsidRDefault="00C01432" w:rsidP="00C01432">
      <w:pPr>
        <w:widowControl w:val="0"/>
        <w:tabs>
          <w:tab w:val="left" w:pos="993"/>
        </w:tabs>
        <w:autoSpaceDE w:val="0"/>
        <w:autoSpaceDN w:val="0"/>
        <w:adjustRightInd w:val="0"/>
        <w:spacing w:after="120"/>
        <w:ind w:firstLine="709"/>
        <w:jc w:val="both"/>
        <w:rPr>
          <w:rFonts w:ascii="Times New Roman" w:hAnsi="Times New Roman" w:cs="Times New Roman"/>
          <w:bCs/>
          <w:i/>
          <w:spacing w:val="-3"/>
          <w:sz w:val="24"/>
          <w:szCs w:val="24"/>
          <w:lang w:val="uk-UA"/>
        </w:rPr>
      </w:pPr>
      <w:r w:rsidRPr="000A285A">
        <w:rPr>
          <w:rFonts w:ascii="Times New Roman" w:hAnsi="Times New Roman" w:cs="Times New Roman"/>
          <w:bCs/>
          <w:i/>
          <w:spacing w:val="-3"/>
          <w:sz w:val="24"/>
          <w:szCs w:val="24"/>
          <w:lang w:val="uk-UA"/>
        </w:rPr>
        <w:t xml:space="preserve">Такі ресурси, як електроенергія та вода – виключати із кошторисного розрахунку. </w:t>
      </w:r>
    </w:p>
    <w:p w14:paraId="40E5249C" w14:textId="77777777" w:rsidR="00C01432" w:rsidRPr="000A285A" w:rsidRDefault="00C01432" w:rsidP="00C01432">
      <w:pPr>
        <w:widowControl w:val="0"/>
        <w:tabs>
          <w:tab w:val="left" w:pos="993"/>
        </w:tabs>
        <w:autoSpaceDE w:val="0"/>
        <w:autoSpaceDN w:val="0"/>
        <w:adjustRightInd w:val="0"/>
        <w:spacing w:after="120"/>
        <w:ind w:firstLine="709"/>
        <w:jc w:val="both"/>
        <w:rPr>
          <w:rFonts w:ascii="Times New Roman" w:hAnsi="Times New Roman" w:cs="Times New Roman"/>
          <w:bCs/>
          <w:i/>
          <w:spacing w:val="-3"/>
          <w:sz w:val="24"/>
          <w:szCs w:val="24"/>
          <w:lang w:val="uk-UA"/>
        </w:rPr>
      </w:pPr>
      <w:r w:rsidRPr="000A285A">
        <w:rPr>
          <w:rFonts w:ascii="Times New Roman" w:eastAsia="Arial" w:hAnsi="Times New Roman" w:cs="Times New Roman"/>
          <w:bCs/>
          <w:i/>
          <w:iCs/>
          <w:sz w:val="24"/>
          <w:szCs w:val="24"/>
          <w:lang w:val="uk-UA"/>
        </w:rPr>
        <w:t>При розрахунку кошторисної вартості необхідно врахувати всі супутні роботи, згідно з технологічним процесом надання вказаної послуги</w:t>
      </w:r>
      <w:r w:rsidRPr="000A285A">
        <w:rPr>
          <w:rFonts w:ascii="Times New Roman" w:hAnsi="Times New Roman" w:cs="Times New Roman"/>
          <w:bCs/>
          <w:i/>
          <w:spacing w:val="-3"/>
          <w:sz w:val="24"/>
          <w:szCs w:val="24"/>
          <w:lang w:val="uk-UA"/>
        </w:rPr>
        <w:t>.</w:t>
      </w:r>
    </w:p>
    <w:p w14:paraId="31BA4D17" w14:textId="77777777" w:rsidR="00C01432" w:rsidRPr="000A285A" w:rsidRDefault="00C01432" w:rsidP="00C01432">
      <w:pPr>
        <w:spacing w:after="120"/>
        <w:ind w:firstLine="709"/>
        <w:jc w:val="both"/>
        <w:rPr>
          <w:rFonts w:ascii="Times New Roman" w:hAnsi="Times New Roman" w:cs="Times New Roman"/>
          <w:sz w:val="24"/>
          <w:szCs w:val="24"/>
          <w:lang w:val="uk-UA"/>
        </w:rPr>
      </w:pPr>
      <w:r w:rsidRPr="000A285A">
        <w:rPr>
          <w:rFonts w:ascii="Times New Roman" w:hAnsi="Times New Roman" w:cs="Times New Roman"/>
          <w:sz w:val="24"/>
          <w:szCs w:val="24"/>
          <w:lang w:val="uk-UA"/>
        </w:rPr>
        <w:t xml:space="preserve">При наданні послуг весь товар (матеріали для надання послуг) повинен бути новим, таким, що не перебував у експлуатації, терміни та умови його зберігання не порушені. </w:t>
      </w:r>
      <w:r w:rsidRPr="000A285A">
        <w:rPr>
          <w:rFonts w:ascii="Times New Roman" w:hAnsi="Times New Roman" w:cs="Times New Roman"/>
          <w:b/>
          <w:bCs/>
          <w:sz w:val="24"/>
          <w:szCs w:val="24"/>
          <w:lang w:val="uk-UA"/>
        </w:rPr>
        <w:t xml:space="preserve">ВАЖЛИВО! </w:t>
      </w:r>
      <w:r w:rsidRPr="000A285A">
        <w:rPr>
          <w:rFonts w:ascii="Times New Roman" w:hAnsi="Times New Roman" w:cs="Times New Roman"/>
          <w:sz w:val="24"/>
          <w:szCs w:val="24"/>
          <w:lang w:val="uk-UA"/>
        </w:rPr>
        <w:t>При наданні послуг не приймаються пропозиції на товар (матеріали для надання послуг), який виготовлений в країні(ах) до якої(</w:t>
      </w:r>
      <w:proofErr w:type="spellStart"/>
      <w:r w:rsidRPr="000A285A">
        <w:rPr>
          <w:rFonts w:ascii="Times New Roman" w:hAnsi="Times New Roman" w:cs="Times New Roman"/>
          <w:sz w:val="24"/>
          <w:szCs w:val="24"/>
          <w:lang w:val="uk-UA"/>
        </w:rPr>
        <w:t>их</w:t>
      </w:r>
      <w:proofErr w:type="spellEnd"/>
      <w:r w:rsidRPr="000A285A">
        <w:rPr>
          <w:rFonts w:ascii="Times New Roman" w:hAnsi="Times New Roman" w:cs="Times New Roman"/>
          <w:sz w:val="24"/>
          <w:szCs w:val="24"/>
          <w:lang w:val="uk-UA"/>
        </w:rPr>
        <w:t>) застосовуються санкції (</w:t>
      </w:r>
      <w:r w:rsidRPr="000A285A">
        <w:rPr>
          <w:rFonts w:ascii="Times New Roman" w:hAnsi="Times New Roman" w:cs="Times New Roman"/>
          <w:sz w:val="24"/>
          <w:szCs w:val="24"/>
          <w:shd w:val="clear" w:color="auto" w:fill="FFFFFF"/>
          <w:lang w:val="uk-UA"/>
        </w:rPr>
        <w:t>персональні спеціальні економічні та інші обмежувальні заходи</w:t>
      </w:r>
      <w:r w:rsidRPr="000A285A">
        <w:rPr>
          <w:rFonts w:ascii="Times New Roman" w:hAnsi="Times New Roman" w:cs="Times New Roman"/>
          <w:sz w:val="24"/>
          <w:szCs w:val="24"/>
          <w:lang w:val="uk-UA"/>
        </w:rPr>
        <w:t>).</w:t>
      </w:r>
    </w:p>
    <w:p w14:paraId="7785D816" w14:textId="77777777" w:rsidR="00C01432" w:rsidRPr="000A285A" w:rsidRDefault="00C01432" w:rsidP="00C01432">
      <w:pPr>
        <w:rPr>
          <w:rFonts w:ascii="Times New Roman" w:hAnsi="Times New Roman" w:cs="Times New Roman"/>
          <w:sz w:val="24"/>
          <w:szCs w:val="24"/>
          <w:lang w:val="uk-UA"/>
        </w:rPr>
      </w:pPr>
    </w:p>
    <w:p w14:paraId="64BFB342" w14:textId="77777777" w:rsidR="00C01432" w:rsidRPr="000A285A" w:rsidRDefault="00C01432" w:rsidP="00C01432">
      <w:pPr>
        <w:rPr>
          <w:rFonts w:ascii="Times New Roman" w:hAnsi="Times New Roman" w:cs="Times New Roman"/>
          <w:sz w:val="24"/>
          <w:szCs w:val="24"/>
          <w:lang w:val="uk-UA"/>
        </w:rPr>
      </w:pPr>
    </w:p>
    <w:p w14:paraId="0DF2EA11" w14:textId="77777777" w:rsidR="00E30289" w:rsidRPr="000A285A" w:rsidRDefault="00E30289" w:rsidP="0019202F">
      <w:pPr>
        <w:pStyle w:val="a3"/>
        <w:shd w:val="clear" w:color="auto" w:fill="FFFFFF"/>
        <w:spacing w:before="0" w:beforeAutospacing="0" w:after="150" w:afterAutospacing="0"/>
        <w:jc w:val="both"/>
        <w:rPr>
          <w:highlight w:val="yellow"/>
          <w:lang w:val="uk-UA"/>
        </w:rPr>
      </w:pPr>
    </w:p>
    <w:sectPr w:rsidR="00E30289" w:rsidRPr="000A285A" w:rsidSect="00B00370">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0D3E32C1"/>
    <w:multiLevelType w:val="hybridMultilevel"/>
    <w:tmpl w:val="F10E2C0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10251068"/>
    <w:multiLevelType w:val="hybridMultilevel"/>
    <w:tmpl w:val="227E8E5E"/>
    <w:lvl w:ilvl="0" w:tplc="2CD2EDD2">
      <w:start w:val="6"/>
      <w:numFmt w:val="bullet"/>
      <w:lvlText w:val="-"/>
      <w:lvlJc w:val="left"/>
      <w:pPr>
        <w:ind w:left="1287" w:hanging="360"/>
      </w:pPr>
      <w:rPr>
        <w:rFonts w:ascii="Times New Roman CYR" w:eastAsia="Times New Roman" w:hAnsi="Times New Roman CYR" w:cs="Times New Roman CYR" w:hint="default"/>
        <w:b/>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11FA62FB"/>
    <w:multiLevelType w:val="hybridMultilevel"/>
    <w:tmpl w:val="E40E92BE"/>
    <w:lvl w:ilvl="0" w:tplc="04190001">
      <w:start w:val="1"/>
      <w:numFmt w:val="bullet"/>
      <w:lvlText w:val=""/>
      <w:lvlJc w:val="left"/>
      <w:pPr>
        <w:ind w:left="2345" w:hanging="360"/>
      </w:pPr>
      <w:rPr>
        <w:rFonts w:ascii="Symbol" w:hAnsi="Symbol"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6"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1C4E4A"/>
    <w:multiLevelType w:val="hybridMultilevel"/>
    <w:tmpl w:val="6F92C89E"/>
    <w:lvl w:ilvl="0" w:tplc="04190001">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8"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10"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2"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72635064">
    <w:abstractNumId w:val="2"/>
  </w:num>
  <w:num w:numId="2" w16cid:durableId="10738208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4996268">
    <w:abstractNumId w:val="9"/>
  </w:num>
  <w:num w:numId="4" w16cid:durableId="1953591269">
    <w:abstractNumId w:val="0"/>
  </w:num>
  <w:num w:numId="5" w16cid:durableId="1570261520">
    <w:abstractNumId w:val="11"/>
  </w:num>
  <w:num w:numId="6" w16cid:durableId="1649046319">
    <w:abstractNumId w:val="10"/>
  </w:num>
  <w:num w:numId="7" w16cid:durableId="282003452">
    <w:abstractNumId w:val="6"/>
  </w:num>
  <w:num w:numId="8" w16cid:durableId="489638757">
    <w:abstractNumId w:val="1"/>
  </w:num>
  <w:num w:numId="9" w16cid:durableId="1881505674">
    <w:abstractNumId w:val="12"/>
  </w:num>
  <w:num w:numId="10" w16cid:durableId="1326939326">
    <w:abstractNumId w:val="14"/>
  </w:num>
  <w:num w:numId="11" w16cid:durableId="835537344">
    <w:abstractNumId w:val="13"/>
  </w:num>
  <w:num w:numId="12" w16cid:durableId="1441027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5783072">
    <w:abstractNumId w:val="5"/>
  </w:num>
  <w:num w:numId="14" w16cid:durableId="1905525517">
    <w:abstractNumId w:val="4"/>
  </w:num>
  <w:num w:numId="15" w16cid:durableId="4652725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57921"/>
    <w:rsid w:val="000A285A"/>
    <w:rsid w:val="00125648"/>
    <w:rsid w:val="0019202F"/>
    <w:rsid w:val="001C2019"/>
    <w:rsid w:val="00204662"/>
    <w:rsid w:val="00226BE5"/>
    <w:rsid w:val="00233AAC"/>
    <w:rsid w:val="002C31E4"/>
    <w:rsid w:val="00313B4D"/>
    <w:rsid w:val="003166F1"/>
    <w:rsid w:val="003506E8"/>
    <w:rsid w:val="003937D6"/>
    <w:rsid w:val="00405C9D"/>
    <w:rsid w:val="004810EC"/>
    <w:rsid w:val="00497023"/>
    <w:rsid w:val="004E7510"/>
    <w:rsid w:val="0050435E"/>
    <w:rsid w:val="00515314"/>
    <w:rsid w:val="00516236"/>
    <w:rsid w:val="00516AFB"/>
    <w:rsid w:val="00526FCD"/>
    <w:rsid w:val="00554A12"/>
    <w:rsid w:val="005650CE"/>
    <w:rsid w:val="005B233C"/>
    <w:rsid w:val="005F03A7"/>
    <w:rsid w:val="00601EA8"/>
    <w:rsid w:val="006077E7"/>
    <w:rsid w:val="006C3F7D"/>
    <w:rsid w:val="006D2D73"/>
    <w:rsid w:val="006E5204"/>
    <w:rsid w:val="006E740A"/>
    <w:rsid w:val="00710F11"/>
    <w:rsid w:val="0075788B"/>
    <w:rsid w:val="00762AF2"/>
    <w:rsid w:val="0076537A"/>
    <w:rsid w:val="0080103E"/>
    <w:rsid w:val="00876ADF"/>
    <w:rsid w:val="00877FB7"/>
    <w:rsid w:val="0091696C"/>
    <w:rsid w:val="009274EA"/>
    <w:rsid w:val="00975A46"/>
    <w:rsid w:val="009B2646"/>
    <w:rsid w:val="009D001E"/>
    <w:rsid w:val="00A01D60"/>
    <w:rsid w:val="00A11F09"/>
    <w:rsid w:val="00A979E9"/>
    <w:rsid w:val="00AE3C2F"/>
    <w:rsid w:val="00AE5FFA"/>
    <w:rsid w:val="00B00370"/>
    <w:rsid w:val="00B0448D"/>
    <w:rsid w:val="00B81EB5"/>
    <w:rsid w:val="00BB35D4"/>
    <w:rsid w:val="00BC1A4F"/>
    <w:rsid w:val="00BF2139"/>
    <w:rsid w:val="00C01432"/>
    <w:rsid w:val="00C44CB7"/>
    <w:rsid w:val="00C74A62"/>
    <w:rsid w:val="00C75AA9"/>
    <w:rsid w:val="00C9290B"/>
    <w:rsid w:val="00CB2493"/>
    <w:rsid w:val="00CE5D33"/>
    <w:rsid w:val="00D07778"/>
    <w:rsid w:val="00D13DC5"/>
    <w:rsid w:val="00D23799"/>
    <w:rsid w:val="00D340AE"/>
    <w:rsid w:val="00D37132"/>
    <w:rsid w:val="00D8051A"/>
    <w:rsid w:val="00DF6BD7"/>
    <w:rsid w:val="00E101F0"/>
    <w:rsid w:val="00E24CE3"/>
    <w:rsid w:val="00E30289"/>
    <w:rsid w:val="00E34DE2"/>
    <w:rsid w:val="00E46AC5"/>
    <w:rsid w:val="00F04E81"/>
    <w:rsid w:val="00F06D98"/>
    <w:rsid w:val="00F14FD5"/>
    <w:rsid w:val="00F77E49"/>
    <w:rsid w:val="00FB0761"/>
    <w:rsid w:val="00FB521F"/>
    <w:rsid w:val="00FF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3EA6"/>
  <w15:docId w15:val="{7DB775C6-0E66-46BD-A934-C073797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AC List 01,EBRD List,CA bullets,Number Bullets,Chapter10,List Paragraph,Список уровня 2,название табл/рис,Bullet Number,Bullet 1,Use Case List Paragraph,lp1,List Paragraph1,lp11,List Paragraph11,Абзац списка12,заголовок 1.1,Elenco Normale"/>
    <w:basedOn w:val="a"/>
    <w:link w:val="a7"/>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aliases w:val="AC List 01 Знак,EBRD List Знак,CA bullets Знак,Number Bullets Знак,Chapter10 Знак,List Paragraph Знак,Список уровня 2 Знак,название табл/рис Знак,Bullet Number Знак,Bullet 1 Знак,Use Case List Paragraph Знак,lp1 Знак,lp11 Знак"/>
    <w:link w:val="a6"/>
    <w:qFormat/>
    <w:locked/>
    <w:rsid w:val="00233AAC"/>
  </w:style>
  <w:style w:type="table" w:customStyle="1" w:styleId="3">
    <w:name w:val="Сетка таблицы3"/>
    <w:basedOn w:val="a1"/>
    <w:next w:val="a8"/>
    <w:rsid w:val="00057921"/>
    <w:pPr>
      <w:spacing w:after="0" w:line="240" w:lineRule="auto"/>
    </w:pPr>
    <w:rPr>
      <w:kern w:val="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C9290B"/>
    <w:pPr>
      <w:suppressAutoHyphens/>
      <w:spacing w:after="0" w:line="240" w:lineRule="auto"/>
    </w:pPr>
    <w:rPr>
      <w:rFonts w:ascii="Calibri" w:eastAsia="Arial" w:hAnsi="Calibri" w:cs="Times New Roman"/>
      <w:kern w:val="0"/>
      <w:lang w:eastAsia="ar-SA"/>
    </w:rPr>
  </w:style>
  <w:style w:type="character" w:customStyle="1" w:styleId="aa">
    <w:name w:val="Без интервала Знак"/>
    <w:link w:val="a9"/>
    <w:uiPriority w:val="1"/>
    <w:locked/>
    <w:rsid w:val="00C9290B"/>
    <w:rPr>
      <w:rFonts w:ascii="Calibri" w:eastAsia="Arial" w:hAnsi="Calibri" w:cs="Times New Roman"/>
      <w:kern w:val="0"/>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uiPriority w:val="99"/>
    <w:qFormat/>
    <w:locked/>
    <w:rsid w:val="00C9290B"/>
    <w:rPr>
      <w:rFonts w:ascii="Times New Roman" w:eastAsia="Times New Roman" w:hAnsi="Times New Roman" w:cs="Times New Roman"/>
      <w:kern w:val="0"/>
      <w:sz w:val="24"/>
      <w:szCs w:val="24"/>
    </w:rPr>
  </w:style>
  <w:style w:type="paragraph" w:customStyle="1" w:styleId="4">
    <w:name w:val="Абзац списка4"/>
    <w:basedOn w:val="a"/>
    <w:rsid w:val="00C9290B"/>
    <w:pPr>
      <w:suppressAutoHyphens/>
      <w:spacing w:after="200" w:line="276" w:lineRule="auto"/>
      <w:ind w:left="720"/>
    </w:pPr>
    <w:rPr>
      <w:rFonts w:ascii="Calibri" w:eastAsia="Times New Roman" w:hAnsi="Calibri" w:cs="Times New Roman"/>
      <w:kern w:val="0"/>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724259403">
      <w:bodyDiv w:val="1"/>
      <w:marLeft w:val="0"/>
      <w:marRight w:val="0"/>
      <w:marTop w:val="0"/>
      <w:marBottom w:val="0"/>
      <w:divBdr>
        <w:top w:val="none" w:sz="0" w:space="0" w:color="auto"/>
        <w:left w:val="none" w:sz="0" w:space="0" w:color="auto"/>
        <w:bottom w:val="none" w:sz="0" w:space="0" w:color="auto"/>
        <w:right w:val="none" w:sz="0" w:space="0" w:color="auto"/>
      </w:divBdr>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11-05-012686-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5</Pages>
  <Words>1941</Words>
  <Characters>11064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41</cp:revision>
  <dcterms:created xsi:type="dcterms:W3CDTF">2024-08-12T10:23:00Z</dcterms:created>
  <dcterms:modified xsi:type="dcterms:W3CDTF">2025-12-02T14:40:00Z</dcterms:modified>
</cp:coreProperties>
</file>