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74632"/>
      <w:bookmarkStart w:id="1" w:name="_Hlk174364597"/>
      <w:bookmarkStart w:id="2" w:name="_Hlk174367369"/>
      <w:r w:rsidRPr="00E46AC5">
        <w:rPr>
          <w:rStyle w:val="a4"/>
          <w:sz w:val="28"/>
          <w:szCs w:val="28"/>
        </w:rPr>
        <w:t>Обґрунтування</w:t>
      </w:r>
    </w:p>
    <w:p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товару</w:t>
      </w:r>
    </w:p>
    <w:p w:rsidR="00A979E9" w:rsidRDefault="00A979E9" w:rsidP="00A979E9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r w:rsidRPr="00A979E9">
        <w:rPr>
          <w:rStyle w:val="a4"/>
          <w:sz w:val="28"/>
          <w:szCs w:val="28"/>
        </w:rPr>
        <w:t>Стандартні поштові марки (знаки поштової оплати)</w:t>
      </w:r>
    </w:p>
    <w:p w:rsidR="009274EA" w:rsidRPr="00E46AC5" w:rsidRDefault="009274EA" w:rsidP="00A979E9">
      <w:pPr>
        <w:pStyle w:val="a3"/>
        <w:shd w:val="clear" w:color="auto" w:fill="FFFFFF"/>
        <w:spacing w:after="15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Класифікація за ДК 021:2015: </w:t>
      </w:r>
      <w:r w:rsidR="0003773E" w:rsidRPr="0003773E">
        <w:rPr>
          <w:rStyle w:val="a4"/>
          <w:sz w:val="28"/>
          <w:szCs w:val="28"/>
        </w:rPr>
        <w:t>22410000-7 - Марки</w:t>
      </w:r>
      <w:r w:rsidRPr="00E46AC5">
        <w:rPr>
          <w:sz w:val="28"/>
          <w:szCs w:val="28"/>
        </w:rPr>
        <w:t> </w:t>
      </w:r>
    </w:p>
    <w:p w:rsidR="00F04E81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забезпечення належних умов функціонування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r w:rsidR="00F04E81" w:rsidRPr="00F04E81">
        <w:rPr>
          <w:sz w:val="28"/>
          <w:szCs w:val="28"/>
        </w:rPr>
        <w:t>оголошено закупівлю відкриті торги з особливостями на 202</w:t>
      </w:r>
      <w:r w:rsidR="002720FD">
        <w:rPr>
          <w:sz w:val="28"/>
          <w:szCs w:val="28"/>
          <w:lang w:val="uk-UA"/>
        </w:rPr>
        <w:t>5</w:t>
      </w:r>
      <w:r w:rsidR="00F04E81" w:rsidRPr="00F04E81">
        <w:rPr>
          <w:sz w:val="28"/>
          <w:szCs w:val="28"/>
        </w:rPr>
        <w:t xml:space="preserve"> рік для закупівлі </w:t>
      </w:r>
      <w:r w:rsidR="00F04E81">
        <w:rPr>
          <w:sz w:val="28"/>
          <w:szCs w:val="28"/>
          <w:lang w:val="uk-UA"/>
        </w:rPr>
        <w:t>товару.</w:t>
      </w:r>
      <w:r w:rsidR="00F04E81" w:rsidRPr="00F04E81">
        <w:rPr>
          <w:sz w:val="28"/>
          <w:szCs w:val="28"/>
        </w:rPr>
        <w:t xml:space="preserve"> </w:t>
      </w:r>
    </w:p>
    <w:p w:rsidR="00F04E81" w:rsidRDefault="00F04E81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F04E81">
        <w:rPr>
          <w:sz w:val="28"/>
          <w:szCs w:val="28"/>
        </w:rPr>
        <w:t>Відкриті торги з особливостями застосовуються відповідно до п.10 Постанови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та Закону України “Про публічні закупівліˮ.</w:t>
      </w:r>
    </w:p>
    <w:p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Закупівля на 202</w:t>
      </w:r>
      <w:r w:rsidR="002720FD">
        <w:rPr>
          <w:sz w:val="28"/>
          <w:szCs w:val="28"/>
          <w:lang w:val="uk-UA"/>
        </w:rPr>
        <w:t>5</w:t>
      </w:r>
      <w:r w:rsidRPr="00E46AC5">
        <w:rPr>
          <w:sz w:val="28"/>
          <w:szCs w:val="28"/>
        </w:rPr>
        <w:t xml:space="preserve"> рік. </w:t>
      </w:r>
    </w:p>
    <w:p w:rsidR="009274EA" w:rsidRPr="002720FD" w:rsidRDefault="009274EA" w:rsidP="002720F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20FD">
        <w:rPr>
          <w:rFonts w:ascii="Times New Roman" w:hAnsi="Times New Roman" w:cs="Times New Roman"/>
          <w:sz w:val="28"/>
          <w:szCs w:val="28"/>
        </w:rPr>
        <w:t>(</w:t>
      </w:r>
      <w:r w:rsidR="00F04E81" w:rsidRPr="002720FD">
        <w:rPr>
          <w:rFonts w:ascii="Times New Roman" w:hAnsi="Times New Roman" w:cs="Times New Roman"/>
          <w:sz w:val="28"/>
          <w:szCs w:val="28"/>
        </w:rPr>
        <w:t xml:space="preserve">Оголошення про проведення відкритих торгів з особливостями </w:t>
      </w:r>
      <w:r w:rsidR="00A979E9" w:rsidRPr="002720FD">
        <w:rPr>
          <w:rFonts w:ascii="Times New Roman" w:hAnsi="Times New Roman" w:cs="Times New Roman"/>
          <w:sz w:val="28"/>
          <w:szCs w:val="28"/>
        </w:rPr>
        <w:tab/>
      </w:r>
      <w:hyperlink r:id="rId5" w:tgtFrame="_blank" w:tooltip="Оголошення на порталі Уповноваженого органу" w:history="1">
        <w:r w:rsidR="002720FD" w:rsidRPr="002720F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bdr w:val="none" w:sz="0" w:space="0" w:color="auto" w:frame="1"/>
            <w:lang w:val="ru-RU" w:eastAsia="ru-RU"/>
          </w:rPr>
          <w:br/>
        </w:r>
        <w:r w:rsidR="002720FD" w:rsidRPr="002720F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ru-RU" w:eastAsia="ru-RU"/>
          </w:rPr>
          <w:t>UA-2025-06-12-008115-a</w:t>
        </w:r>
      </w:hyperlink>
      <w:r w:rsidRPr="002720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720FD">
        <w:rPr>
          <w:rFonts w:ascii="Times New Roman" w:hAnsi="Times New Roman" w:cs="Times New Roman"/>
          <w:sz w:val="28"/>
          <w:szCs w:val="28"/>
        </w:rPr>
        <w:t>.</w:t>
      </w:r>
    </w:p>
    <w:p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 xml:space="preserve">Розмір бюджетного призначення: </w:t>
      </w:r>
      <w:r w:rsidR="002720FD">
        <w:rPr>
          <w:sz w:val="28"/>
          <w:szCs w:val="28"/>
          <w:lang w:val="uk-UA"/>
        </w:rPr>
        <w:t>300 000</w:t>
      </w:r>
      <w:r w:rsidRPr="00E46A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</w:t>
      </w:r>
      <w:r w:rsidRPr="00E46AC5">
        <w:rPr>
          <w:sz w:val="28"/>
          <w:szCs w:val="28"/>
        </w:rPr>
        <w:t xml:space="preserve"> грн. </w:t>
      </w:r>
    </w:p>
    <w:p w:rsidR="009274EA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установи. </w:t>
      </w:r>
    </w:p>
    <w:bookmarkEnd w:id="0"/>
    <w:p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Якість ЗПО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25.11.1993 № 98/118/740, зареєстрованим в Міністерстві юстиції України 14.01.1994 за №  8/217; державних стандартах України: ДСТУ 4010:2015 «Бланки цінних паперів і документів суворого обліку та звітності. 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Марки та блоки поштові. Технічні умови».  </w:t>
      </w:r>
    </w:p>
    <w:p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bookmarkStart w:id="3" w:name="_Hlk174374215"/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Товар повинен бути упакований належним  чином, що забезпечує його збереження при перевезенні та зберіганні. </w:t>
      </w:r>
    </w:p>
    <w:p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Відповідно до пункту 3 Розділу IV  Положення «Про знаки поштової оплати» поштові марки та блоки України повинні містити:</w:t>
      </w:r>
    </w:p>
    <w:p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    1)  назву  країни  українською мовою "Україна" і в латинській </w:t>
      </w:r>
    </w:p>
    <w:p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транслітерації "</w:t>
      </w:r>
      <w:proofErr w:type="spellStart"/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Ukraina</w:t>
      </w:r>
      <w:proofErr w:type="spellEnd"/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";</w:t>
      </w:r>
    </w:p>
    <w:p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    2) зображення Державного Герба України;</w:t>
      </w:r>
    </w:p>
    <w:p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    3) номінальну вартість;</w:t>
      </w:r>
    </w:p>
    <w:p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    4) рік випуску арабськими цифрами.</w:t>
      </w:r>
    </w:p>
    <w:p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</w:pPr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  <w:lastRenderedPageBreak/>
        <w:t>Поштові марки є засобом оплати послуг поштового зв’язку з пересилання листів, поштових карток, що надаються призначеним оператором поштового зв’язку.</w:t>
      </w:r>
    </w:p>
    <w:p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</w:pPr>
      <w:bookmarkStart w:id="4" w:name="n190"/>
      <w:bookmarkEnd w:id="4"/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  <w:t>Введення в обіг поштових марок, а також виведення їх з обігу здійснюються призначеним оператором поштового зв’язку. Реалізація поштових марок здійснюється за номінальною вартістю, маркованих конвертів і поштових карток - за роздрібною вартістю, встановленою призначеним оператором поштового зв’язку.</w:t>
      </w:r>
    </w:p>
    <w:p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</w:pPr>
      <w:bookmarkStart w:id="5" w:name="n191"/>
      <w:bookmarkEnd w:id="5"/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  <w:t>Розповсюдження поштових марок суб’єктами господарювання незалежно від їх організаційно-правової форми та форми власності здійснюється в обсягах та асортименті, визначених у договорах, укладених з призначеним оператором поштового зв’язку, за ціною не нижче номінальної або встановленої призначеним оператором поштового зв’язку вартості.</w:t>
      </w:r>
    </w:p>
    <w:p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</w:pPr>
      <w:bookmarkStart w:id="6" w:name="n192"/>
      <w:bookmarkStart w:id="7" w:name="n193"/>
      <w:bookmarkEnd w:id="6"/>
      <w:bookmarkEnd w:id="7"/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</w:rPr>
        <w:t>Призначений оператор поштового зв’язку видає поштові марки, марковані конверти і поштові картки з використанням спеціальних елементів захисту за тематикою і зразками, які погоджуються з Редакційно-художньою радою з питань видання поштових марок, маркованих конвертів і поштових карток в Україні, склад, функції, права та обов’язки якої визначаються центральним органом виконавчої влади, що забезпечує формування та реалізує державну політику у сфері надання послуг поштового зв’язку.</w:t>
      </w:r>
    </w:p>
    <w:p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uk-UA"/>
        </w:rPr>
      </w:pPr>
      <w:r w:rsidRPr="00A979E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uk-UA"/>
        </w:rPr>
        <w:t>На підтвердження можливості продажу і поставки предмету закупівлі, учасник повинен надати в електронному вигляді</w:t>
      </w:r>
      <w:r w:rsidRPr="00A979E9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:lang w:val="uk-UA"/>
        </w:rPr>
        <w:t xml:space="preserve">  копію(-ї) договору(</w:t>
      </w:r>
      <w:proofErr w:type="spellStart"/>
      <w:r w:rsidRPr="00A979E9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:lang w:val="uk-UA"/>
        </w:rPr>
        <w:t>-ів</w:t>
      </w:r>
      <w:proofErr w:type="spellEnd"/>
      <w:r w:rsidRPr="00A979E9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:lang w:val="uk-UA"/>
        </w:rPr>
        <w:t>) завірені належним чином про закупівлю знаків поштової оплати, у разі якщо Учасник не є Національним оператором зв’язку</w:t>
      </w:r>
      <w:r w:rsidRPr="00A979E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uk-UA"/>
        </w:rPr>
        <w:t xml:space="preserve"> (у разі відсутності такого договору, Учасник повинен належним чином обґрунтувати його відсутність у формі довідки).</w:t>
      </w:r>
    </w:p>
    <w:p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Стандартні поштові марки (далі - знаки поштової оплати, ЗПО) мають бути надрукованими на папері та такими, що не були у використанні, безстроково дійсними для оплати послуг поштового зв’язку в усіх відділеннях поштового зв’язку України та мати відповідний захист, визначений національним оператором поштового зв’язку. ЗПО повинні бути упаковані належним чином, що забезпечує збереження при перевезенні та зберіганні.</w:t>
      </w:r>
    </w:p>
    <w:p w:rsidR="00A979E9" w:rsidRPr="00A979E9" w:rsidRDefault="00A979E9" w:rsidP="00A979E9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</w:rPr>
      </w:pPr>
    </w:p>
    <w:p w:rsidR="00A979E9" w:rsidRPr="00A979E9" w:rsidRDefault="00A979E9" w:rsidP="00A979E9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</w:rPr>
      </w:pPr>
    </w:p>
    <w:bookmarkEnd w:id="3"/>
    <w:p w:rsidR="00A979E9" w:rsidRPr="00A979E9" w:rsidRDefault="00A979E9" w:rsidP="00A979E9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</w:rPr>
      </w:pPr>
      <w:r w:rsidRPr="00A979E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</w:rPr>
        <w:t>Обсяг закупівлі:</w:t>
      </w:r>
    </w:p>
    <w:tbl>
      <w:tblPr>
        <w:tblStyle w:val="1"/>
        <w:tblW w:w="0" w:type="auto"/>
        <w:jc w:val="center"/>
        <w:tblInd w:w="0" w:type="dxa"/>
        <w:tblLook w:val="04A0"/>
      </w:tblPr>
      <w:tblGrid>
        <w:gridCol w:w="817"/>
        <w:gridCol w:w="5563"/>
        <w:gridCol w:w="3191"/>
      </w:tblGrid>
      <w:tr w:rsidR="00A979E9" w:rsidRPr="00A979E9" w:rsidTr="002022D6">
        <w:trPr>
          <w:jc w:val="center"/>
        </w:trPr>
        <w:tc>
          <w:tcPr>
            <w:tcW w:w="817" w:type="dxa"/>
          </w:tcPr>
          <w:p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63" w:type="dxa"/>
          </w:tcPr>
          <w:p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ЗПО</w:t>
            </w:r>
          </w:p>
        </w:tc>
        <w:tc>
          <w:tcPr>
            <w:tcW w:w="3191" w:type="dxa"/>
          </w:tcPr>
          <w:p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Кількість, шт.</w:t>
            </w:r>
          </w:p>
        </w:tc>
      </w:tr>
      <w:tr w:rsidR="00A979E9" w:rsidRPr="00A979E9" w:rsidTr="002022D6">
        <w:trPr>
          <w:jc w:val="center"/>
        </w:trPr>
        <w:tc>
          <w:tcPr>
            <w:tcW w:w="817" w:type="dxa"/>
          </w:tcPr>
          <w:p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63" w:type="dxa"/>
            <w:vAlign w:val="center"/>
          </w:tcPr>
          <w:p w:rsidR="00A979E9" w:rsidRPr="00A979E9" w:rsidRDefault="002720FD" w:rsidP="002720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арка  </w:t>
            </w:r>
            <w:proofErr w:type="spellStart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поштова</w:t>
            </w:r>
            <w:proofErr w:type="spellEnd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тандартна U</w:t>
            </w:r>
          </w:p>
        </w:tc>
        <w:tc>
          <w:tcPr>
            <w:tcW w:w="3191" w:type="dxa"/>
          </w:tcPr>
          <w:p w:rsidR="00A979E9" w:rsidRPr="00A979E9" w:rsidRDefault="002720FD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14 949</w:t>
            </w:r>
          </w:p>
        </w:tc>
      </w:tr>
      <w:tr w:rsidR="00A979E9" w:rsidRPr="00A979E9" w:rsidTr="002022D6">
        <w:trPr>
          <w:jc w:val="center"/>
        </w:trPr>
        <w:tc>
          <w:tcPr>
            <w:tcW w:w="817" w:type="dxa"/>
          </w:tcPr>
          <w:p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563" w:type="dxa"/>
            <w:vAlign w:val="center"/>
          </w:tcPr>
          <w:p w:rsidR="00A979E9" w:rsidRPr="00A979E9" w:rsidRDefault="00A979E9" w:rsidP="00A979E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91" w:type="dxa"/>
          </w:tcPr>
          <w:p w:rsidR="00A979E9" w:rsidRPr="00A979E9" w:rsidRDefault="002720FD" w:rsidP="00A979E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14 949</w:t>
            </w:r>
          </w:p>
        </w:tc>
      </w:tr>
    </w:tbl>
    <w:p w:rsidR="00A979E9" w:rsidRPr="00A979E9" w:rsidRDefault="00A979E9" w:rsidP="00A979E9">
      <w:pPr>
        <w:tabs>
          <w:tab w:val="num" w:pos="426"/>
          <w:tab w:val="left" w:pos="567"/>
          <w:tab w:val="left" w:pos="1560"/>
          <w:tab w:val="right" w:leader="underscore" w:pos="9923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color w:val="000000"/>
          <w:kern w:val="0"/>
          <w:lang w:val="uk-UA" w:eastAsia="ru-RU"/>
        </w:rPr>
      </w:pPr>
    </w:p>
    <w:p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bookmarkEnd w:id="1"/>
    <w:p w:rsidR="00BC1A4F" w:rsidRDefault="009274EA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73E">
        <w:rPr>
          <w:rFonts w:ascii="Times New Roman" w:hAnsi="Times New Roman" w:cs="Times New Roman"/>
          <w:sz w:val="28"/>
          <w:szCs w:val="28"/>
        </w:rPr>
        <w:t>Очікувана вартість визначена у річному плану закупівель на 202</w:t>
      </w:r>
      <w:r w:rsidR="002720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в межах кошторисних призначень на 202</w:t>
      </w:r>
      <w:r w:rsidR="002720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з урахуванням номінальної вартості поштових марок, встановленої АТ «Укрпошта» згідно з діючими Граничними тарифами на універсальні послуги поштового зв’язку, затвердженими </w:t>
      </w:r>
      <w:r w:rsidRPr="0003773E">
        <w:rPr>
          <w:rFonts w:ascii="Times New Roman" w:hAnsi="Times New Roman" w:cs="Times New Roman"/>
          <w:sz w:val="28"/>
          <w:szCs w:val="28"/>
        </w:rPr>
        <w:lastRenderedPageBreak/>
        <w:t xml:space="preserve">рішенням Національної комісії, що здійснює державне регулювання у сфері зв’язку та інформатизації від 02.11.2021 № 413, зареєстрованого в Міністерстві юстиції України 18.11.2021 за № 1516/37138.  </w:t>
      </w:r>
    </w:p>
    <w:bookmarkEnd w:id="2"/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1F09" w:rsidRDefault="00A11F09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:rsidR="00A11F09" w:rsidRDefault="00A11F09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:rsidR="00A11F09" w:rsidRDefault="00A11F09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A11F09" w:rsidSect="0017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132"/>
    <w:rsid w:val="0000146E"/>
    <w:rsid w:val="0003773E"/>
    <w:rsid w:val="00175801"/>
    <w:rsid w:val="0019202F"/>
    <w:rsid w:val="001C2019"/>
    <w:rsid w:val="00204662"/>
    <w:rsid w:val="002720FD"/>
    <w:rsid w:val="002C31E4"/>
    <w:rsid w:val="003506E8"/>
    <w:rsid w:val="004810EC"/>
    <w:rsid w:val="00497023"/>
    <w:rsid w:val="00515314"/>
    <w:rsid w:val="00516236"/>
    <w:rsid w:val="00516AFB"/>
    <w:rsid w:val="005650CE"/>
    <w:rsid w:val="006B0442"/>
    <w:rsid w:val="006D2D73"/>
    <w:rsid w:val="00762AF2"/>
    <w:rsid w:val="00877FB7"/>
    <w:rsid w:val="0091696C"/>
    <w:rsid w:val="009274EA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D4B86"/>
    <w:rsid w:val="00BF2139"/>
    <w:rsid w:val="00C74A62"/>
    <w:rsid w:val="00D23799"/>
    <w:rsid w:val="00D37132"/>
    <w:rsid w:val="00D8051A"/>
    <w:rsid w:val="00DF6BD7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6-12-0081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Eihman</cp:lastModifiedBy>
  <cp:revision>15</cp:revision>
  <dcterms:created xsi:type="dcterms:W3CDTF">2024-08-12T10:23:00Z</dcterms:created>
  <dcterms:modified xsi:type="dcterms:W3CDTF">2025-06-12T11:41:00Z</dcterms:modified>
</cp:coreProperties>
</file>