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3.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4.xml" ContentType="application/vnd.openxmlformats-officedocument.themeOverride+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style6.xml" ContentType="application/vnd.ms-office.chartstyle+xml"/>
  <Override PartName="/word/charts/colors6.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1F6D" w:rsidRPr="00914D3A" w:rsidRDefault="00804837" w:rsidP="00804837">
      <w:pPr>
        <w:pStyle w:val="3"/>
        <w:tabs>
          <w:tab w:val="clear" w:pos="540"/>
          <w:tab w:val="left" w:pos="0"/>
        </w:tabs>
        <w:ind w:firstLine="567"/>
        <w:contextualSpacing/>
        <w:jc w:val="center"/>
        <w:rPr>
          <w:b/>
          <w:noProof/>
          <w:sz w:val="24"/>
        </w:rPr>
      </w:pPr>
      <w:r w:rsidRPr="00914D3A">
        <w:rPr>
          <w:b/>
          <w:noProof/>
          <w:sz w:val="24"/>
        </w:rPr>
        <w:t xml:space="preserve">Огляд даних </w:t>
      </w:r>
      <w:r w:rsidR="00764576" w:rsidRPr="00914D3A">
        <w:rPr>
          <w:b/>
          <w:noProof/>
          <w:sz w:val="24"/>
        </w:rPr>
        <w:t>про стан</w:t>
      </w:r>
      <w:r w:rsidR="00344700" w:rsidRPr="00914D3A">
        <w:rPr>
          <w:b/>
          <w:noProof/>
          <w:sz w:val="24"/>
        </w:rPr>
        <w:t xml:space="preserve"> </w:t>
      </w:r>
      <w:r w:rsidR="00131DB0" w:rsidRPr="00914D3A">
        <w:rPr>
          <w:b/>
          <w:noProof/>
          <w:sz w:val="24"/>
        </w:rPr>
        <w:t xml:space="preserve">здійснення </w:t>
      </w:r>
      <w:r w:rsidR="007E6584" w:rsidRPr="00914D3A">
        <w:rPr>
          <w:b/>
          <w:noProof/>
          <w:sz w:val="24"/>
        </w:rPr>
        <w:t>правосуддя</w:t>
      </w:r>
      <w:r w:rsidR="00131DB0" w:rsidRPr="00914D3A">
        <w:rPr>
          <w:b/>
          <w:noProof/>
          <w:sz w:val="24"/>
        </w:rPr>
        <w:t xml:space="preserve"> </w:t>
      </w:r>
    </w:p>
    <w:p w:rsidR="007D70B2" w:rsidRPr="00914D3A" w:rsidRDefault="00F7478B" w:rsidP="00804837">
      <w:pPr>
        <w:pStyle w:val="3"/>
        <w:tabs>
          <w:tab w:val="clear" w:pos="540"/>
          <w:tab w:val="left" w:pos="0"/>
        </w:tabs>
        <w:ind w:firstLine="567"/>
        <w:contextualSpacing/>
        <w:jc w:val="center"/>
        <w:rPr>
          <w:b/>
          <w:noProof/>
          <w:sz w:val="24"/>
        </w:rPr>
      </w:pPr>
      <w:r w:rsidRPr="00914D3A">
        <w:rPr>
          <w:b/>
          <w:noProof/>
          <w:sz w:val="24"/>
        </w:rPr>
        <w:t>Третім</w:t>
      </w:r>
      <w:r w:rsidR="00131DB0" w:rsidRPr="00914D3A">
        <w:rPr>
          <w:b/>
          <w:noProof/>
          <w:sz w:val="24"/>
        </w:rPr>
        <w:t xml:space="preserve"> </w:t>
      </w:r>
      <w:r w:rsidRPr="00914D3A">
        <w:rPr>
          <w:b/>
          <w:noProof/>
          <w:sz w:val="24"/>
        </w:rPr>
        <w:t>апеляційн</w:t>
      </w:r>
      <w:r w:rsidR="0065456D" w:rsidRPr="00914D3A">
        <w:rPr>
          <w:b/>
          <w:noProof/>
          <w:sz w:val="24"/>
        </w:rPr>
        <w:t>им адм</w:t>
      </w:r>
      <w:r w:rsidR="00F44A3D" w:rsidRPr="00914D3A">
        <w:rPr>
          <w:b/>
          <w:noProof/>
          <w:sz w:val="24"/>
        </w:rPr>
        <w:t>ініст</w:t>
      </w:r>
      <w:r w:rsidR="008D2F4E" w:rsidRPr="00914D3A">
        <w:rPr>
          <w:b/>
          <w:noProof/>
          <w:sz w:val="24"/>
        </w:rPr>
        <w:t>ративним судом</w:t>
      </w:r>
      <w:r w:rsidR="004D671B" w:rsidRPr="00914D3A">
        <w:rPr>
          <w:b/>
          <w:noProof/>
          <w:sz w:val="24"/>
        </w:rPr>
        <w:t xml:space="preserve"> </w:t>
      </w:r>
      <w:r w:rsidR="00F76353" w:rsidRPr="00914D3A">
        <w:rPr>
          <w:b/>
          <w:noProof/>
          <w:sz w:val="24"/>
        </w:rPr>
        <w:t>за</w:t>
      </w:r>
      <w:r w:rsidR="009B5FCC" w:rsidRPr="00914D3A">
        <w:rPr>
          <w:b/>
          <w:noProof/>
          <w:sz w:val="24"/>
        </w:rPr>
        <w:t xml:space="preserve"> 20</w:t>
      </w:r>
      <w:r w:rsidR="005C6760" w:rsidRPr="00914D3A">
        <w:rPr>
          <w:b/>
          <w:noProof/>
          <w:sz w:val="24"/>
        </w:rPr>
        <w:t>2</w:t>
      </w:r>
      <w:r w:rsidR="00914D3A" w:rsidRPr="00914D3A">
        <w:rPr>
          <w:b/>
          <w:noProof/>
          <w:sz w:val="24"/>
        </w:rPr>
        <w:t xml:space="preserve">5 </w:t>
      </w:r>
      <w:r w:rsidR="00F76353" w:rsidRPr="00914D3A">
        <w:rPr>
          <w:b/>
          <w:noProof/>
          <w:sz w:val="24"/>
        </w:rPr>
        <w:t>рік</w:t>
      </w:r>
    </w:p>
    <w:p w:rsidR="00804837" w:rsidRPr="003434C8" w:rsidRDefault="00804837" w:rsidP="00804837">
      <w:pPr>
        <w:pStyle w:val="3"/>
        <w:tabs>
          <w:tab w:val="clear" w:pos="540"/>
          <w:tab w:val="left" w:pos="0"/>
        </w:tabs>
        <w:ind w:firstLine="567"/>
        <w:contextualSpacing/>
        <w:jc w:val="center"/>
        <w:rPr>
          <w:b/>
          <w:noProof/>
          <w:sz w:val="24"/>
        </w:rPr>
      </w:pPr>
    </w:p>
    <w:p w:rsidR="00E02D70" w:rsidRDefault="001125B0" w:rsidP="00E02D70">
      <w:pPr>
        <w:ind w:firstLine="567"/>
        <w:jc w:val="both"/>
        <w:rPr>
          <w:noProof/>
        </w:rPr>
      </w:pPr>
      <w:r w:rsidRPr="00FB47FC">
        <w:rPr>
          <w:noProof/>
        </w:rPr>
        <w:t xml:space="preserve">Згідно плану роботи суду на </w:t>
      </w:r>
      <w:r w:rsidR="00995D6C" w:rsidRPr="00FB47FC">
        <w:rPr>
          <w:noProof/>
        </w:rPr>
        <w:t>І</w:t>
      </w:r>
      <w:r w:rsidRPr="00FB47FC">
        <w:rPr>
          <w:noProof/>
        </w:rPr>
        <w:t xml:space="preserve"> півріччя 20</w:t>
      </w:r>
      <w:r w:rsidR="005567B4" w:rsidRPr="00FB47FC">
        <w:rPr>
          <w:noProof/>
        </w:rPr>
        <w:t>2</w:t>
      </w:r>
      <w:r w:rsidR="00935E8E" w:rsidRPr="00FB47FC">
        <w:rPr>
          <w:noProof/>
        </w:rPr>
        <w:t>6</w:t>
      </w:r>
      <w:r w:rsidRPr="00FB47FC">
        <w:rPr>
          <w:noProof/>
        </w:rPr>
        <w:t xml:space="preserve"> року та н</w:t>
      </w:r>
      <w:r w:rsidR="00161B6F" w:rsidRPr="00FB47FC">
        <w:rPr>
          <w:noProof/>
        </w:rPr>
        <w:t xml:space="preserve">а виконання </w:t>
      </w:r>
      <w:r w:rsidR="00A246B7" w:rsidRPr="00FB47FC">
        <w:rPr>
          <w:noProof/>
        </w:rPr>
        <w:t>листа</w:t>
      </w:r>
      <w:r w:rsidR="00263DF1" w:rsidRPr="00FB47FC">
        <w:rPr>
          <w:noProof/>
        </w:rPr>
        <w:t xml:space="preserve"> Державно</w:t>
      </w:r>
      <w:r w:rsidR="005C30CB" w:rsidRPr="00FB47FC">
        <w:rPr>
          <w:noProof/>
        </w:rPr>
        <w:t xml:space="preserve">ї судової адміністрації України </w:t>
      </w:r>
      <w:r w:rsidR="005C30CB" w:rsidRPr="00FB47FC">
        <w:t xml:space="preserve">від </w:t>
      </w:r>
      <w:r w:rsidR="0025766C" w:rsidRPr="00FB47FC">
        <w:t>26</w:t>
      </w:r>
      <w:r w:rsidR="005C30CB" w:rsidRPr="00FB47FC">
        <w:t>.12.202</w:t>
      </w:r>
      <w:r w:rsidR="0025766C" w:rsidRPr="00FB47FC">
        <w:t>5</w:t>
      </w:r>
      <w:r w:rsidR="005C30CB" w:rsidRPr="00FB47FC">
        <w:rPr>
          <w:noProof/>
        </w:rPr>
        <w:t xml:space="preserve"> № </w:t>
      </w:r>
      <w:r w:rsidR="0025766C" w:rsidRPr="00FB47FC">
        <w:t xml:space="preserve">15-26096/25 </w:t>
      </w:r>
      <w:r w:rsidR="008C6DEC" w:rsidRPr="00FB47FC">
        <w:rPr>
          <w:rFonts w:eastAsia="Calibri"/>
          <w:noProof/>
          <w:lang w:eastAsia="en-US"/>
        </w:rPr>
        <w:t xml:space="preserve">відділом судової статистики та узагальнення судової практики </w:t>
      </w:r>
      <w:r w:rsidR="005C6760" w:rsidRPr="00FB47FC">
        <w:rPr>
          <w:noProof/>
        </w:rPr>
        <w:t>підготовлено</w:t>
      </w:r>
      <w:r w:rsidR="00804837" w:rsidRPr="00FB47FC">
        <w:rPr>
          <w:noProof/>
        </w:rPr>
        <w:t xml:space="preserve"> «Огляд даних </w:t>
      </w:r>
      <w:r w:rsidR="00995D6C" w:rsidRPr="00FB47FC">
        <w:rPr>
          <w:noProof/>
        </w:rPr>
        <w:t>про стан здійснення правосуддя Третім апеляційним адміністративним судом</w:t>
      </w:r>
      <w:r w:rsidR="00ED2FA3" w:rsidRPr="00FB47FC">
        <w:rPr>
          <w:noProof/>
        </w:rPr>
        <w:t>»</w:t>
      </w:r>
      <w:r w:rsidR="00995D6C" w:rsidRPr="00FB47FC">
        <w:rPr>
          <w:noProof/>
        </w:rPr>
        <w:t xml:space="preserve"> </w:t>
      </w:r>
      <w:r w:rsidR="00340FBA" w:rsidRPr="00FB47FC">
        <w:rPr>
          <w:noProof/>
        </w:rPr>
        <w:t xml:space="preserve">за </w:t>
      </w:r>
      <w:r w:rsidR="00BC2DA4" w:rsidRPr="00FB47FC">
        <w:rPr>
          <w:noProof/>
        </w:rPr>
        <w:t>період з 0</w:t>
      </w:r>
      <w:r w:rsidR="00F53E31" w:rsidRPr="00FB47FC">
        <w:rPr>
          <w:noProof/>
        </w:rPr>
        <w:t>1 січня 20</w:t>
      </w:r>
      <w:r w:rsidR="005C6760" w:rsidRPr="00FB47FC">
        <w:rPr>
          <w:noProof/>
        </w:rPr>
        <w:t>2</w:t>
      </w:r>
      <w:r w:rsidR="00E31B53" w:rsidRPr="00FB47FC">
        <w:rPr>
          <w:noProof/>
        </w:rPr>
        <w:t>5</w:t>
      </w:r>
      <w:r w:rsidR="00BC2DA4" w:rsidRPr="00FB47FC">
        <w:rPr>
          <w:noProof/>
        </w:rPr>
        <w:t xml:space="preserve"> року</w:t>
      </w:r>
      <w:r w:rsidR="00F53E31" w:rsidRPr="00FB47FC">
        <w:rPr>
          <w:noProof/>
        </w:rPr>
        <w:t xml:space="preserve"> </w:t>
      </w:r>
      <w:r w:rsidR="00632C6B" w:rsidRPr="00FB47FC">
        <w:rPr>
          <w:noProof/>
        </w:rPr>
        <w:t>п</w:t>
      </w:r>
      <w:r w:rsidR="00F53E31" w:rsidRPr="00FB47FC">
        <w:rPr>
          <w:noProof/>
        </w:rPr>
        <w:t>о 31 грудня 20</w:t>
      </w:r>
      <w:r w:rsidR="005C6760" w:rsidRPr="00FB47FC">
        <w:rPr>
          <w:noProof/>
        </w:rPr>
        <w:t>2</w:t>
      </w:r>
      <w:r w:rsidR="00E31B53" w:rsidRPr="00FB47FC">
        <w:rPr>
          <w:noProof/>
        </w:rPr>
        <w:t>5</w:t>
      </w:r>
      <w:r w:rsidR="00F53E31" w:rsidRPr="00FB47FC">
        <w:rPr>
          <w:noProof/>
        </w:rPr>
        <w:t xml:space="preserve"> року.</w:t>
      </w:r>
    </w:p>
    <w:p w:rsidR="00F06265" w:rsidRPr="00E02D70" w:rsidRDefault="00384FD3" w:rsidP="00E02D70">
      <w:pPr>
        <w:ind w:firstLine="567"/>
        <w:jc w:val="both"/>
        <w:rPr>
          <w:noProof/>
        </w:rPr>
      </w:pPr>
      <w:r w:rsidRPr="00FB47FC">
        <w:rPr>
          <w:noProof/>
        </w:rPr>
        <w:t>Основними дже</w:t>
      </w:r>
      <w:r w:rsidR="00764E40" w:rsidRPr="00FB47FC">
        <w:rPr>
          <w:noProof/>
        </w:rPr>
        <w:t xml:space="preserve">релами отримання інформації, що </w:t>
      </w:r>
      <w:r w:rsidR="003B3F9B" w:rsidRPr="00FB47FC">
        <w:rPr>
          <w:noProof/>
        </w:rPr>
        <w:t>використані</w:t>
      </w:r>
      <w:r w:rsidRPr="00FB47FC">
        <w:rPr>
          <w:noProof/>
        </w:rPr>
        <w:t xml:space="preserve"> під час проведення огляду даних про стан здійснення правосуддя Третім апеляційним адміністративним судом</w:t>
      </w:r>
      <w:r w:rsidR="00091E51" w:rsidRPr="00FB47FC">
        <w:rPr>
          <w:noProof/>
        </w:rPr>
        <w:t xml:space="preserve"> </w:t>
      </w:r>
      <w:r w:rsidRPr="00FB47FC">
        <w:rPr>
          <w:noProof/>
        </w:rPr>
        <w:t>були:</w:t>
      </w:r>
      <w:r w:rsidR="00381788" w:rsidRPr="00FB47FC">
        <w:rPr>
          <w:noProof/>
        </w:rPr>
        <w:t xml:space="preserve"> </w:t>
      </w:r>
      <w:r w:rsidR="00C9013D" w:rsidRPr="00FB47FC">
        <w:rPr>
          <w:noProof/>
        </w:rPr>
        <w:t xml:space="preserve">обліково-інформаційні картки результатів розгляду справ за апеляційними скаргами (на підставі оригіналів списків призначених до розгляду справ) </w:t>
      </w:r>
      <w:r w:rsidR="00905BBF" w:rsidRPr="00FB47FC">
        <w:rPr>
          <w:rFonts w:eastAsia="Calibri"/>
          <w:noProof/>
          <w:lang w:eastAsia="en-US"/>
        </w:rPr>
        <w:t xml:space="preserve">та </w:t>
      </w:r>
      <w:r w:rsidRPr="00FB47FC">
        <w:rPr>
          <w:noProof/>
        </w:rPr>
        <w:t>статистичні звіти</w:t>
      </w:r>
      <w:r w:rsidR="007D70B2" w:rsidRPr="00FB47FC">
        <w:rPr>
          <w:noProof/>
        </w:rPr>
        <w:t xml:space="preserve"> за квартальною, піврічною та річною періодичністю</w:t>
      </w:r>
      <w:r w:rsidR="00F06265" w:rsidRPr="00FB47FC">
        <w:rPr>
          <w:noProof/>
        </w:rPr>
        <w:t xml:space="preserve">, </w:t>
      </w:r>
      <w:r w:rsidR="00982093" w:rsidRPr="00FB47FC">
        <w:rPr>
          <w:noProof/>
        </w:rPr>
        <w:t>що</w:t>
      </w:r>
      <w:r w:rsidR="00F06265" w:rsidRPr="00FB47FC">
        <w:rPr>
          <w:noProof/>
        </w:rPr>
        <w:t xml:space="preserve"> </w:t>
      </w:r>
      <w:r w:rsidR="00F06265" w:rsidRPr="00FB47FC">
        <w:rPr>
          <w:rFonts w:eastAsia="Calibri"/>
          <w:noProof/>
          <w:lang w:eastAsia="en-US"/>
        </w:rPr>
        <w:t>бул</w:t>
      </w:r>
      <w:r w:rsidR="00982093" w:rsidRPr="00FB47FC">
        <w:rPr>
          <w:rFonts w:eastAsia="Calibri"/>
          <w:noProof/>
          <w:lang w:eastAsia="en-US"/>
        </w:rPr>
        <w:t>и</w:t>
      </w:r>
      <w:r w:rsidR="00F06265" w:rsidRPr="00FB47FC">
        <w:rPr>
          <w:rFonts w:eastAsia="Calibri"/>
          <w:noProof/>
          <w:lang w:eastAsia="en-US"/>
        </w:rPr>
        <w:t xml:space="preserve"> сформовано</w:t>
      </w:r>
      <w:r w:rsidR="00F06265" w:rsidRPr="00FB47FC">
        <w:rPr>
          <w:noProof/>
          <w:shd w:val="clear" w:color="auto" w:fill="FFFFFF"/>
        </w:rPr>
        <w:t xml:space="preserve"> в автоматичному режимі на підставі наявних даних в автоматизованій системі документообігу суду.</w:t>
      </w:r>
      <w:bookmarkStart w:id="0" w:name="n737"/>
      <w:bookmarkEnd w:id="0"/>
    </w:p>
    <w:p w:rsidR="00E02D70" w:rsidRDefault="00F06265" w:rsidP="00E02D70">
      <w:pPr>
        <w:ind w:firstLine="567"/>
        <w:jc w:val="both"/>
        <w:rPr>
          <w:noProof/>
        </w:rPr>
      </w:pPr>
      <w:r w:rsidRPr="00FB47FC">
        <w:rPr>
          <w:noProof/>
        </w:rPr>
        <w:t xml:space="preserve">Електронний примірник кожного звіту збережено в автоматизованій системі в стані «Оригінал» та </w:t>
      </w:r>
      <w:r w:rsidRPr="00FB47FC">
        <w:rPr>
          <w:noProof/>
          <w:shd w:val="clear" w:color="auto" w:fill="FFFFFF"/>
        </w:rPr>
        <w:t xml:space="preserve">надіслані за допомогою комп’ютерної програми «Діловодство спеціалізованого суду» до Державної судової адміністрації України (далі ДСА України), </w:t>
      </w:r>
      <w:r w:rsidRPr="00FB47FC">
        <w:rPr>
          <w:rFonts w:eastAsia="Calibri"/>
          <w:noProof/>
          <w:lang w:eastAsia="en-US"/>
        </w:rPr>
        <w:t>після затвердження звітності відповідному територіальному управлінню ДСА України в Дніпропетровській, Запорізькій, Кіровоградській областях</w:t>
      </w:r>
      <w:r w:rsidRPr="00FB47FC">
        <w:rPr>
          <w:rFonts w:eastAsia="Calibri"/>
          <w:noProof/>
        </w:rPr>
        <w:t xml:space="preserve"> </w:t>
      </w:r>
      <w:r w:rsidRPr="00FB47FC">
        <w:rPr>
          <w:noProof/>
        </w:rPr>
        <w:t>з дотриманням умов щодо засвідчення кваліфікованим електронним підписом (ЕЦП) уповноваженої особи суду</w:t>
      </w:r>
      <w:bookmarkStart w:id="1" w:name="n739"/>
      <w:bookmarkStart w:id="2" w:name="n740"/>
      <w:bookmarkEnd w:id="1"/>
      <w:bookmarkEnd w:id="2"/>
      <w:r w:rsidR="00E46421" w:rsidRPr="00FB47FC">
        <w:rPr>
          <w:noProof/>
        </w:rPr>
        <w:t>.</w:t>
      </w:r>
    </w:p>
    <w:p w:rsidR="00E02D70" w:rsidRDefault="00E46421" w:rsidP="00E02D70">
      <w:pPr>
        <w:ind w:firstLine="567"/>
        <w:jc w:val="both"/>
        <w:rPr>
          <w:noProof/>
        </w:rPr>
      </w:pPr>
      <w:r w:rsidRPr="00FB47FC">
        <w:rPr>
          <w:noProof/>
        </w:rPr>
        <w:t>Звітність за 202</w:t>
      </w:r>
      <w:r w:rsidR="00E31B53" w:rsidRPr="00FB47FC">
        <w:rPr>
          <w:noProof/>
        </w:rPr>
        <w:t>5</w:t>
      </w:r>
      <w:r w:rsidR="00E02D70">
        <w:rPr>
          <w:noProof/>
        </w:rPr>
        <w:t xml:space="preserve"> рік:</w:t>
      </w:r>
    </w:p>
    <w:p w:rsidR="00E02D70" w:rsidRDefault="00E422E6" w:rsidP="00E02D70">
      <w:pPr>
        <w:ind w:firstLine="567"/>
        <w:jc w:val="both"/>
        <w:rPr>
          <w:noProof/>
        </w:rPr>
      </w:pPr>
      <w:r w:rsidRPr="00FB47FC">
        <w:rPr>
          <w:rFonts w:eastAsiaTheme="minorEastAsia"/>
        </w:rPr>
        <w:t>«</w:t>
      </w:r>
      <w:r w:rsidR="00491637" w:rsidRPr="00FB47FC">
        <w:rPr>
          <w:rFonts w:eastAsiaTheme="minorEastAsia"/>
        </w:rPr>
        <w:t>З</w:t>
      </w:r>
      <w:r w:rsidR="00D366F7" w:rsidRPr="00FB47FC">
        <w:rPr>
          <w:rFonts w:eastAsiaTheme="minorEastAsia"/>
        </w:rPr>
        <w:t xml:space="preserve">віт судів апеляційної інстанції про розгляд апеляційних скарг у порядку адміністративного судочинства», </w:t>
      </w:r>
      <w:r w:rsidR="00D366F7" w:rsidRPr="00FB47FC">
        <w:rPr>
          <w:rFonts w:eastAsiaTheme="minorEastAsia"/>
          <w:b/>
        </w:rPr>
        <w:t xml:space="preserve">форма 2-а </w:t>
      </w:r>
      <w:r w:rsidR="00051918" w:rsidRPr="00FB47FC">
        <w:rPr>
          <w:rFonts w:eastAsiaTheme="minorEastAsia"/>
        </w:rPr>
        <w:t xml:space="preserve">за </w:t>
      </w:r>
      <w:r w:rsidR="007E0A64" w:rsidRPr="00FB47FC">
        <w:rPr>
          <w:rFonts w:eastAsiaTheme="minorEastAsia"/>
        </w:rPr>
        <w:t>202</w:t>
      </w:r>
      <w:r w:rsidR="00E31B53" w:rsidRPr="00FB47FC">
        <w:rPr>
          <w:rFonts w:eastAsiaTheme="minorEastAsia"/>
        </w:rPr>
        <w:t>5</w:t>
      </w:r>
      <w:r w:rsidR="00051918" w:rsidRPr="00FB47FC">
        <w:rPr>
          <w:rFonts w:eastAsiaTheme="minorEastAsia"/>
        </w:rPr>
        <w:t xml:space="preserve"> рік </w:t>
      </w:r>
      <w:r w:rsidR="00E648E0" w:rsidRPr="00FB47FC">
        <w:rPr>
          <w:rFonts w:eastAsiaTheme="minorEastAsia"/>
        </w:rPr>
        <w:t>(затверджений наказом ДСА України від 23.06.2018 № 325, зі змінами)</w:t>
      </w:r>
      <w:r w:rsidR="00BD5DC6" w:rsidRPr="00FB47FC">
        <w:rPr>
          <w:rFonts w:eastAsiaTheme="minorEastAsia"/>
        </w:rPr>
        <w:t>;</w:t>
      </w:r>
    </w:p>
    <w:p w:rsidR="00E02D70" w:rsidRDefault="00491637" w:rsidP="00E02D70">
      <w:pPr>
        <w:ind w:firstLine="567"/>
        <w:jc w:val="both"/>
        <w:rPr>
          <w:noProof/>
        </w:rPr>
      </w:pPr>
      <w:r w:rsidRPr="00FB47FC">
        <w:rPr>
          <w:noProof/>
        </w:rPr>
        <w:t>«З</w:t>
      </w:r>
      <w:r w:rsidR="00E648E0" w:rsidRPr="00FB47FC">
        <w:rPr>
          <w:noProof/>
        </w:rPr>
        <w:t xml:space="preserve">віт судів першої інстанції про розгляд справ у порядку адміністративного судочинства», </w:t>
      </w:r>
      <w:r w:rsidR="00E648E0" w:rsidRPr="00FB47FC">
        <w:rPr>
          <w:b/>
          <w:noProof/>
        </w:rPr>
        <w:t xml:space="preserve">форма 1-а </w:t>
      </w:r>
      <w:r w:rsidR="00051918" w:rsidRPr="00FB47FC">
        <w:rPr>
          <w:rFonts w:eastAsiaTheme="minorEastAsia"/>
        </w:rPr>
        <w:t xml:space="preserve">за </w:t>
      </w:r>
      <w:r w:rsidR="00E94C87" w:rsidRPr="00FB47FC">
        <w:rPr>
          <w:rFonts w:eastAsiaTheme="minorEastAsia"/>
        </w:rPr>
        <w:t>202</w:t>
      </w:r>
      <w:r w:rsidR="00E31B53" w:rsidRPr="00FB47FC">
        <w:rPr>
          <w:rFonts w:eastAsiaTheme="minorEastAsia"/>
        </w:rPr>
        <w:t>5</w:t>
      </w:r>
      <w:r w:rsidR="00E94C87" w:rsidRPr="00FB47FC">
        <w:rPr>
          <w:rFonts w:eastAsiaTheme="minorEastAsia"/>
        </w:rPr>
        <w:t xml:space="preserve"> рік </w:t>
      </w:r>
      <w:r w:rsidR="00E648E0" w:rsidRPr="00FB47FC">
        <w:rPr>
          <w:rFonts w:eastAsiaTheme="minorEastAsia"/>
        </w:rPr>
        <w:t>(затверджений наказом ДСА України від 23.06.2018 № 325, зі змінами)</w:t>
      </w:r>
      <w:r w:rsidR="00BD5DC6" w:rsidRPr="00FB47FC">
        <w:rPr>
          <w:rFonts w:eastAsiaTheme="minorEastAsia"/>
        </w:rPr>
        <w:t>;</w:t>
      </w:r>
    </w:p>
    <w:p w:rsidR="00E02D70" w:rsidRDefault="00491637" w:rsidP="00E02D70">
      <w:pPr>
        <w:ind w:firstLine="567"/>
        <w:jc w:val="both"/>
        <w:rPr>
          <w:noProof/>
        </w:rPr>
      </w:pPr>
      <w:r w:rsidRPr="00FB47FC">
        <w:rPr>
          <w:rFonts w:eastAsiaTheme="minorEastAsia"/>
        </w:rPr>
        <w:t>«З</w:t>
      </w:r>
      <w:r w:rsidR="00D366F7" w:rsidRPr="00FB47FC">
        <w:rPr>
          <w:rFonts w:eastAsiaTheme="minorEastAsia"/>
        </w:rPr>
        <w:t xml:space="preserve">віт апеляційних адміністративних судів про розгляд судових справ», </w:t>
      </w:r>
      <w:r w:rsidR="000B31DE" w:rsidRPr="00FB47FC">
        <w:rPr>
          <w:rFonts w:eastAsiaTheme="minorEastAsia"/>
          <w:b/>
        </w:rPr>
        <w:t xml:space="preserve">форма № </w:t>
      </w:r>
      <w:r w:rsidR="00D366F7" w:rsidRPr="00FB47FC">
        <w:rPr>
          <w:rFonts w:eastAsiaTheme="minorEastAsia"/>
          <w:b/>
        </w:rPr>
        <w:t>2-</w:t>
      </w:r>
      <w:r w:rsidR="000B31DE" w:rsidRPr="00FB47FC">
        <w:rPr>
          <w:rFonts w:eastAsiaTheme="minorEastAsia"/>
          <w:b/>
        </w:rPr>
        <w:t>аас</w:t>
      </w:r>
      <w:r w:rsidR="00D366F7" w:rsidRPr="00FB47FC">
        <w:rPr>
          <w:rFonts w:eastAsiaTheme="minorEastAsia"/>
          <w:b/>
        </w:rPr>
        <w:t xml:space="preserve"> </w:t>
      </w:r>
      <w:r w:rsidR="00E94C87" w:rsidRPr="00FB47FC">
        <w:rPr>
          <w:rFonts w:eastAsiaTheme="minorEastAsia"/>
        </w:rPr>
        <w:t>за 202</w:t>
      </w:r>
      <w:r w:rsidR="00E31B53" w:rsidRPr="00FB47FC">
        <w:rPr>
          <w:rFonts w:eastAsiaTheme="minorEastAsia"/>
        </w:rPr>
        <w:t>5</w:t>
      </w:r>
      <w:r w:rsidR="00E94C87" w:rsidRPr="00FB47FC">
        <w:rPr>
          <w:rFonts w:eastAsiaTheme="minorEastAsia"/>
        </w:rPr>
        <w:t xml:space="preserve"> </w:t>
      </w:r>
      <w:r w:rsidR="00D366F7" w:rsidRPr="00FB47FC">
        <w:rPr>
          <w:rFonts w:eastAsiaTheme="minorEastAsia"/>
        </w:rPr>
        <w:t>рік</w:t>
      </w:r>
      <w:r w:rsidR="008B4312" w:rsidRPr="00FB47FC">
        <w:rPr>
          <w:rFonts w:eastAsiaTheme="minorEastAsia"/>
        </w:rPr>
        <w:t xml:space="preserve"> </w:t>
      </w:r>
      <w:r w:rsidR="00E648E0" w:rsidRPr="00FB47FC">
        <w:rPr>
          <w:rFonts w:eastAsiaTheme="minorEastAsia"/>
        </w:rPr>
        <w:t>(затве</w:t>
      </w:r>
      <w:r w:rsidR="003B51D6" w:rsidRPr="00FB47FC">
        <w:rPr>
          <w:rFonts w:eastAsiaTheme="minorEastAsia"/>
        </w:rPr>
        <w:t xml:space="preserve">рджений наказом ДСА України від </w:t>
      </w:r>
      <w:r w:rsidR="00E648E0" w:rsidRPr="00FB47FC">
        <w:rPr>
          <w:rFonts w:eastAsiaTheme="minorEastAsia"/>
        </w:rPr>
        <w:t>09.03.2017 № 311, зі змінами)</w:t>
      </w:r>
      <w:r w:rsidR="00BD5DC6" w:rsidRPr="00FB47FC">
        <w:rPr>
          <w:rFonts w:eastAsiaTheme="minorEastAsia"/>
        </w:rPr>
        <w:t>;</w:t>
      </w:r>
    </w:p>
    <w:p w:rsidR="00E02D70" w:rsidRDefault="00491637" w:rsidP="00E02D70">
      <w:pPr>
        <w:ind w:firstLine="567"/>
        <w:jc w:val="both"/>
        <w:rPr>
          <w:noProof/>
        </w:rPr>
      </w:pPr>
      <w:r w:rsidRPr="00FB47FC">
        <w:t>«З</w:t>
      </w:r>
      <w:r w:rsidR="00D366F7" w:rsidRPr="00FB47FC">
        <w:t xml:space="preserve">віт про справляння, звільнення від сплати та повернення судового збору в місцевих та апеляційних судах», </w:t>
      </w:r>
      <w:r w:rsidR="00D366F7" w:rsidRPr="00FB47FC">
        <w:rPr>
          <w:b/>
        </w:rPr>
        <w:t xml:space="preserve">форма № 10 </w:t>
      </w:r>
      <w:r w:rsidR="00051918" w:rsidRPr="00FB47FC">
        <w:rPr>
          <w:rFonts w:eastAsiaTheme="minorEastAsia"/>
        </w:rPr>
        <w:t xml:space="preserve">за </w:t>
      </w:r>
      <w:r w:rsidR="00E94C87" w:rsidRPr="00FB47FC">
        <w:rPr>
          <w:rFonts w:eastAsiaTheme="minorEastAsia"/>
        </w:rPr>
        <w:t>202</w:t>
      </w:r>
      <w:r w:rsidR="00E31B53" w:rsidRPr="00FB47FC">
        <w:rPr>
          <w:rFonts w:eastAsiaTheme="minorEastAsia"/>
        </w:rPr>
        <w:t>5</w:t>
      </w:r>
      <w:r w:rsidR="00E94C87" w:rsidRPr="00FB47FC">
        <w:rPr>
          <w:rFonts w:eastAsiaTheme="minorEastAsia"/>
        </w:rPr>
        <w:t xml:space="preserve"> рік</w:t>
      </w:r>
      <w:r w:rsidR="00C9013D" w:rsidRPr="00FB47FC">
        <w:t>,</w:t>
      </w:r>
      <w:r w:rsidR="008B4312" w:rsidRPr="00FB47FC">
        <w:t xml:space="preserve"> </w:t>
      </w:r>
      <w:r w:rsidR="00E648E0" w:rsidRPr="00FB47FC">
        <w:rPr>
          <w:rFonts w:eastAsiaTheme="minorEastAsia"/>
        </w:rPr>
        <w:t xml:space="preserve">(затверджений наказом </w:t>
      </w:r>
      <w:r w:rsidR="003B51D6" w:rsidRPr="00FB47FC">
        <w:rPr>
          <w:rFonts w:eastAsiaTheme="minorEastAsia"/>
        </w:rPr>
        <w:t xml:space="preserve">ДСА </w:t>
      </w:r>
      <w:r w:rsidR="00E648E0" w:rsidRPr="00FB47FC">
        <w:rPr>
          <w:rFonts w:eastAsiaTheme="minorEastAsia"/>
        </w:rPr>
        <w:t>України</w:t>
      </w:r>
      <w:r w:rsidR="008B4312" w:rsidRPr="00FB47FC">
        <w:rPr>
          <w:rFonts w:eastAsiaTheme="minorEastAsia"/>
        </w:rPr>
        <w:t xml:space="preserve"> </w:t>
      </w:r>
      <w:r w:rsidR="003B51D6" w:rsidRPr="00FB47FC">
        <w:rPr>
          <w:rFonts w:eastAsiaTheme="minorEastAsia"/>
        </w:rPr>
        <w:t xml:space="preserve">від </w:t>
      </w:r>
      <w:r w:rsidR="00E648E0" w:rsidRPr="00FB47FC">
        <w:rPr>
          <w:rFonts w:eastAsiaTheme="minorEastAsia"/>
        </w:rPr>
        <w:t>21.12.2012 № 172, зі змінами)</w:t>
      </w:r>
      <w:r w:rsidR="00BD5DC6" w:rsidRPr="00FB47FC">
        <w:rPr>
          <w:rFonts w:eastAsiaTheme="minorEastAsia"/>
        </w:rPr>
        <w:t>;</w:t>
      </w:r>
      <w:r w:rsidR="00F477C2" w:rsidRPr="00FB47FC">
        <w:rPr>
          <w:rFonts w:eastAsiaTheme="minorEastAsia"/>
        </w:rPr>
        <w:t xml:space="preserve"> </w:t>
      </w:r>
    </w:p>
    <w:p w:rsidR="00E02D70" w:rsidRDefault="00E648E0" w:rsidP="00E02D70">
      <w:pPr>
        <w:ind w:firstLine="567"/>
        <w:jc w:val="both"/>
        <w:rPr>
          <w:noProof/>
        </w:rPr>
      </w:pPr>
      <w:r w:rsidRPr="00FB47FC">
        <w:rPr>
          <w:noProof/>
        </w:rPr>
        <w:t>«</w:t>
      </w:r>
      <w:r w:rsidR="00491637" w:rsidRPr="00FB47FC">
        <w:rPr>
          <w:noProof/>
        </w:rPr>
        <w:t>О</w:t>
      </w:r>
      <w:r w:rsidRPr="00FB47FC">
        <w:rPr>
          <w:noProof/>
        </w:rPr>
        <w:t>перативний статистичний звіт щодо стану здійснення правосуддя місцевими та апеляційними судами</w:t>
      </w:r>
      <w:r w:rsidR="00565324" w:rsidRPr="00FB47FC">
        <w:rPr>
          <w:noProof/>
        </w:rPr>
        <w:t xml:space="preserve">», </w:t>
      </w:r>
      <w:r w:rsidR="00565324" w:rsidRPr="00FB47FC">
        <w:rPr>
          <w:b/>
          <w:noProof/>
        </w:rPr>
        <w:t>форма № 1-ЄЗ</w:t>
      </w:r>
      <w:r w:rsidR="00051918" w:rsidRPr="00FB47FC">
        <w:rPr>
          <w:noProof/>
        </w:rPr>
        <w:t xml:space="preserve"> за </w:t>
      </w:r>
      <w:r w:rsidR="00E94C87" w:rsidRPr="00FB47FC">
        <w:rPr>
          <w:noProof/>
        </w:rPr>
        <w:t>202</w:t>
      </w:r>
      <w:r w:rsidR="00E31B53" w:rsidRPr="00FB47FC">
        <w:rPr>
          <w:noProof/>
        </w:rPr>
        <w:t>5</w:t>
      </w:r>
      <w:r w:rsidR="00E94C87" w:rsidRPr="00FB47FC">
        <w:rPr>
          <w:noProof/>
        </w:rPr>
        <w:t xml:space="preserve"> рік</w:t>
      </w:r>
      <w:r w:rsidR="009E71BF" w:rsidRPr="00FB47FC">
        <w:rPr>
          <w:noProof/>
        </w:rPr>
        <w:t xml:space="preserve"> </w:t>
      </w:r>
      <w:r w:rsidRPr="00FB47FC">
        <w:rPr>
          <w:noProof/>
        </w:rPr>
        <w:t xml:space="preserve">(затверджений наказом </w:t>
      </w:r>
      <w:r w:rsidR="00AC6C8E" w:rsidRPr="00FB47FC">
        <w:rPr>
          <w:noProof/>
        </w:rPr>
        <w:t>ДСА України від 05.</w:t>
      </w:r>
      <w:r w:rsidR="003B51D6" w:rsidRPr="00FB47FC">
        <w:rPr>
          <w:noProof/>
        </w:rPr>
        <w:t>0</w:t>
      </w:r>
      <w:r w:rsidR="00AC6C8E" w:rsidRPr="00FB47FC">
        <w:rPr>
          <w:noProof/>
        </w:rPr>
        <w:t>7.2022 №215</w:t>
      </w:r>
      <w:r w:rsidRPr="00FB47FC">
        <w:rPr>
          <w:noProof/>
        </w:rPr>
        <w:t>)</w:t>
      </w:r>
      <w:r w:rsidR="00BD5DC6" w:rsidRPr="00FB47FC">
        <w:rPr>
          <w:rFonts w:eastAsiaTheme="minorEastAsia"/>
          <w:noProof/>
        </w:rPr>
        <w:t>.</w:t>
      </w:r>
    </w:p>
    <w:p w:rsidR="00E02D70" w:rsidRDefault="00E33456" w:rsidP="00E02D70">
      <w:pPr>
        <w:ind w:firstLine="567"/>
        <w:jc w:val="both"/>
        <w:rPr>
          <w:noProof/>
        </w:rPr>
      </w:pPr>
      <w:r w:rsidRPr="00FB47FC">
        <w:rPr>
          <w:noProof/>
        </w:rPr>
        <w:t xml:space="preserve">Відповідно до листа ДСА України від 11.04.2017 №10-3103/17 «Про інформування ДСА України щодо направлення виконавчих документів», </w:t>
      </w:r>
      <w:r w:rsidRPr="00FB47FC">
        <w:rPr>
          <w:rFonts w:eastAsia="Calibri"/>
          <w:b/>
          <w:noProof/>
        </w:rPr>
        <w:t>щомісячно</w:t>
      </w:r>
      <w:r w:rsidRPr="00FB47FC">
        <w:rPr>
          <w:rFonts w:eastAsia="Calibri"/>
          <w:noProof/>
        </w:rPr>
        <w:t xml:space="preserve"> </w:t>
      </w:r>
      <w:r w:rsidRPr="00FB47FC">
        <w:rPr>
          <w:rFonts w:eastAsia="Calibri"/>
          <w:noProof/>
          <w:lang w:eastAsia="en-US"/>
        </w:rPr>
        <w:t xml:space="preserve">підготовлено та направлено до Державної судової адміністрації України інформацію </w:t>
      </w:r>
      <w:r w:rsidRPr="00FB47FC">
        <w:t>відносно направлення виконавчих документів про стягнення судового збору, накладення штрафу (як засобу процесуального примусу) до органів державної виконавчої служби.</w:t>
      </w:r>
    </w:p>
    <w:p w:rsidR="00E02D70" w:rsidRDefault="00422BFF" w:rsidP="00E02D70">
      <w:pPr>
        <w:ind w:firstLine="567"/>
        <w:jc w:val="both"/>
        <w:rPr>
          <w:noProof/>
        </w:rPr>
      </w:pPr>
      <w:r w:rsidRPr="00FB47FC">
        <w:rPr>
          <w:noProof/>
        </w:rPr>
        <w:t>За даними статистичної звітності</w:t>
      </w:r>
      <w:r w:rsidR="0034788F" w:rsidRPr="00FB47FC">
        <w:rPr>
          <w:noProof/>
        </w:rPr>
        <w:t xml:space="preserve"> в </w:t>
      </w:r>
      <w:r w:rsidRPr="00FB47FC">
        <w:rPr>
          <w:noProof/>
        </w:rPr>
        <w:t>202</w:t>
      </w:r>
      <w:r w:rsidR="0025766C" w:rsidRPr="00FB47FC">
        <w:rPr>
          <w:noProof/>
        </w:rPr>
        <w:t>5</w:t>
      </w:r>
      <w:r w:rsidRPr="00FB47FC">
        <w:rPr>
          <w:noProof/>
        </w:rPr>
        <w:t xml:space="preserve"> ро</w:t>
      </w:r>
      <w:r w:rsidR="0034788F" w:rsidRPr="00FB47FC">
        <w:rPr>
          <w:noProof/>
        </w:rPr>
        <w:t xml:space="preserve">ці в провадженні </w:t>
      </w:r>
      <w:r w:rsidRPr="00FB47FC">
        <w:rPr>
          <w:noProof/>
        </w:rPr>
        <w:t>Т</w:t>
      </w:r>
      <w:r w:rsidR="00EA58D6">
        <w:rPr>
          <w:noProof/>
        </w:rPr>
        <w:t xml:space="preserve">ретього апеляційного адміністративного суду </w:t>
      </w:r>
      <w:r w:rsidR="0034788F" w:rsidRPr="00FB47FC">
        <w:rPr>
          <w:noProof/>
        </w:rPr>
        <w:t>всього перебувало</w:t>
      </w:r>
      <w:r w:rsidR="00F8749D" w:rsidRPr="00FB47FC">
        <w:rPr>
          <w:b/>
          <w:noProof/>
        </w:rPr>
        <w:t xml:space="preserve"> 43 982 </w:t>
      </w:r>
      <w:r w:rsidR="00B413D3" w:rsidRPr="00FB47FC">
        <w:rPr>
          <w:noProof/>
        </w:rPr>
        <w:t>адміністративних апеляційн</w:t>
      </w:r>
      <w:r w:rsidR="0034788F" w:rsidRPr="00FB47FC">
        <w:rPr>
          <w:noProof/>
        </w:rPr>
        <w:t xml:space="preserve">их скарг і матеріалів, із них: </w:t>
      </w:r>
      <w:r w:rsidR="00F8749D" w:rsidRPr="00FB47FC">
        <w:rPr>
          <w:b/>
          <w:noProof/>
        </w:rPr>
        <w:t>1</w:t>
      </w:r>
      <w:r w:rsidR="00B413D3" w:rsidRPr="00FB47FC">
        <w:rPr>
          <w:noProof/>
        </w:rPr>
        <w:t xml:space="preserve"> позовн</w:t>
      </w:r>
      <w:r w:rsidR="00F8749D" w:rsidRPr="00FB47FC">
        <w:rPr>
          <w:noProof/>
        </w:rPr>
        <w:t>а</w:t>
      </w:r>
      <w:r w:rsidR="006B683A" w:rsidRPr="00FB47FC">
        <w:rPr>
          <w:noProof/>
        </w:rPr>
        <w:t xml:space="preserve"> </w:t>
      </w:r>
      <w:r w:rsidR="00B413D3" w:rsidRPr="00FB47FC">
        <w:rPr>
          <w:noProof/>
        </w:rPr>
        <w:t>заяв</w:t>
      </w:r>
      <w:r w:rsidR="00F8749D" w:rsidRPr="00FB47FC">
        <w:rPr>
          <w:noProof/>
        </w:rPr>
        <w:t>а</w:t>
      </w:r>
      <w:r w:rsidR="00B413D3" w:rsidRPr="00FB47FC">
        <w:rPr>
          <w:noProof/>
        </w:rPr>
        <w:t xml:space="preserve">, </w:t>
      </w:r>
      <w:r w:rsidR="00F8749D" w:rsidRPr="00FB47FC">
        <w:rPr>
          <w:b/>
          <w:noProof/>
        </w:rPr>
        <w:t>43 766</w:t>
      </w:r>
      <w:r w:rsidR="006B683A" w:rsidRPr="00FB47FC">
        <w:rPr>
          <w:b/>
          <w:noProof/>
        </w:rPr>
        <w:t xml:space="preserve"> </w:t>
      </w:r>
      <w:r w:rsidR="00B413D3" w:rsidRPr="00FB47FC">
        <w:rPr>
          <w:noProof/>
        </w:rPr>
        <w:t>апеляційних скарг</w:t>
      </w:r>
      <w:r w:rsidR="00F8749D" w:rsidRPr="00FB47FC">
        <w:rPr>
          <w:b/>
          <w:noProof/>
        </w:rPr>
        <w:t xml:space="preserve">, 15 </w:t>
      </w:r>
      <w:r w:rsidR="00F8749D" w:rsidRPr="00FB47FC">
        <w:rPr>
          <w:noProof/>
        </w:rPr>
        <w:t xml:space="preserve">справ про перегляд судових рішень за нововиявленими або виключними обставинами, </w:t>
      </w:r>
      <w:r w:rsidR="00F8749D" w:rsidRPr="00FB47FC">
        <w:rPr>
          <w:b/>
          <w:noProof/>
        </w:rPr>
        <w:t>1</w:t>
      </w:r>
      <w:r w:rsidR="00F8749D" w:rsidRPr="00FB47FC">
        <w:rPr>
          <w:noProof/>
        </w:rPr>
        <w:t xml:space="preserve"> справа</w:t>
      </w:r>
      <w:r w:rsidR="00F8749D" w:rsidRPr="00FB47FC">
        <w:rPr>
          <w:b/>
          <w:noProof/>
        </w:rPr>
        <w:t xml:space="preserve"> </w:t>
      </w:r>
      <w:r w:rsidR="00F8749D" w:rsidRPr="00FB47FC">
        <w:rPr>
          <w:noProof/>
        </w:rPr>
        <w:t xml:space="preserve">в порядку виконання судових рішень, </w:t>
      </w:r>
      <w:r w:rsidR="00F8749D" w:rsidRPr="00FB47FC">
        <w:rPr>
          <w:b/>
          <w:noProof/>
        </w:rPr>
        <w:t>119</w:t>
      </w:r>
      <w:r w:rsidR="00F8749D" w:rsidRPr="00FB47FC">
        <w:rPr>
          <w:noProof/>
        </w:rPr>
        <w:t xml:space="preserve"> заяв про відвід судді, </w:t>
      </w:r>
      <w:r w:rsidR="00F8749D" w:rsidRPr="00FB47FC">
        <w:rPr>
          <w:b/>
          <w:noProof/>
        </w:rPr>
        <w:t>80</w:t>
      </w:r>
      <w:r w:rsidR="00F8749D" w:rsidRPr="00FB47FC">
        <w:rPr>
          <w:noProof/>
        </w:rPr>
        <w:t xml:space="preserve"> з</w:t>
      </w:r>
      <w:r w:rsidR="00E02D70">
        <w:rPr>
          <w:noProof/>
        </w:rPr>
        <w:t>аяв про визначення підсудності.</w:t>
      </w:r>
    </w:p>
    <w:p w:rsidR="00E02D70" w:rsidRDefault="00E02D70" w:rsidP="00E02D70">
      <w:pPr>
        <w:ind w:firstLine="567"/>
        <w:jc w:val="both"/>
        <w:rPr>
          <w:noProof/>
        </w:rPr>
      </w:pPr>
    </w:p>
    <w:p w:rsidR="00E02D70" w:rsidRDefault="00E02D70" w:rsidP="00E02D70">
      <w:pPr>
        <w:ind w:firstLine="567"/>
        <w:jc w:val="both"/>
        <w:rPr>
          <w:noProof/>
        </w:rPr>
      </w:pPr>
    </w:p>
    <w:p w:rsidR="00E02D70" w:rsidRDefault="00E02D70" w:rsidP="00E02D70">
      <w:pPr>
        <w:ind w:firstLine="567"/>
        <w:jc w:val="both"/>
        <w:rPr>
          <w:noProof/>
        </w:rPr>
      </w:pPr>
    </w:p>
    <w:p w:rsidR="00E02D70" w:rsidRDefault="00E02D70" w:rsidP="00E02D70">
      <w:pPr>
        <w:ind w:firstLine="567"/>
        <w:jc w:val="both"/>
        <w:rPr>
          <w:noProof/>
        </w:rPr>
      </w:pPr>
    </w:p>
    <w:p w:rsidR="00E02D70" w:rsidRDefault="00E02D70" w:rsidP="00E02D70">
      <w:pPr>
        <w:ind w:firstLine="567"/>
        <w:jc w:val="both"/>
        <w:rPr>
          <w:noProof/>
        </w:rPr>
      </w:pPr>
    </w:p>
    <w:p w:rsidR="00E02D70" w:rsidRDefault="00E02D70" w:rsidP="00E02D70">
      <w:pPr>
        <w:ind w:firstLine="567"/>
        <w:jc w:val="both"/>
        <w:rPr>
          <w:noProof/>
        </w:rPr>
      </w:pPr>
    </w:p>
    <w:p w:rsidR="00E02D70" w:rsidRDefault="00E02D70" w:rsidP="00E02D70">
      <w:pPr>
        <w:ind w:firstLine="567"/>
        <w:jc w:val="both"/>
        <w:rPr>
          <w:noProof/>
        </w:rPr>
      </w:pPr>
    </w:p>
    <w:p w:rsidR="00E02D70" w:rsidRDefault="00E02D70" w:rsidP="00E02D70">
      <w:pPr>
        <w:ind w:firstLine="567"/>
        <w:jc w:val="both"/>
        <w:rPr>
          <w:noProof/>
        </w:rPr>
      </w:pPr>
    </w:p>
    <w:p w:rsidR="00E02D70" w:rsidRDefault="00E02D70" w:rsidP="00E02D70">
      <w:pPr>
        <w:ind w:firstLine="567"/>
        <w:jc w:val="both"/>
        <w:rPr>
          <w:noProof/>
        </w:rPr>
      </w:pPr>
    </w:p>
    <w:p w:rsidR="00CF3D2F" w:rsidRPr="00E02D70" w:rsidRDefault="002D47BC" w:rsidP="00E02D70">
      <w:pPr>
        <w:ind w:firstLine="567"/>
        <w:jc w:val="both"/>
        <w:rPr>
          <w:noProof/>
        </w:rPr>
      </w:pPr>
      <w:r w:rsidRPr="00FB47FC">
        <w:rPr>
          <w:noProof/>
        </w:rPr>
        <w:lastRenderedPageBreak/>
        <w:t xml:space="preserve">Показники </w:t>
      </w:r>
      <w:r w:rsidR="00C623C3" w:rsidRPr="00FB47FC">
        <w:rPr>
          <w:noProof/>
        </w:rPr>
        <w:t>здійснення правосуддя</w:t>
      </w:r>
      <w:r w:rsidR="006C4765" w:rsidRPr="00FB47FC">
        <w:rPr>
          <w:noProof/>
        </w:rPr>
        <w:t xml:space="preserve"> в 202</w:t>
      </w:r>
      <w:r w:rsidR="00DD4F1A" w:rsidRPr="00FB47FC">
        <w:rPr>
          <w:noProof/>
        </w:rPr>
        <w:t>3</w:t>
      </w:r>
      <w:r w:rsidR="006C4765" w:rsidRPr="00FB47FC">
        <w:rPr>
          <w:noProof/>
        </w:rPr>
        <w:t>-202</w:t>
      </w:r>
      <w:r w:rsidR="001F70A7" w:rsidRPr="00FB47FC">
        <w:rPr>
          <w:noProof/>
        </w:rPr>
        <w:t>5</w:t>
      </w:r>
      <w:r w:rsidR="00DD4F1A" w:rsidRPr="00FB47FC">
        <w:rPr>
          <w:noProof/>
        </w:rPr>
        <w:t xml:space="preserve"> років відображено в </w:t>
      </w:r>
      <w:r w:rsidR="00BD071B">
        <w:t>гістограмі</w:t>
      </w:r>
      <w:r w:rsidR="00FB47FC">
        <w:t xml:space="preserve"> </w:t>
      </w:r>
      <w:r w:rsidR="00DD4F1A" w:rsidRPr="00FB47FC">
        <w:t>1.</w:t>
      </w:r>
    </w:p>
    <w:p w:rsidR="00DD4F1A" w:rsidRPr="00FB47FC" w:rsidRDefault="00FD4B19" w:rsidP="00FB47FC">
      <w:pPr>
        <w:shd w:val="clear" w:color="auto" w:fill="FFFFFF"/>
        <w:tabs>
          <w:tab w:val="left" w:pos="-2700"/>
          <w:tab w:val="left" w:pos="0"/>
        </w:tabs>
        <w:jc w:val="right"/>
        <w:rPr>
          <w:b/>
          <w:noProof/>
        </w:rPr>
      </w:pPr>
      <w:r>
        <w:rPr>
          <w:noProof/>
        </w:rPr>
        <w:t>Гістограма 1</w:t>
      </w:r>
    </w:p>
    <w:p w:rsidR="00F00EA3" w:rsidRDefault="00DD4F1A" w:rsidP="00E55606">
      <w:pPr>
        <w:shd w:val="clear" w:color="auto" w:fill="FFFFFF"/>
        <w:tabs>
          <w:tab w:val="left" w:pos="-2700"/>
          <w:tab w:val="left" w:pos="0"/>
        </w:tabs>
        <w:jc w:val="both"/>
        <w:rPr>
          <w:noProof/>
        </w:rPr>
      </w:pPr>
      <w:r>
        <w:rPr>
          <w:noProof/>
          <w:lang w:val="en-US" w:eastAsia="en-US"/>
        </w:rPr>
        <w:drawing>
          <wp:inline distT="0" distB="0" distL="0" distR="0" wp14:anchorId="2B3A18F0" wp14:editId="6EDB81E8">
            <wp:extent cx="5924550" cy="3705225"/>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02D70" w:rsidRDefault="00E02D70" w:rsidP="00E02D70">
      <w:pPr>
        <w:tabs>
          <w:tab w:val="left" w:pos="851"/>
          <w:tab w:val="left" w:pos="1276"/>
        </w:tabs>
        <w:jc w:val="both"/>
        <w:rPr>
          <w:noProof/>
        </w:rPr>
      </w:pPr>
      <w:r>
        <w:rPr>
          <w:noProof/>
        </w:rPr>
        <w:tab/>
      </w:r>
      <w:r w:rsidR="00EE5561" w:rsidRPr="00FB47FC">
        <w:rPr>
          <w:noProof/>
        </w:rPr>
        <w:t xml:space="preserve">За категоріями адміністративних справ протягом звітного періоду </w:t>
      </w:r>
      <w:r w:rsidR="008A1B07" w:rsidRPr="00FB47FC">
        <w:rPr>
          <w:noProof/>
        </w:rPr>
        <w:t xml:space="preserve">провадження було закінчено по </w:t>
      </w:r>
      <w:r w:rsidR="00942A4D" w:rsidRPr="00FB47FC">
        <w:rPr>
          <w:b/>
          <w:noProof/>
        </w:rPr>
        <w:t>30 572</w:t>
      </w:r>
      <w:r w:rsidR="008A1B07" w:rsidRPr="00FB47FC">
        <w:rPr>
          <w:noProof/>
        </w:rPr>
        <w:t xml:space="preserve"> </w:t>
      </w:r>
      <w:r w:rsidR="00EE5561" w:rsidRPr="00FB47FC">
        <w:rPr>
          <w:noProof/>
        </w:rPr>
        <w:t xml:space="preserve">справам, у тому </w:t>
      </w:r>
      <w:r w:rsidR="00E55606" w:rsidRPr="00FB47FC">
        <w:rPr>
          <w:noProof/>
        </w:rPr>
        <w:t xml:space="preserve">числі: за апеляційними скаргами </w:t>
      </w:r>
      <w:r w:rsidR="00F136F9" w:rsidRPr="00FB47FC">
        <w:rPr>
          <w:b/>
          <w:noProof/>
        </w:rPr>
        <w:t>30 360</w:t>
      </w:r>
      <w:r w:rsidR="00D43D28" w:rsidRPr="00FB47FC">
        <w:rPr>
          <w:noProof/>
        </w:rPr>
        <w:t xml:space="preserve">; </w:t>
      </w:r>
      <w:r w:rsidR="00D43D28" w:rsidRPr="00FB47FC">
        <w:rPr>
          <w:b/>
          <w:noProof/>
        </w:rPr>
        <w:t>13</w:t>
      </w:r>
      <w:r w:rsidR="00EE5561" w:rsidRPr="00FB47FC">
        <w:rPr>
          <w:noProof/>
        </w:rPr>
        <w:t xml:space="preserve"> справ про перегляд судових рішень за нововиявлен</w:t>
      </w:r>
      <w:r w:rsidR="00D43D28" w:rsidRPr="00FB47FC">
        <w:rPr>
          <w:noProof/>
        </w:rPr>
        <w:t xml:space="preserve">ими або виключними обставинами; </w:t>
      </w:r>
      <w:r w:rsidR="00D43D28" w:rsidRPr="00FB47FC">
        <w:rPr>
          <w:b/>
          <w:noProof/>
        </w:rPr>
        <w:t>119</w:t>
      </w:r>
      <w:r w:rsidR="00EE5561" w:rsidRPr="00FB47FC">
        <w:rPr>
          <w:noProof/>
        </w:rPr>
        <w:t xml:space="preserve"> заяв</w:t>
      </w:r>
      <w:r w:rsidR="00D43D28" w:rsidRPr="00FB47FC">
        <w:rPr>
          <w:noProof/>
        </w:rPr>
        <w:t xml:space="preserve"> про відвід судді; </w:t>
      </w:r>
      <w:r w:rsidR="00D43D28" w:rsidRPr="00FB47FC">
        <w:rPr>
          <w:b/>
          <w:noProof/>
        </w:rPr>
        <w:t>80</w:t>
      </w:r>
      <w:r w:rsidR="00D43D28" w:rsidRPr="00FB47FC">
        <w:rPr>
          <w:noProof/>
        </w:rPr>
        <w:t xml:space="preserve"> </w:t>
      </w:r>
      <w:r w:rsidR="00EE5561" w:rsidRPr="00FB47FC">
        <w:rPr>
          <w:noProof/>
        </w:rPr>
        <w:t>заяв про визначення підсудності.</w:t>
      </w:r>
      <w:r w:rsidR="00B816CB" w:rsidRPr="00FB47FC">
        <w:rPr>
          <w:noProof/>
        </w:rPr>
        <w:t xml:space="preserve"> </w:t>
      </w:r>
      <w:r w:rsidR="00896D7C" w:rsidRPr="00FB47FC">
        <w:rPr>
          <w:noProof/>
        </w:rPr>
        <w:t xml:space="preserve">Відсоток розгляду апеляційних скарг і матеріалів склав </w:t>
      </w:r>
      <w:r w:rsidR="009D59D4" w:rsidRPr="00FB47FC">
        <w:rPr>
          <w:b/>
          <w:noProof/>
        </w:rPr>
        <w:t>8</w:t>
      </w:r>
      <w:r w:rsidR="00F136F9" w:rsidRPr="00FB47FC">
        <w:rPr>
          <w:b/>
          <w:noProof/>
        </w:rPr>
        <w:t>3,8</w:t>
      </w:r>
      <w:r w:rsidR="00896D7C" w:rsidRPr="00FB47FC">
        <w:rPr>
          <w:b/>
          <w:noProof/>
        </w:rPr>
        <w:t>%</w:t>
      </w:r>
      <w:r w:rsidR="00896D7C" w:rsidRPr="00FB47FC">
        <w:rPr>
          <w:noProof/>
        </w:rPr>
        <w:t xml:space="preserve"> (співвідношення справ</w:t>
      </w:r>
      <w:r w:rsidR="00C623C3" w:rsidRPr="00FB47FC">
        <w:rPr>
          <w:noProof/>
        </w:rPr>
        <w:t xml:space="preserve"> та матеріалів, що надійшли </w:t>
      </w:r>
      <w:r w:rsidR="00703D50" w:rsidRPr="00FB47FC">
        <w:rPr>
          <w:noProof/>
        </w:rPr>
        <w:t xml:space="preserve">у звітному періоді та </w:t>
      </w:r>
      <w:r w:rsidR="00F136F9" w:rsidRPr="00FB47FC">
        <w:rPr>
          <w:noProof/>
        </w:rPr>
        <w:t xml:space="preserve">кількість розглянутих). Відсоток справ та матеріалів, загальний термін проходження яких триває понад один рік становить </w:t>
      </w:r>
      <w:r w:rsidR="00F136F9" w:rsidRPr="00FB47FC">
        <w:rPr>
          <w:b/>
          <w:noProof/>
        </w:rPr>
        <w:t>2,5%</w:t>
      </w:r>
      <w:r w:rsidR="00F136F9" w:rsidRPr="00FB47FC">
        <w:rPr>
          <w:noProof/>
        </w:rPr>
        <w:t>.</w:t>
      </w:r>
    </w:p>
    <w:p w:rsidR="00E02D70" w:rsidRDefault="00E02D70" w:rsidP="00E02D70">
      <w:pPr>
        <w:tabs>
          <w:tab w:val="left" w:pos="851"/>
          <w:tab w:val="left" w:pos="1276"/>
        </w:tabs>
        <w:jc w:val="both"/>
        <w:rPr>
          <w:bCs/>
        </w:rPr>
      </w:pPr>
      <w:r>
        <w:rPr>
          <w:noProof/>
        </w:rPr>
        <w:tab/>
      </w:r>
      <w:r w:rsidR="00DA4493" w:rsidRPr="00FB47FC">
        <w:rPr>
          <w:bCs/>
          <w:noProof/>
        </w:rPr>
        <w:t>У звітному періоді з числа розглянутих апеляційних</w:t>
      </w:r>
      <w:r w:rsidR="001640BE" w:rsidRPr="00FB47FC">
        <w:rPr>
          <w:bCs/>
          <w:noProof/>
        </w:rPr>
        <w:t xml:space="preserve"> скарг і матеріалів в кількості </w:t>
      </w:r>
      <w:r w:rsidR="009D59D4" w:rsidRPr="00FB47FC">
        <w:rPr>
          <w:b/>
          <w:bCs/>
          <w:noProof/>
        </w:rPr>
        <w:t>30 572</w:t>
      </w:r>
      <w:r w:rsidR="0009349F" w:rsidRPr="00FB47FC">
        <w:rPr>
          <w:b/>
          <w:bCs/>
          <w:noProof/>
        </w:rPr>
        <w:t xml:space="preserve"> </w:t>
      </w:r>
      <w:r w:rsidR="00DA4493" w:rsidRPr="00FB47FC">
        <w:rPr>
          <w:bCs/>
          <w:noProof/>
        </w:rPr>
        <w:t>у порядку письмового провадження розглянут</w:t>
      </w:r>
      <w:r w:rsidR="009D59D4" w:rsidRPr="00FB47FC">
        <w:rPr>
          <w:bCs/>
          <w:noProof/>
        </w:rPr>
        <w:t xml:space="preserve">о </w:t>
      </w:r>
      <w:r w:rsidR="009D59D4" w:rsidRPr="00FB47FC">
        <w:rPr>
          <w:b/>
          <w:bCs/>
          <w:noProof/>
        </w:rPr>
        <w:t>20 619</w:t>
      </w:r>
      <w:r w:rsidR="00DA4493" w:rsidRPr="00FB47FC">
        <w:rPr>
          <w:bCs/>
          <w:noProof/>
        </w:rPr>
        <w:t>, судове провадження в яких здійснюв</w:t>
      </w:r>
      <w:r w:rsidR="001640BE" w:rsidRPr="00FB47FC">
        <w:rPr>
          <w:bCs/>
          <w:noProof/>
        </w:rPr>
        <w:t xml:space="preserve">алось у режимі відеоконференції </w:t>
      </w:r>
      <w:r w:rsidR="009D59D4" w:rsidRPr="00FB47FC">
        <w:rPr>
          <w:b/>
          <w:bCs/>
          <w:noProof/>
        </w:rPr>
        <w:t>553</w:t>
      </w:r>
      <w:r w:rsidR="00DA4493" w:rsidRPr="00FB47FC">
        <w:rPr>
          <w:b/>
          <w:bCs/>
          <w:noProof/>
        </w:rPr>
        <w:t xml:space="preserve">, </w:t>
      </w:r>
      <w:r w:rsidR="00DA4493" w:rsidRPr="00FB47FC">
        <w:rPr>
          <w:bCs/>
          <w:noProof/>
        </w:rPr>
        <w:t xml:space="preserve">розглянуті із фіксуванням судового </w:t>
      </w:r>
      <w:r w:rsidR="009D59D4" w:rsidRPr="00FB47FC">
        <w:rPr>
          <w:bCs/>
          <w:noProof/>
        </w:rPr>
        <w:t>процесу технічними засобами</w:t>
      </w:r>
      <w:r w:rsidR="009D59D4" w:rsidRPr="00FB47FC">
        <w:rPr>
          <w:b/>
          <w:bCs/>
          <w:noProof/>
        </w:rPr>
        <w:t xml:space="preserve"> 722</w:t>
      </w:r>
      <w:r w:rsidR="000E2EC8" w:rsidRPr="00FB47FC">
        <w:rPr>
          <w:bCs/>
          <w:noProof/>
        </w:rPr>
        <w:t xml:space="preserve">, також </w:t>
      </w:r>
      <w:r w:rsidR="000E2EC8" w:rsidRPr="00FB47FC">
        <w:rPr>
          <w:bCs/>
        </w:rPr>
        <w:t xml:space="preserve">постановлено </w:t>
      </w:r>
      <w:r w:rsidR="009D59D4" w:rsidRPr="00FB47FC">
        <w:rPr>
          <w:b/>
          <w:bCs/>
        </w:rPr>
        <w:t>2</w:t>
      </w:r>
      <w:r w:rsidR="000E2EC8" w:rsidRPr="00FB47FC">
        <w:rPr>
          <w:bCs/>
        </w:rPr>
        <w:t xml:space="preserve"> окрем</w:t>
      </w:r>
      <w:r w:rsidR="009D59D4" w:rsidRPr="00FB47FC">
        <w:rPr>
          <w:bCs/>
        </w:rPr>
        <w:t xml:space="preserve">их </w:t>
      </w:r>
      <w:r w:rsidR="000E2EC8" w:rsidRPr="00FB47FC">
        <w:rPr>
          <w:bCs/>
        </w:rPr>
        <w:t>ухвал</w:t>
      </w:r>
      <w:r w:rsidR="009D59D4" w:rsidRPr="00FB47FC">
        <w:rPr>
          <w:bCs/>
        </w:rPr>
        <w:t>и</w:t>
      </w:r>
      <w:r w:rsidR="000E2EC8" w:rsidRPr="00FB47FC">
        <w:rPr>
          <w:bCs/>
        </w:rPr>
        <w:t xml:space="preserve">; </w:t>
      </w:r>
      <w:r w:rsidR="009D59D4" w:rsidRPr="00FB47FC">
        <w:rPr>
          <w:b/>
          <w:bCs/>
        </w:rPr>
        <w:t>568</w:t>
      </w:r>
      <w:r w:rsidR="000E2EC8" w:rsidRPr="00FB47FC">
        <w:rPr>
          <w:bCs/>
        </w:rPr>
        <w:t xml:space="preserve"> судових рішень щодо розгляду питань про: виправлення описок чи очевидних арифметичних помилок у судовому рішенні; роз’яснення судового рішення; ухвален</w:t>
      </w:r>
      <w:r w:rsidR="00B62536" w:rsidRPr="00FB47FC">
        <w:rPr>
          <w:bCs/>
        </w:rPr>
        <w:t xml:space="preserve">ня додаткового судового рішення, </w:t>
      </w:r>
      <w:r w:rsidR="00B62536" w:rsidRPr="00FB47FC">
        <w:rPr>
          <w:noProof/>
        </w:rPr>
        <w:t xml:space="preserve">що складає </w:t>
      </w:r>
      <w:r w:rsidR="00B62536" w:rsidRPr="00FB47FC">
        <w:rPr>
          <w:b/>
          <w:noProof/>
        </w:rPr>
        <w:t>69,5%</w:t>
      </w:r>
      <w:r w:rsidR="00B62536" w:rsidRPr="00FB47FC">
        <w:rPr>
          <w:noProof/>
        </w:rPr>
        <w:t xml:space="preserve"> від загальної кількості апеляційних скарг, що перебували на розгляді суду.</w:t>
      </w:r>
    </w:p>
    <w:p w:rsidR="00E02D70" w:rsidRDefault="00E02D70" w:rsidP="00E02D70">
      <w:pPr>
        <w:tabs>
          <w:tab w:val="left" w:pos="851"/>
          <w:tab w:val="left" w:pos="1276"/>
        </w:tabs>
        <w:jc w:val="both"/>
        <w:rPr>
          <w:noProof/>
        </w:rPr>
      </w:pPr>
      <w:r>
        <w:rPr>
          <w:bCs/>
        </w:rPr>
        <w:tab/>
      </w:r>
      <w:r w:rsidR="00851C16" w:rsidRPr="00FB47FC">
        <w:rPr>
          <w:noProof/>
        </w:rPr>
        <w:t xml:space="preserve">Одним із </w:t>
      </w:r>
      <w:r w:rsidR="00CB15F6" w:rsidRPr="00FB47FC">
        <w:rPr>
          <w:noProof/>
        </w:rPr>
        <w:t xml:space="preserve">доцільних </w:t>
      </w:r>
      <w:r w:rsidR="00A3346B" w:rsidRPr="00FB47FC">
        <w:rPr>
          <w:noProof/>
        </w:rPr>
        <w:t>та</w:t>
      </w:r>
      <w:r w:rsidR="00CB15F6" w:rsidRPr="00FB47FC">
        <w:rPr>
          <w:noProof/>
        </w:rPr>
        <w:t xml:space="preserve"> </w:t>
      </w:r>
      <w:r w:rsidR="00851C16" w:rsidRPr="00FB47FC">
        <w:rPr>
          <w:noProof/>
        </w:rPr>
        <w:t>об’</w:t>
      </w:r>
      <w:r w:rsidR="00CB15F6" w:rsidRPr="00FB47FC">
        <w:rPr>
          <w:noProof/>
        </w:rPr>
        <w:t xml:space="preserve">єктивних показників, </w:t>
      </w:r>
      <w:r w:rsidR="00A3346B" w:rsidRPr="00FB47FC">
        <w:rPr>
          <w:noProof/>
        </w:rPr>
        <w:t xml:space="preserve">що </w:t>
      </w:r>
      <w:r w:rsidR="00FB7397" w:rsidRPr="00FB47FC">
        <w:rPr>
          <w:noProof/>
        </w:rPr>
        <w:t>свідча</w:t>
      </w:r>
      <w:r w:rsidR="00A3346B" w:rsidRPr="00FB47FC">
        <w:rPr>
          <w:noProof/>
        </w:rPr>
        <w:t>ть про ефективність роботи суду з розгляду справ порівняно із середнім (мінімальним та максим</w:t>
      </w:r>
      <w:r w:rsidR="00FB7397" w:rsidRPr="00FB47FC">
        <w:rPr>
          <w:noProof/>
        </w:rPr>
        <w:t xml:space="preserve">альним) навантаженням на </w:t>
      </w:r>
      <w:r w:rsidR="00A3346B" w:rsidRPr="00FB47FC">
        <w:rPr>
          <w:noProof/>
        </w:rPr>
        <w:t xml:space="preserve">суддю </w:t>
      </w:r>
      <w:r w:rsidR="00851C16" w:rsidRPr="00FB47FC">
        <w:rPr>
          <w:noProof/>
        </w:rPr>
        <w:t xml:space="preserve">є </w:t>
      </w:r>
      <w:r w:rsidR="0072631F" w:rsidRPr="00FB47FC">
        <w:rPr>
          <w:noProof/>
        </w:rPr>
        <w:t xml:space="preserve">середня кількість </w:t>
      </w:r>
      <w:r w:rsidR="00553197" w:rsidRPr="00FB47FC">
        <w:rPr>
          <w:noProof/>
        </w:rPr>
        <w:t>розглянутих</w:t>
      </w:r>
      <w:r w:rsidR="00851C16" w:rsidRPr="00FB47FC">
        <w:rPr>
          <w:noProof/>
        </w:rPr>
        <w:t xml:space="preserve"> справ на одного суддю </w:t>
      </w:r>
      <w:r w:rsidR="002740B0" w:rsidRPr="00FB47FC">
        <w:rPr>
          <w:b/>
          <w:noProof/>
        </w:rPr>
        <w:t>1329</w:t>
      </w:r>
      <w:r w:rsidR="002740B0" w:rsidRPr="00FB47FC">
        <w:rPr>
          <w:noProof/>
        </w:rPr>
        <w:t xml:space="preserve">, що складає </w:t>
      </w:r>
      <w:r w:rsidR="002740B0" w:rsidRPr="00FB47FC">
        <w:rPr>
          <w:b/>
          <w:noProof/>
        </w:rPr>
        <w:t>83,8</w:t>
      </w:r>
      <w:r w:rsidR="00E16DB6" w:rsidRPr="00FB47FC">
        <w:rPr>
          <w:b/>
          <w:noProof/>
        </w:rPr>
        <w:t>%</w:t>
      </w:r>
      <w:r w:rsidR="00DA4493" w:rsidRPr="00FB47FC">
        <w:rPr>
          <w:b/>
          <w:noProof/>
        </w:rPr>
        <w:t xml:space="preserve"> </w:t>
      </w:r>
      <w:r w:rsidR="00DA4493" w:rsidRPr="00FB47FC">
        <w:rPr>
          <w:noProof/>
        </w:rPr>
        <w:t>розгляду справ</w:t>
      </w:r>
      <w:r w:rsidR="00CB15F6" w:rsidRPr="00FB47FC">
        <w:rPr>
          <w:noProof/>
        </w:rPr>
        <w:t xml:space="preserve">, </w:t>
      </w:r>
      <w:r w:rsidR="006B1F35" w:rsidRPr="00FB47FC">
        <w:rPr>
          <w:noProof/>
        </w:rPr>
        <w:t xml:space="preserve">методика розрахунку якого затверджена рішенням Ради суддів України № 28 від 02.04.2015 </w:t>
      </w:r>
      <w:r w:rsidR="00D36D5C" w:rsidRPr="00FB47FC">
        <w:rPr>
          <w:noProof/>
        </w:rPr>
        <w:t xml:space="preserve">відповідно до </w:t>
      </w:r>
      <w:r w:rsidR="002740B0" w:rsidRPr="00FB47FC">
        <w:rPr>
          <w:noProof/>
        </w:rPr>
        <w:t>«</w:t>
      </w:r>
      <w:r w:rsidR="00D36D5C" w:rsidRPr="00FB47FC">
        <w:rPr>
          <w:noProof/>
        </w:rPr>
        <w:t>Системи оцінювання роботи суду: стандарти, критерії, показники та ме</w:t>
      </w:r>
      <w:r w:rsidR="00851C16" w:rsidRPr="00FB47FC">
        <w:rPr>
          <w:noProof/>
        </w:rPr>
        <w:t>т</w:t>
      </w:r>
      <w:r w:rsidR="00D36D5C" w:rsidRPr="00FB47FC">
        <w:rPr>
          <w:noProof/>
        </w:rPr>
        <w:t>оди</w:t>
      </w:r>
      <w:r w:rsidR="002740B0" w:rsidRPr="00FB47FC">
        <w:rPr>
          <w:noProof/>
        </w:rPr>
        <w:t>»</w:t>
      </w:r>
      <w:r w:rsidR="002E7F23" w:rsidRPr="00FB47FC">
        <w:rPr>
          <w:noProof/>
        </w:rPr>
        <w:t xml:space="preserve">, </w:t>
      </w:r>
      <w:r w:rsidR="002E7F23" w:rsidRPr="00FB47FC">
        <w:rPr>
          <w:bCs/>
        </w:rPr>
        <w:t>розроблено та рекомендовано робочою групою з розробки</w:t>
      </w:r>
      <w:r w:rsidR="002E7F23" w:rsidRPr="00FB47FC">
        <w:rPr>
          <w:noProof/>
        </w:rPr>
        <w:t xml:space="preserve"> </w:t>
      </w:r>
      <w:r w:rsidR="002E7F23" w:rsidRPr="00FB47FC">
        <w:rPr>
          <w:bCs/>
        </w:rPr>
        <w:t>системи оцінювання якості роботи суду за підтримки проекту</w:t>
      </w:r>
      <w:r w:rsidR="002E7F23" w:rsidRPr="00FB47FC">
        <w:rPr>
          <w:noProof/>
        </w:rPr>
        <w:t xml:space="preserve"> </w:t>
      </w:r>
      <w:r w:rsidR="002E7F23" w:rsidRPr="00FB47FC">
        <w:rPr>
          <w:bCs/>
          <w:lang w:val="en-US"/>
        </w:rPr>
        <w:t>USAID</w:t>
      </w:r>
      <w:r w:rsidR="002E7F23" w:rsidRPr="00FB47FC">
        <w:rPr>
          <w:bCs/>
        </w:rPr>
        <w:t xml:space="preserve"> «Справедливе правосуддя»</w:t>
      </w:r>
      <w:r w:rsidR="00A754D1" w:rsidRPr="00FB47FC">
        <w:rPr>
          <w:noProof/>
        </w:rPr>
        <w:t>.</w:t>
      </w:r>
    </w:p>
    <w:p w:rsidR="00E02D70" w:rsidRDefault="00E02D70" w:rsidP="00E02D70">
      <w:pPr>
        <w:tabs>
          <w:tab w:val="left" w:pos="851"/>
          <w:tab w:val="left" w:pos="1276"/>
        </w:tabs>
        <w:jc w:val="both"/>
        <w:rPr>
          <w:noProof/>
        </w:rPr>
      </w:pPr>
      <w:r>
        <w:rPr>
          <w:noProof/>
        </w:rPr>
        <w:tab/>
      </w:r>
      <w:r w:rsidR="00E16DB6" w:rsidRPr="000F1266">
        <w:rPr>
          <w:noProof/>
        </w:rPr>
        <w:t xml:space="preserve">Середня кількість справ і матеріалів, що перебували на розгляді </w:t>
      </w:r>
      <w:r w:rsidR="005A165A" w:rsidRPr="000F1266">
        <w:rPr>
          <w:noProof/>
        </w:rPr>
        <w:t>в</w:t>
      </w:r>
      <w:r w:rsidR="00E16DB6" w:rsidRPr="000F1266">
        <w:rPr>
          <w:noProof/>
        </w:rPr>
        <w:t xml:space="preserve"> звітний період в розра</w:t>
      </w:r>
      <w:r w:rsidR="00B4778F" w:rsidRPr="000F1266">
        <w:rPr>
          <w:noProof/>
        </w:rPr>
        <w:t xml:space="preserve">хунку на одного суддю становить </w:t>
      </w:r>
      <w:r w:rsidR="00B4778F" w:rsidRPr="000F1266">
        <w:rPr>
          <w:b/>
          <w:noProof/>
        </w:rPr>
        <w:t>1</w:t>
      </w:r>
      <w:r w:rsidR="00D45EF1" w:rsidRPr="000F1266">
        <w:rPr>
          <w:b/>
          <w:noProof/>
        </w:rPr>
        <w:t>912</w:t>
      </w:r>
      <w:r w:rsidR="00B4778F" w:rsidRPr="000F1266">
        <w:rPr>
          <w:noProof/>
        </w:rPr>
        <w:t xml:space="preserve"> </w:t>
      </w:r>
      <w:r w:rsidR="00E16DB6" w:rsidRPr="000F1266">
        <w:rPr>
          <w:noProof/>
        </w:rPr>
        <w:t xml:space="preserve">справ із числа </w:t>
      </w:r>
      <w:r w:rsidR="005A165A" w:rsidRPr="000F1266">
        <w:rPr>
          <w:noProof/>
        </w:rPr>
        <w:t>апе</w:t>
      </w:r>
      <w:r w:rsidR="00E47BC0" w:rsidRPr="000F1266">
        <w:rPr>
          <w:noProof/>
        </w:rPr>
        <w:t>л</w:t>
      </w:r>
      <w:r w:rsidR="005A165A" w:rsidRPr="000F1266">
        <w:rPr>
          <w:noProof/>
        </w:rPr>
        <w:t>яційних скарг і матеріалів, що перебували на розгляді на початок звітного періоду</w:t>
      </w:r>
      <w:r w:rsidR="004F00B9" w:rsidRPr="000F1266">
        <w:rPr>
          <w:noProof/>
        </w:rPr>
        <w:t xml:space="preserve"> </w:t>
      </w:r>
      <w:r w:rsidR="00B4778F" w:rsidRPr="000F1266">
        <w:rPr>
          <w:noProof/>
        </w:rPr>
        <w:t xml:space="preserve">та надійшли у звітньому періоді </w:t>
      </w:r>
      <w:r w:rsidR="004F00B9" w:rsidRPr="000F1266">
        <w:rPr>
          <w:noProof/>
        </w:rPr>
        <w:t xml:space="preserve">проти </w:t>
      </w:r>
      <w:r w:rsidR="005411A4" w:rsidRPr="000F1266">
        <w:rPr>
          <w:b/>
          <w:noProof/>
        </w:rPr>
        <w:t>1389</w:t>
      </w:r>
      <w:r w:rsidR="004F00B9" w:rsidRPr="000F1266">
        <w:rPr>
          <w:b/>
          <w:noProof/>
        </w:rPr>
        <w:t xml:space="preserve"> </w:t>
      </w:r>
      <w:r w:rsidR="004F00B9" w:rsidRPr="000F1266">
        <w:rPr>
          <w:noProof/>
        </w:rPr>
        <w:t>у 202</w:t>
      </w:r>
      <w:r w:rsidR="005411A4" w:rsidRPr="000F1266">
        <w:rPr>
          <w:noProof/>
        </w:rPr>
        <w:t>4</w:t>
      </w:r>
      <w:r w:rsidR="004F00B9" w:rsidRPr="000F1266">
        <w:rPr>
          <w:noProof/>
        </w:rPr>
        <w:t xml:space="preserve"> році</w:t>
      </w:r>
      <w:r w:rsidR="00FA4D29" w:rsidRPr="000F1266">
        <w:rPr>
          <w:noProof/>
        </w:rPr>
        <w:t>.</w:t>
      </w:r>
    </w:p>
    <w:p w:rsidR="00E02D70" w:rsidRDefault="00E02D70" w:rsidP="00E02D70">
      <w:pPr>
        <w:tabs>
          <w:tab w:val="left" w:pos="851"/>
          <w:tab w:val="left" w:pos="1276"/>
        </w:tabs>
        <w:jc w:val="both"/>
        <w:rPr>
          <w:noProof/>
        </w:rPr>
      </w:pPr>
      <w:r>
        <w:rPr>
          <w:noProof/>
        </w:rPr>
        <w:tab/>
      </w:r>
      <w:r w:rsidR="00DA36B0" w:rsidRPr="000F1266">
        <w:rPr>
          <w:noProof/>
        </w:rPr>
        <w:t xml:space="preserve">Середня тривалість розгляду справи </w:t>
      </w:r>
      <w:r w:rsidR="007913D8" w:rsidRPr="000F1266">
        <w:rPr>
          <w:noProof/>
        </w:rPr>
        <w:t xml:space="preserve">(днів) </w:t>
      </w:r>
      <w:r w:rsidR="00F138BC" w:rsidRPr="000F1266">
        <w:rPr>
          <w:noProof/>
        </w:rPr>
        <w:t>у 20</w:t>
      </w:r>
      <w:r w:rsidR="00B65E86" w:rsidRPr="000F1266">
        <w:rPr>
          <w:noProof/>
        </w:rPr>
        <w:t>2</w:t>
      </w:r>
      <w:r w:rsidR="005411A4" w:rsidRPr="000F1266">
        <w:rPr>
          <w:noProof/>
        </w:rPr>
        <w:t>5</w:t>
      </w:r>
      <w:r w:rsidR="00F138BC" w:rsidRPr="000F1266">
        <w:rPr>
          <w:noProof/>
        </w:rPr>
        <w:t xml:space="preserve"> році</w:t>
      </w:r>
      <w:r w:rsidR="00F76F79" w:rsidRPr="000F1266">
        <w:rPr>
          <w:noProof/>
        </w:rPr>
        <w:t xml:space="preserve"> с</w:t>
      </w:r>
      <w:r w:rsidR="005411A4" w:rsidRPr="000F1266">
        <w:rPr>
          <w:noProof/>
        </w:rPr>
        <w:t xml:space="preserve">тановила </w:t>
      </w:r>
      <w:r w:rsidR="005411A4" w:rsidRPr="000F1266">
        <w:rPr>
          <w:b/>
          <w:noProof/>
        </w:rPr>
        <w:t>116</w:t>
      </w:r>
      <w:r w:rsidR="00F136F9" w:rsidRPr="000F1266">
        <w:rPr>
          <w:noProof/>
        </w:rPr>
        <w:t xml:space="preserve"> днів.</w:t>
      </w:r>
    </w:p>
    <w:p w:rsidR="00E02D70" w:rsidRDefault="00E02D70" w:rsidP="00E02D70">
      <w:pPr>
        <w:tabs>
          <w:tab w:val="left" w:pos="851"/>
          <w:tab w:val="left" w:pos="1276"/>
        </w:tabs>
        <w:jc w:val="both"/>
        <w:rPr>
          <w:noProof/>
        </w:rPr>
      </w:pPr>
      <w:r>
        <w:rPr>
          <w:noProof/>
        </w:rPr>
        <w:tab/>
      </w:r>
      <w:r w:rsidR="00702400" w:rsidRPr="000F1266">
        <w:rPr>
          <w:rFonts w:eastAsia="Calibri"/>
          <w:noProof/>
        </w:rPr>
        <w:t xml:space="preserve">Відповідно </w:t>
      </w:r>
      <w:r w:rsidR="005411A4" w:rsidRPr="000F1266">
        <w:rPr>
          <w:rFonts w:eastAsia="Calibri"/>
          <w:noProof/>
        </w:rPr>
        <w:t xml:space="preserve">до </w:t>
      </w:r>
      <w:r w:rsidR="000E1DB6" w:rsidRPr="000F1266">
        <w:rPr>
          <w:rFonts w:eastAsia="Calibri"/>
          <w:noProof/>
        </w:rPr>
        <w:t xml:space="preserve">Рішення Вищої ради правосуддя </w:t>
      </w:r>
      <w:r w:rsidR="000E1DB6" w:rsidRPr="000F1266">
        <w:rPr>
          <w:noProof/>
        </w:rPr>
        <w:t xml:space="preserve">від </w:t>
      </w:r>
      <w:r w:rsidR="000E1DB6" w:rsidRPr="000F1266">
        <w:rPr>
          <w:rStyle w:val="date-display-single"/>
        </w:rPr>
        <w:t>24.08.2023</w:t>
      </w:r>
      <w:r w:rsidR="000E1DB6" w:rsidRPr="000F1266">
        <w:t xml:space="preserve"> № 852/0/15-23 «Про визначення кількості суддів у місцевих та апеляційних судах»</w:t>
      </w:r>
      <w:r w:rsidR="000E1DB6" w:rsidRPr="000F1266">
        <w:rPr>
          <w:noProof/>
        </w:rPr>
        <w:t xml:space="preserve"> кількість суддів </w:t>
      </w:r>
      <w:r w:rsidR="000E1DB6" w:rsidRPr="000F1266">
        <w:rPr>
          <w:rFonts w:eastAsia="Calibri"/>
          <w:noProof/>
        </w:rPr>
        <w:t>Третього апеляційного адміністративного суду складає 33 судді, правосуддя здійснювали у звітньому періоді 2</w:t>
      </w:r>
      <w:r w:rsidR="005411A4" w:rsidRPr="000F1266">
        <w:rPr>
          <w:rFonts w:eastAsia="Calibri"/>
          <w:noProof/>
        </w:rPr>
        <w:t>3</w:t>
      </w:r>
      <w:r w:rsidR="000E1DB6" w:rsidRPr="000F1266">
        <w:rPr>
          <w:rFonts w:eastAsia="Calibri"/>
          <w:noProof/>
        </w:rPr>
        <w:t xml:space="preserve"> суддів.</w:t>
      </w:r>
    </w:p>
    <w:p w:rsidR="00E02D70" w:rsidRDefault="00E02D70" w:rsidP="00E02D70">
      <w:pPr>
        <w:tabs>
          <w:tab w:val="left" w:pos="851"/>
          <w:tab w:val="left" w:pos="1276"/>
        </w:tabs>
        <w:jc w:val="both"/>
        <w:rPr>
          <w:b/>
          <w:noProof/>
        </w:rPr>
      </w:pPr>
      <w:r>
        <w:rPr>
          <w:noProof/>
        </w:rPr>
        <w:lastRenderedPageBreak/>
        <w:tab/>
      </w:r>
      <w:r w:rsidR="00DA4493" w:rsidRPr="000F1266">
        <w:rPr>
          <w:noProof/>
        </w:rPr>
        <w:t>Враховуючи надходження справ і матеріалів до суду, фактичне навантаження на суддів Третього апеляційного адміністративного суду за цей період становило:</w:t>
      </w:r>
      <w:r>
        <w:rPr>
          <w:b/>
          <w:noProof/>
        </w:rPr>
        <w:tab/>
      </w:r>
    </w:p>
    <w:p w:rsidR="00E02D70" w:rsidRDefault="007B135A" w:rsidP="00E02D70">
      <w:pPr>
        <w:tabs>
          <w:tab w:val="left" w:pos="0"/>
        </w:tabs>
        <w:ind w:firstLine="567"/>
        <w:contextualSpacing/>
        <w:jc w:val="center"/>
        <w:rPr>
          <w:b/>
          <w:noProof/>
        </w:rPr>
      </w:pPr>
      <m:oMath>
        <m:f>
          <m:fPr>
            <m:ctrlPr>
              <w:rPr>
                <w:rFonts w:ascii="Cambria Math" w:hAnsi="Cambria Math"/>
                <w:b/>
                <w:i/>
                <w:noProof/>
              </w:rPr>
            </m:ctrlPr>
          </m:fPr>
          <m:num>
            <m:r>
              <m:rPr>
                <m:sty m:val="bi"/>
              </m:rPr>
              <w:rPr>
                <w:rFonts w:ascii="Cambria Math" w:hAnsi="Cambria Math"/>
                <w:noProof/>
              </w:rPr>
              <m:t>36 495</m:t>
            </m:r>
          </m:num>
          <m:den>
            <m:r>
              <m:rPr>
                <m:sty m:val="bi"/>
              </m:rPr>
              <w:rPr>
                <w:rFonts w:ascii="Cambria Math" w:hAnsi="Cambria Math"/>
                <w:noProof/>
              </w:rPr>
              <m:t>12 місяців</m:t>
            </m:r>
          </m:den>
        </m:f>
        <m:r>
          <m:rPr>
            <m:sty m:val="bi"/>
          </m:rPr>
          <w:rPr>
            <w:rFonts w:ascii="Cambria Math" w:hAnsi="Cambria Math"/>
            <w:noProof/>
          </w:rPr>
          <m:t xml:space="preserve"> </m:t>
        </m:r>
      </m:oMath>
      <w:r w:rsidR="00E02D70">
        <w:rPr>
          <w:b/>
          <w:noProof/>
        </w:rPr>
        <w:t>= 3041</w:t>
      </w:r>
      <w:r w:rsidR="00E02D70" w:rsidRPr="003434C8">
        <w:rPr>
          <w:b/>
          <w:noProof/>
        </w:rPr>
        <w:t xml:space="preserve">                          </w:t>
      </w:r>
      <m:oMath>
        <m:f>
          <m:fPr>
            <m:ctrlPr>
              <w:rPr>
                <w:rFonts w:ascii="Cambria Math" w:hAnsi="Cambria Math"/>
                <w:b/>
                <w:i/>
                <w:noProof/>
              </w:rPr>
            </m:ctrlPr>
          </m:fPr>
          <m:num>
            <m:r>
              <m:rPr>
                <m:sty m:val="bi"/>
              </m:rPr>
              <w:rPr>
                <w:rFonts w:ascii="Cambria Math" w:hAnsi="Cambria Math"/>
                <w:noProof/>
              </w:rPr>
              <m:t>3041</m:t>
            </m:r>
          </m:num>
          <m:den>
            <m:r>
              <m:rPr>
                <m:sty m:val="bi"/>
              </m:rPr>
              <w:rPr>
                <w:rFonts w:ascii="Cambria Math" w:hAnsi="Cambria Math"/>
                <w:noProof/>
              </w:rPr>
              <m:t>23 суддів</m:t>
            </m:r>
          </m:den>
        </m:f>
        <m:r>
          <m:rPr>
            <m:sty m:val="bi"/>
          </m:rPr>
          <w:rPr>
            <w:rFonts w:ascii="Cambria Math" w:hAnsi="Cambria Math"/>
            <w:noProof/>
          </w:rPr>
          <m:t>=132</m:t>
        </m:r>
      </m:oMath>
    </w:p>
    <w:p w:rsidR="00E02D70" w:rsidRDefault="00E02D70" w:rsidP="00E02D70">
      <w:pPr>
        <w:tabs>
          <w:tab w:val="left" w:pos="851"/>
          <w:tab w:val="left" w:pos="1276"/>
        </w:tabs>
        <w:jc w:val="both"/>
        <w:rPr>
          <w:noProof/>
        </w:rPr>
      </w:pPr>
      <w:r>
        <w:rPr>
          <w:b/>
          <w:noProof/>
        </w:rPr>
        <w:tab/>
      </w:r>
      <w:r w:rsidR="00DA4493" w:rsidRPr="000F1266">
        <w:rPr>
          <w:noProof/>
        </w:rPr>
        <w:t>Таким чином, середньомісячне навантаження в розрахунку на одного суддю Третього апеляційно</w:t>
      </w:r>
      <w:r w:rsidR="00D86073" w:rsidRPr="000F1266">
        <w:rPr>
          <w:noProof/>
        </w:rPr>
        <w:t>го адміністративного суду в 202</w:t>
      </w:r>
      <w:r w:rsidR="003975A8" w:rsidRPr="000F1266">
        <w:rPr>
          <w:noProof/>
        </w:rPr>
        <w:t>5</w:t>
      </w:r>
      <w:r w:rsidR="00DA4493" w:rsidRPr="000F1266">
        <w:rPr>
          <w:noProof/>
        </w:rPr>
        <w:t xml:space="preserve"> році склало </w:t>
      </w:r>
      <w:r w:rsidR="00BD3DA2" w:rsidRPr="000F1266">
        <w:rPr>
          <w:b/>
          <w:noProof/>
        </w:rPr>
        <w:t>132</w:t>
      </w:r>
      <w:r w:rsidR="00BD3DA2" w:rsidRPr="000F1266">
        <w:rPr>
          <w:noProof/>
        </w:rPr>
        <w:t xml:space="preserve"> справ</w:t>
      </w:r>
      <w:r w:rsidR="00520A90" w:rsidRPr="000F1266">
        <w:rPr>
          <w:noProof/>
        </w:rPr>
        <w:t>и</w:t>
      </w:r>
      <w:r w:rsidR="00FB47FC">
        <w:rPr>
          <w:noProof/>
        </w:rPr>
        <w:t xml:space="preserve"> і матеріалів </w:t>
      </w:r>
      <w:r w:rsidR="00BD3DA2" w:rsidRPr="000F1266">
        <w:rPr>
          <w:noProof/>
        </w:rPr>
        <w:t xml:space="preserve">тоді як у </w:t>
      </w:r>
      <w:r w:rsidR="003975A8" w:rsidRPr="000F1266">
        <w:rPr>
          <w:noProof/>
        </w:rPr>
        <w:t xml:space="preserve">2024 році цей показник складав </w:t>
      </w:r>
      <w:r w:rsidR="00BD3DA2" w:rsidRPr="000F1266">
        <w:rPr>
          <w:b/>
          <w:noProof/>
        </w:rPr>
        <w:t>115</w:t>
      </w:r>
      <w:r w:rsidR="00BD3DA2" w:rsidRPr="000F1266">
        <w:rPr>
          <w:noProof/>
        </w:rPr>
        <w:t xml:space="preserve">, у </w:t>
      </w:r>
      <w:r w:rsidR="00DA4493" w:rsidRPr="000F1266">
        <w:rPr>
          <w:noProof/>
        </w:rPr>
        <w:t>202</w:t>
      </w:r>
      <w:r w:rsidR="00A90F1F" w:rsidRPr="000F1266">
        <w:rPr>
          <w:noProof/>
        </w:rPr>
        <w:t>3</w:t>
      </w:r>
      <w:r w:rsidR="00BD3DA2" w:rsidRPr="000F1266">
        <w:rPr>
          <w:noProof/>
        </w:rPr>
        <w:t xml:space="preserve"> році </w:t>
      </w:r>
      <w:r w:rsidR="00A90F1F" w:rsidRPr="000F1266">
        <w:rPr>
          <w:b/>
          <w:noProof/>
        </w:rPr>
        <w:t>87</w:t>
      </w:r>
      <w:r w:rsidR="00DA4493" w:rsidRPr="000F1266">
        <w:rPr>
          <w:b/>
          <w:noProof/>
        </w:rPr>
        <w:t>.</w:t>
      </w:r>
    </w:p>
    <w:p w:rsidR="00E02D70" w:rsidRDefault="00E02D70" w:rsidP="00E02D70">
      <w:pPr>
        <w:tabs>
          <w:tab w:val="left" w:pos="851"/>
          <w:tab w:val="left" w:pos="1276"/>
        </w:tabs>
        <w:jc w:val="both"/>
        <w:rPr>
          <w:noProof/>
        </w:rPr>
      </w:pPr>
      <w:r>
        <w:rPr>
          <w:noProof/>
        </w:rPr>
        <w:tab/>
      </w:r>
      <w:r w:rsidR="00766E73" w:rsidRPr="000F1266">
        <w:rPr>
          <w:noProof/>
        </w:rPr>
        <w:t xml:space="preserve">Показник загальної кількості апеляційних скарг у яких відмовлено у </w:t>
      </w:r>
      <w:r w:rsidR="00E8586B" w:rsidRPr="000F1266">
        <w:rPr>
          <w:noProof/>
        </w:rPr>
        <w:t xml:space="preserve">відкритті провадження становить </w:t>
      </w:r>
      <w:r w:rsidR="00554457" w:rsidRPr="000F1266">
        <w:rPr>
          <w:b/>
          <w:noProof/>
        </w:rPr>
        <w:t>2</w:t>
      </w:r>
      <w:r w:rsidR="006F0BFE" w:rsidRPr="000F1266">
        <w:rPr>
          <w:b/>
          <w:noProof/>
        </w:rPr>
        <w:t>081</w:t>
      </w:r>
      <w:r w:rsidR="006F0BFE" w:rsidRPr="000F1266">
        <w:rPr>
          <w:noProof/>
        </w:rPr>
        <w:t xml:space="preserve">, із них: </w:t>
      </w:r>
      <w:r w:rsidR="006F0BFE" w:rsidRPr="000F1266">
        <w:rPr>
          <w:b/>
          <w:noProof/>
        </w:rPr>
        <w:t>1936</w:t>
      </w:r>
      <w:r w:rsidR="006F0BFE" w:rsidRPr="000F1266">
        <w:rPr>
          <w:noProof/>
        </w:rPr>
        <w:t xml:space="preserve"> </w:t>
      </w:r>
      <w:r w:rsidR="00554457" w:rsidRPr="000F1266">
        <w:rPr>
          <w:noProof/>
        </w:rPr>
        <w:t xml:space="preserve">- на рішення (постанови) та </w:t>
      </w:r>
      <w:r w:rsidR="00554457" w:rsidRPr="000F1266">
        <w:rPr>
          <w:b/>
          <w:noProof/>
        </w:rPr>
        <w:t>1</w:t>
      </w:r>
      <w:r w:rsidR="006F0BFE" w:rsidRPr="000F1266">
        <w:rPr>
          <w:b/>
          <w:noProof/>
        </w:rPr>
        <w:t>45</w:t>
      </w:r>
      <w:r w:rsidR="00554457" w:rsidRPr="000F1266">
        <w:rPr>
          <w:noProof/>
        </w:rPr>
        <w:t xml:space="preserve"> </w:t>
      </w:r>
      <w:r w:rsidR="00C0763D" w:rsidRPr="000F1266">
        <w:rPr>
          <w:noProof/>
        </w:rPr>
        <w:t>- ухвали</w:t>
      </w:r>
      <w:r w:rsidR="00DB5139" w:rsidRPr="000F1266">
        <w:rPr>
          <w:noProof/>
        </w:rPr>
        <w:t xml:space="preserve">, що складає </w:t>
      </w:r>
      <w:r w:rsidR="006F0BFE" w:rsidRPr="000F1266">
        <w:rPr>
          <w:b/>
          <w:noProof/>
        </w:rPr>
        <w:t>4,7</w:t>
      </w:r>
      <w:r w:rsidR="00DB5139" w:rsidRPr="000F1266">
        <w:rPr>
          <w:b/>
          <w:noProof/>
        </w:rPr>
        <w:t>%</w:t>
      </w:r>
      <w:r w:rsidR="00DB5139" w:rsidRPr="000F1266">
        <w:rPr>
          <w:noProof/>
        </w:rPr>
        <w:t xml:space="preserve"> від загальної кількості </w:t>
      </w:r>
      <w:r w:rsidR="00E8586B" w:rsidRPr="000F1266">
        <w:rPr>
          <w:noProof/>
        </w:rPr>
        <w:t>апеляці</w:t>
      </w:r>
      <w:r w:rsidR="00C0763D" w:rsidRPr="000F1266">
        <w:rPr>
          <w:noProof/>
        </w:rPr>
        <w:t>й</w:t>
      </w:r>
      <w:r w:rsidR="00E8586B" w:rsidRPr="000F1266">
        <w:rPr>
          <w:noProof/>
        </w:rPr>
        <w:t>них скарг</w:t>
      </w:r>
      <w:r w:rsidR="00DB5139" w:rsidRPr="000F1266">
        <w:rPr>
          <w:noProof/>
        </w:rPr>
        <w:t xml:space="preserve">, що перебували </w:t>
      </w:r>
      <w:r w:rsidR="00E8586B" w:rsidRPr="000F1266">
        <w:rPr>
          <w:noProof/>
        </w:rPr>
        <w:t>на розгляді суду</w:t>
      </w:r>
      <w:r w:rsidR="00DB5139" w:rsidRPr="000F1266">
        <w:rPr>
          <w:noProof/>
        </w:rPr>
        <w:t>.</w:t>
      </w:r>
    </w:p>
    <w:p w:rsidR="00E02D70" w:rsidRDefault="00E02D70" w:rsidP="00E02D70">
      <w:pPr>
        <w:tabs>
          <w:tab w:val="left" w:pos="851"/>
          <w:tab w:val="left" w:pos="1276"/>
        </w:tabs>
        <w:jc w:val="both"/>
        <w:rPr>
          <w:noProof/>
        </w:rPr>
      </w:pPr>
      <w:r>
        <w:rPr>
          <w:noProof/>
        </w:rPr>
        <w:tab/>
      </w:r>
      <w:r w:rsidR="00E8586B" w:rsidRPr="000F1266">
        <w:rPr>
          <w:noProof/>
        </w:rPr>
        <w:t>Кількість поверну</w:t>
      </w:r>
      <w:r w:rsidR="006F0BFE" w:rsidRPr="000F1266">
        <w:rPr>
          <w:noProof/>
        </w:rPr>
        <w:t xml:space="preserve">тих апеляційних скарг становить </w:t>
      </w:r>
      <w:r w:rsidR="006F0BFE" w:rsidRPr="000F1266">
        <w:rPr>
          <w:b/>
          <w:noProof/>
        </w:rPr>
        <w:t>6767</w:t>
      </w:r>
      <w:r w:rsidR="00E8586B" w:rsidRPr="000F1266">
        <w:rPr>
          <w:noProof/>
        </w:rPr>
        <w:t xml:space="preserve">, у тому числі у зв’язку з відкликанням апеляційної скарги </w:t>
      </w:r>
      <w:r w:rsidR="006F0BFE" w:rsidRPr="000F1266">
        <w:rPr>
          <w:b/>
          <w:noProof/>
        </w:rPr>
        <w:t>17</w:t>
      </w:r>
      <w:r w:rsidR="006F0BFE" w:rsidRPr="000F1266">
        <w:rPr>
          <w:noProof/>
        </w:rPr>
        <w:t xml:space="preserve">, що складає </w:t>
      </w:r>
      <w:r w:rsidR="006F0BFE" w:rsidRPr="000F1266">
        <w:rPr>
          <w:b/>
          <w:noProof/>
        </w:rPr>
        <w:t>15,4</w:t>
      </w:r>
      <w:r w:rsidR="00E8586B" w:rsidRPr="000F1266">
        <w:rPr>
          <w:b/>
          <w:noProof/>
        </w:rPr>
        <w:t>%</w:t>
      </w:r>
      <w:r w:rsidR="006F0BFE" w:rsidRPr="000F1266">
        <w:rPr>
          <w:noProof/>
        </w:rPr>
        <w:t xml:space="preserve"> </w:t>
      </w:r>
      <w:r w:rsidR="00E8586B" w:rsidRPr="000F1266">
        <w:rPr>
          <w:noProof/>
        </w:rPr>
        <w:t xml:space="preserve">від загальної кількості справ, </w:t>
      </w:r>
      <w:r w:rsidR="00B0021F" w:rsidRPr="000F1266">
        <w:rPr>
          <w:noProof/>
        </w:rPr>
        <w:t xml:space="preserve">що </w:t>
      </w:r>
      <w:r w:rsidR="00E8586B" w:rsidRPr="000F1266">
        <w:rPr>
          <w:noProof/>
        </w:rPr>
        <w:t xml:space="preserve">перебували </w:t>
      </w:r>
      <w:r w:rsidR="00B0021F" w:rsidRPr="000F1266">
        <w:rPr>
          <w:noProof/>
        </w:rPr>
        <w:t>на розгляді суду</w:t>
      </w:r>
      <w:r w:rsidR="00E8586B" w:rsidRPr="000F1266">
        <w:rPr>
          <w:noProof/>
        </w:rPr>
        <w:t xml:space="preserve"> та </w:t>
      </w:r>
      <w:r w:rsidR="001B523C" w:rsidRPr="000F1266">
        <w:rPr>
          <w:b/>
          <w:noProof/>
        </w:rPr>
        <w:t>22,1</w:t>
      </w:r>
      <w:r w:rsidR="00E8586B" w:rsidRPr="000F1266">
        <w:rPr>
          <w:b/>
          <w:noProof/>
        </w:rPr>
        <w:t>%</w:t>
      </w:r>
      <w:r w:rsidR="00E8586B" w:rsidRPr="000F1266">
        <w:rPr>
          <w:noProof/>
        </w:rPr>
        <w:t xml:space="preserve"> від кількості розглянутих справ.</w:t>
      </w:r>
      <w:r w:rsidR="00B0021F" w:rsidRPr="000F1266">
        <w:rPr>
          <w:noProof/>
        </w:rPr>
        <w:t xml:space="preserve"> </w:t>
      </w:r>
    </w:p>
    <w:p w:rsidR="00E02D70" w:rsidRDefault="00E02D70" w:rsidP="00E02D70">
      <w:pPr>
        <w:tabs>
          <w:tab w:val="left" w:pos="851"/>
          <w:tab w:val="left" w:pos="1276"/>
        </w:tabs>
        <w:jc w:val="both"/>
        <w:rPr>
          <w:noProof/>
        </w:rPr>
      </w:pPr>
      <w:r>
        <w:rPr>
          <w:noProof/>
        </w:rPr>
        <w:tab/>
      </w:r>
      <w:r w:rsidR="00B0021F" w:rsidRPr="000F1266">
        <w:rPr>
          <w:noProof/>
        </w:rPr>
        <w:t>Протягом 202</w:t>
      </w:r>
      <w:r w:rsidR="00F136F9" w:rsidRPr="000F1266">
        <w:rPr>
          <w:noProof/>
        </w:rPr>
        <w:t>5</w:t>
      </w:r>
      <w:r w:rsidR="00B0021F" w:rsidRPr="000F1266">
        <w:rPr>
          <w:noProof/>
        </w:rPr>
        <w:t xml:space="preserve"> року суд</w:t>
      </w:r>
      <w:r w:rsidR="00E27F96" w:rsidRPr="000F1266">
        <w:rPr>
          <w:noProof/>
        </w:rPr>
        <w:t>д</w:t>
      </w:r>
      <w:r w:rsidR="00B0021F" w:rsidRPr="000F1266">
        <w:rPr>
          <w:noProof/>
        </w:rPr>
        <w:t xml:space="preserve">ями </w:t>
      </w:r>
      <w:r w:rsidR="00C0763D" w:rsidRPr="000F1266">
        <w:rPr>
          <w:noProof/>
        </w:rPr>
        <w:t xml:space="preserve">Третього апеляційного адміністративного суду </w:t>
      </w:r>
      <w:r w:rsidR="00B0021F" w:rsidRPr="000F1266">
        <w:rPr>
          <w:noProof/>
        </w:rPr>
        <w:t>від</w:t>
      </w:r>
      <w:r w:rsidR="00A373B4" w:rsidRPr="000F1266">
        <w:rPr>
          <w:noProof/>
        </w:rPr>
        <w:t xml:space="preserve">крито апеляційне провадження по </w:t>
      </w:r>
      <w:r w:rsidR="00A373B4" w:rsidRPr="000F1266">
        <w:rPr>
          <w:b/>
          <w:noProof/>
        </w:rPr>
        <w:t>26 690</w:t>
      </w:r>
      <w:r w:rsidR="00A373B4" w:rsidRPr="000F1266">
        <w:rPr>
          <w:noProof/>
        </w:rPr>
        <w:t xml:space="preserve"> </w:t>
      </w:r>
      <w:r w:rsidR="00C114D1" w:rsidRPr="000F1266">
        <w:rPr>
          <w:noProof/>
        </w:rPr>
        <w:t>апеляційних скарг</w:t>
      </w:r>
      <w:r w:rsidR="00154B0B" w:rsidRPr="000F1266">
        <w:rPr>
          <w:noProof/>
        </w:rPr>
        <w:t>ах</w:t>
      </w:r>
      <w:r w:rsidR="002F0483" w:rsidRPr="000F1266">
        <w:rPr>
          <w:noProof/>
        </w:rPr>
        <w:t>,</w:t>
      </w:r>
      <w:r w:rsidR="00B0021F" w:rsidRPr="000F1266">
        <w:rPr>
          <w:noProof/>
        </w:rPr>
        <w:t xml:space="preserve"> що складає</w:t>
      </w:r>
      <w:r w:rsidR="00B449E4" w:rsidRPr="000F1266">
        <w:rPr>
          <w:noProof/>
        </w:rPr>
        <w:t xml:space="preserve"> </w:t>
      </w:r>
      <w:r w:rsidR="00B449E4" w:rsidRPr="000F1266">
        <w:rPr>
          <w:b/>
          <w:noProof/>
        </w:rPr>
        <w:t>73,1</w:t>
      </w:r>
      <w:r w:rsidR="002F0483" w:rsidRPr="000F1266">
        <w:rPr>
          <w:b/>
          <w:noProof/>
        </w:rPr>
        <w:t>%</w:t>
      </w:r>
      <w:r w:rsidR="00617B83" w:rsidRPr="000F1266">
        <w:rPr>
          <w:noProof/>
        </w:rPr>
        <w:t xml:space="preserve"> </w:t>
      </w:r>
      <w:r w:rsidR="002F0483" w:rsidRPr="000F1266">
        <w:rPr>
          <w:noProof/>
        </w:rPr>
        <w:t>від кількості апеляційних скарг і матеріалів,</w:t>
      </w:r>
      <w:r w:rsidR="00542B93" w:rsidRPr="000F1266">
        <w:rPr>
          <w:noProof/>
        </w:rPr>
        <w:t xml:space="preserve"> що надійшли у звітному періоді </w:t>
      </w:r>
      <w:r w:rsidR="00542B93" w:rsidRPr="000F1266">
        <w:rPr>
          <w:b/>
          <w:noProof/>
        </w:rPr>
        <w:t>(</w:t>
      </w:r>
      <w:r w:rsidR="00B449E4" w:rsidRPr="000F1266">
        <w:rPr>
          <w:b/>
          <w:noProof/>
        </w:rPr>
        <w:t>36 495</w:t>
      </w:r>
      <w:r w:rsidR="004660F9" w:rsidRPr="000F1266">
        <w:rPr>
          <w:b/>
          <w:noProof/>
        </w:rPr>
        <w:t>)</w:t>
      </w:r>
      <w:r w:rsidR="004660F9" w:rsidRPr="000F1266">
        <w:rPr>
          <w:noProof/>
        </w:rPr>
        <w:t>.</w:t>
      </w:r>
      <w:r w:rsidR="00617B83" w:rsidRPr="000F1266">
        <w:rPr>
          <w:noProof/>
        </w:rPr>
        <w:t xml:space="preserve"> </w:t>
      </w:r>
      <w:r w:rsidR="004660F9" w:rsidRPr="000F1266">
        <w:rPr>
          <w:noProof/>
        </w:rPr>
        <w:t xml:space="preserve">Процесуальні строки </w:t>
      </w:r>
      <w:r w:rsidR="000768F4" w:rsidRPr="000F1266">
        <w:rPr>
          <w:noProof/>
        </w:rPr>
        <w:t xml:space="preserve">відкриття провадження в адміністративній справі відповідно до ст.171 КАС України, </w:t>
      </w:r>
      <w:r w:rsidR="004660F9" w:rsidRPr="000F1266">
        <w:rPr>
          <w:noProof/>
        </w:rPr>
        <w:t>суддями не порушувались.</w:t>
      </w:r>
    </w:p>
    <w:p w:rsidR="00E02D70" w:rsidRDefault="00E02D70" w:rsidP="00E02D70">
      <w:pPr>
        <w:tabs>
          <w:tab w:val="left" w:pos="851"/>
          <w:tab w:val="left" w:pos="1276"/>
        </w:tabs>
        <w:jc w:val="both"/>
        <w:rPr>
          <w:noProof/>
        </w:rPr>
      </w:pPr>
      <w:r>
        <w:rPr>
          <w:noProof/>
        </w:rPr>
        <w:tab/>
      </w:r>
      <w:r w:rsidR="00D24A0B" w:rsidRPr="000F1266">
        <w:rPr>
          <w:noProof/>
        </w:rPr>
        <w:t xml:space="preserve">Кількість </w:t>
      </w:r>
      <w:r w:rsidR="005A58E7" w:rsidRPr="000F1266">
        <w:rPr>
          <w:noProof/>
        </w:rPr>
        <w:t>нерозглянут</w:t>
      </w:r>
      <w:r w:rsidR="00446836" w:rsidRPr="000F1266">
        <w:rPr>
          <w:noProof/>
        </w:rPr>
        <w:t>их</w:t>
      </w:r>
      <w:r w:rsidR="005A58E7" w:rsidRPr="000F1266">
        <w:rPr>
          <w:noProof/>
        </w:rPr>
        <w:t xml:space="preserve"> </w:t>
      </w:r>
      <w:r w:rsidR="00D31B7D" w:rsidRPr="000F1266">
        <w:rPr>
          <w:noProof/>
        </w:rPr>
        <w:t>апеляційних скарг і матеріалів на кінець звітного періоду становить</w:t>
      </w:r>
      <w:r w:rsidR="00B449E4" w:rsidRPr="000F1266">
        <w:rPr>
          <w:noProof/>
          <w:lang w:val="ru-RU"/>
        </w:rPr>
        <w:t xml:space="preserve"> </w:t>
      </w:r>
      <w:r w:rsidR="00B449E4" w:rsidRPr="000F1266">
        <w:rPr>
          <w:b/>
          <w:noProof/>
          <w:lang w:val="ru-RU"/>
        </w:rPr>
        <w:t>13 410</w:t>
      </w:r>
      <w:r w:rsidR="00F441E7" w:rsidRPr="000F1266">
        <w:rPr>
          <w:noProof/>
        </w:rPr>
        <w:t xml:space="preserve">, </w:t>
      </w:r>
      <w:r w:rsidR="00632C6B" w:rsidRPr="000F1266">
        <w:rPr>
          <w:noProof/>
        </w:rPr>
        <w:t>і</w:t>
      </w:r>
      <w:r w:rsidR="00F441E7" w:rsidRPr="000F1266">
        <w:rPr>
          <w:noProof/>
        </w:rPr>
        <w:t>з них:</w:t>
      </w:r>
      <w:r w:rsidR="003E66EB" w:rsidRPr="000F1266">
        <w:rPr>
          <w:noProof/>
        </w:rPr>
        <w:t xml:space="preserve"> </w:t>
      </w:r>
      <w:r w:rsidR="00EF79C0" w:rsidRPr="000F1266">
        <w:rPr>
          <w:b/>
          <w:noProof/>
        </w:rPr>
        <w:t>1</w:t>
      </w:r>
      <w:r w:rsidR="00B449E4" w:rsidRPr="000F1266">
        <w:rPr>
          <w:noProof/>
        </w:rPr>
        <w:t xml:space="preserve"> позовна заява, </w:t>
      </w:r>
      <w:r w:rsidR="00B449E4" w:rsidRPr="000F1266">
        <w:rPr>
          <w:b/>
          <w:noProof/>
        </w:rPr>
        <w:t xml:space="preserve">12 630 </w:t>
      </w:r>
      <w:r w:rsidR="00F441E7" w:rsidRPr="000F1266">
        <w:rPr>
          <w:noProof/>
        </w:rPr>
        <w:t>на</w:t>
      </w:r>
      <w:r w:rsidR="002F0F46" w:rsidRPr="000F1266">
        <w:rPr>
          <w:noProof/>
        </w:rPr>
        <w:t xml:space="preserve"> </w:t>
      </w:r>
      <w:r w:rsidR="00D31B7D" w:rsidRPr="000F1266">
        <w:rPr>
          <w:noProof/>
        </w:rPr>
        <w:t>рішення (постанови),</w:t>
      </w:r>
      <w:r w:rsidR="00B449E4" w:rsidRPr="000F1266">
        <w:rPr>
          <w:noProof/>
        </w:rPr>
        <w:t xml:space="preserve"> </w:t>
      </w:r>
      <w:r w:rsidR="00B449E4" w:rsidRPr="000F1266">
        <w:rPr>
          <w:b/>
          <w:noProof/>
        </w:rPr>
        <w:t>776</w:t>
      </w:r>
      <w:r w:rsidR="00B449E4" w:rsidRPr="000F1266">
        <w:rPr>
          <w:noProof/>
        </w:rPr>
        <w:t xml:space="preserve"> </w:t>
      </w:r>
      <w:r w:rsidR="00F441E7" w:rsidRPr="000F1266">
        <w:rPr>
          <w:noProof/>
        </w:rPr>
        <w:t>на</w:t>
      </w:r>
      <w:r w:rsidR="00CA4A28" w:rsidRPr="000F1266">
        <w:rPr>
          <w:b/>
          <w:noProof/>
        </w:rPr>
        <w:t xml:space="preserve"> </w:t>
      </w:r>
      <w:r w:rsidR="00CA4A28" w:rsidRPr="000F1266">
        <w:rPr>
          <w:noProof/>
        </w:rPr>
        <w:t>ухвал</w:t>
      </w:r>
      <w:r w:rsidR="00F441E7" w:rsidRPr="000F1266">
        <w:rPr>
          <w:noProof/>
        </w:rPr>
        <w:t xml:space="preserve">и, </w:t>
      </w:r>
      <w:r w:rsidR="00D24A0B" w:rsidRPr="000F1266">
        <w:rPr>
          <w:b/>
          <w:noProof/>
        </w:rPr>
        <w:t>2</w:t>
      </w:r>
      <w:r w:rsidR="00D31B7D" w:rsidRPr="000F1266">
        <w:rPr>
          <w:b/>
          <w:noProof/>
        </w:rPr>
        <w:t xml:space="preserve"> </w:t>
      </w:r>
      <w:r w:rsidR="00D31B7D" w:rsidRPr="000F1266">
        <w:rPr>
          <w:noProof/>
        </w:rPr>
        <w:t>справ</w:t>
      </w:r>
      <w:r w:rsidR="00D24A0B" w:rsidRPr="000F1266">
        <w:rPr>
          <w:noProof/>
        </w:rPr>
        <w:t>и</w:t>
      </w:r>
      <w:r w:rsidR="00D31B7D" w:rsidRPr="000F1266">
        <w:rPr>
          <w:noProof/>
        </w:rPr>
        <w:t xml:space="preserve"> про перегляд судових рішень за нововиявленими або виключними обставинами,</w:t>
      </w:r>
      <w:r w:rsidR="00EF79C0" w:rsidRPr="000F1266">
        <w:rPr>
          <w:noProof/>
        </w:rPr>
        <w:t xml:space="preserve"> </w:t>
      </w:r>
      <w:r w:rsidR="00EF79C0" w:rsidRPr="000F1266">
        <w:rPr>
          <w:b/>
          <w:noProof/>
        </w:rPr>
        <w:t>1</w:t>
      </w:r>
      <w:r w:rsidR="00EF79C0" w:rsidRPr="000F1266">
        <w:rPr>
          <w:noProof/>
        </w:rPr>
        <w:t xml:space="preserve"> справа в по</w:t>
      </w:r>
      <w:r w:rsidR="00247891" w:rsidRPr="000F1266">
        <w:rPr>
          <w:noProof/>
        </w:rPr>
        <w:t xml:space="preserve">рядку виконання судових рішень, </w:t>
      </w:r>
      <w:r w:rsidR="00D31B7D" w:rsidRPr="000F1266">
        <w:rPr>
          <w:noProof/>
        </w:rPr>
        <w:t xml:space="preserve">що </w:t>
      </w:r>
      <w:r w:rsidR="002F0F46" w:rsidRPr="000F1266">
        <w:rPr>
          <w:noProof/>
        </w:rPr>
        <w:t xml:space="preserve">загалом </w:t>
      </w:r>
      <w:r w:rsidR="00247891" w:rsidRPr="000F1266">
        <w:rPr>
          <w:noProof/>
        </w:rPr>
        <w:t xml:space="preserve">складає </w:t>
      </w:r>
      <w:r w:rsidR="00247891" w:rsidRPr="000F1266">
        <w:rPr>
          <w:b/>
          <w:noProof/>
        </w:rPr>
        <w:t>30,5</w:t>
      </w:r>
      <w:r w:rsidR="00D31B7D" w:rsidRPr="000F1266">
        <w:rPr>
          <w:b/>
          <w:noProof/>
        </w:rPr>
        <w:t>%</w:t>
      </w:r>
      <w:r w:rsidR="00247891" w:rsidRPr="000F1266">
        <w:rPr>
          <w:noProof/>
        </w:rPr>
        <w:t xml:space="preserve"> </w:t>
      </w:r>
      <w:r w:rsidR="00D31B7D" w:rsidRPr="000F1266">
        <w:rPr>
          <w:noProof/>
        </w:rPr>
        <w:t xml:space="preserve">від загальної кількості справ, </w:t>
      </w:r>
      <w:r w:rsidR="00CA4A28" w:rsidRPr="000F1266">
        <w:rPr>
          <w:noProof/>
        </w:rPr>
        <w:t>що перебувал</w:t>
      </w:r>
      <w:r w:rsidR="004E4BAE" w:rsidRPr="000F1266">
        <w:rPr>
          <w:noProof/>
        </w:rPr>
        <w:t>и</w:t>
      </w:r>
      <w:r w:rsidR="00CA4A28" w:rsidRPr="000F1266">
        <w:rPr>
          <w:noProof/>
        </w:rPr>
        <w:t xml:space="preserve"> в провадженні </w:t>
      </w:r>
      <w:r w:rsidR="00CB16B2" w:rsidRPr="000F1266">
        <w:rPr>
          <w:noProof/>
        </w:rPr>
        <w:t>суду</w:t>
      </w:r>
      <w:r w:rsidR="004E4BAE" w:rsidRPr="000F1266">
        <w:rPr>
          <w:noProof/>
        </w:rPr>
        <w:t xml:space="preserve"> </w:t>
      </w:r>
      <w:r w:rsidR="00542B93" w:rsidRPr="000F1266">
        <w:rPr>
          <w:b/>
        </w:rPr>
        <w:t>(</w:t>
      </w:r>
      <w:r w:rsidR="00247891" w:rsidRPr="000F1266">
        <w:rPr>
          <w:b/>
        </w:rPr>
        <w:t>43 982</w:t>
      </w:r>
      <w:r w:rsidR="00CA4A28" w:rsidRPr="000F1266">
        <w:rPr>
          <w:b/>
        </w:rPr>
        <w:t>)</w:t>
      </w:r>
      <w:r w:rsidR="00CA4A28" w:rsidRPr="000F1266">
        <w:t>.</w:t>
      </w:r>
      <w:r w:rsidR="00FF237B" w:rsidRPr="003434C8">
        <w:t xml:space="preserve"> </w:t>
      </w:r>
    </w:p>
    <w:p w:rsidR="00CF3D2F" w:rsidRPr="00E02D70" w:rsidRDefault="00E02D70" w:rsidP="00E02D70">
      <w:pPr>
        <w:tabs>
          <w:tab w:val="left" w:pos="851"/>
          <w:tab w:val="left" w:pos="1276"/>
        </w:tabs>
        <w:jc w:val="both"/>
        <w:rPr>
          <w:noProof/>
        </w:rPr>
      </w:pPr>
      <w:r>
        <w:rPr>
          <w:noProof/>
        </w:rPr>
        <w:tab/>
      </w:r>
      <w:r w:rsidR="007C130E" w:rsidRPr="003434C8">
        <w:rPr>
          <w:noProof/>
        </w:rPr>
        <w:t xml:space="preserve">Показники відображено </w:t>
      </w:r>
      <w:r w:rsidR="005E5031">
        <w:rPr>
          <w:noProof/>
        </w:rPr>
        <w:t>в</w:t>
      </w:r>
      <w:r w:rsidR="007C130E" w:rsidRPr="003434C8">
        <w:rPr>
          <w:noProof/>
        </w:rPr>
        <w:t xml:space="preserve"> </w:t>
      </w:r>
      <w:r w:rsidR="00FB47FC">
        <w:rPr>
          <w:noProof/>
        </w:rPr>
        <w:t>діаграмі 1.</w:t>
      </w:r>
      <w:r w:rsidR="00D14627" w:rsidRPr="00FB47FC">
        <w:rPr>
          <w:noProof/>
        </w:rPr>
        <w:t xml:space="preserve">  </w:t>
      </w:r>
      <w:r w:rsidR="00382661" w:rsidRPr="00FB47FC">
        <w:rPr>
          <w:b/>
        </w:rPr>
        <w:t xml:space="preserve">      </w:t>
      </w:r>
    </w:p>
    <w:p w:rsidR="00382661" w:rsidRPr="003434C8" w:rsidRDefault="00D14627" w:rsidP="00382661">
      <w:pPr>
        <w:ind w:left="7080" w:firstLine="708"/>
        <w:jc w:val="both"/>
        <w:rPr>
          <w:b/>
        </w:rPr>
      </w:pPr>
      <w:r>
        <w:rPr>
          <w:b/>
        </w:rPr>
        <w:t xml:space="preserve">      </w:t>
      </w:r>
      <w:r w:rsidR="00382661" w:rsidRPr="003434C8">
        <w:rPr>
          <w:b/>
        </w:rPr>
        <w:t xml:space="preserve">Діаграма </w:t>
      </w:r>
      <w:r w:rsidR="00FB47FC">
        <w:rPr>
          <w:b/>
        </w:rPr>
        <w:t>1</w:t>
      </w:r>
    </w:p>
    <w:p w:rsidR="00E02D70" w:rsidRDefault="00C2163B" w:rsidP="00E02D70">
      <w:pPr>
        <w:jc w:val="both"/>
        <w:rPr>
          <w:noProof/>
        </w:rPr>
      </w:pPr>
      <w:r w:rsidRPr="003434C8">
        <w:rPr>
          <w:bCs/>
          <w:i/>
          <w:iCs/>
          <w:noProof/>
          <w:lang w:val="en-US" w:eastAsia="en-US"/>
        </w:rPr>
        <w:drawing>
          <wp:inline distT="0" distB="0" distL="0" distR="0" wp14:anchorId="114DB07E" wp14:editId="6C787DE7">
            <wp:extent cx="5905500" cy="240030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02D70" w:rsidRDefault="00E02D70" w:rsidP="00E02D70">
      <w:pPr>
        <w:jc w:val="both"/>
        <w:rPr>
          <w:noProof/>
        </w:rPr>
      </w:pPr>
    </w:p>
    <w:p w:rsidR="00CF3D2F" w:rsidRPr="00E02D70" w:rsidRDefault="00850681" w:rsidP="00E02D70">
      <w:pPr>
        <w:ind w:firstLine="708"/>
        <w:jc w:val="both"/>
      </w:pPr>
      <w:r w:rsidRPr="000F1266">
        <w:rPr>
          <w:noProof/>
        </w:rPr>
        <w:t xml:space="preserve">Загальну тривалість перебування справ та матеріалів за кількістю закінчених провадженням відображено </w:t>
      </w:r>
      <w:r w:rsidR="004A38AF" w:rsidRPr="005E5031">
        <w:rPr>
          <w:noProof/>
        </w:rPr>
        <w:t xml:space="preserve">в </w:t>
      </w:r>
      <w:r w:rsidRPr="005E5031">
        <w:rPr>
          <w:iCs/>
        </w:rPr>
        <w:t>таблиц</w:t>
      </w:r>
      <w:r w:rsidR="004A38AF" w:rsidRPr="005E5031">
        <w:rPr>
          <w:iCs/>
        </w:rPr>
        <w:t>і</w:t>
      </w:r>
      <w:r w:rsidR="00700206">
        <w:rPr>
          <w:iCs/>
        </w:rPr>
        <w:t xml:space="preserve"> </w:t>
      </w:r>
      <w:r w:rsidR="00BD071B">
        <w:rPr>
          <w:iCs/>
        </w:rPr>
        <w:t>№</w:t>
      </w:r>
      <w:r w:rsidR="00700206">
        <w:rPr>
          <w:iCs/>
        </w:rPr>
        <w:t xml:space="preserve">1 порівняно з 2023, </w:t>
      </w:r>
      <w:r w:rsidR="005E5031" w:rsidRPr="005E5031">
        <w:rPr>
          <w:iCs/>
        </w:rPr>
        <w:t xml:space="preserve">2024 </w:t>
      </w:r>
      <w:r w:rsidRPr="005E5031">
        <w:rPr>
          <w:iCs/>
        </w:rPr>
        <w:t>рок</w:t>
      </w:r>
      <w:r w:rsidR="00700206">
        <w:rPr>
          <w:iCs/>
        </w:rPr>
        <w:t>ами</w:t>
      </w:r>
      <w:r w:rsidRPr="005E5031">
        <w:rPr>
          <w:iCs/>
        </w:rPr>
        <w:t xml:space="preserve"> та </w:t>
      </w:r>
      <w:r w:rsidRPr="005E5031">
        <w:rPr>
          <w:noProof/>
        </w:rPr>
        <w:t xml:space="preserve">в </w:t>
      </w:r>
      <w:r w:rsidRPr="005E5031">
        <w:rPr>
          <w:iCs/>
        </w:rPr>
        <w:t>діаграмі 2 у відсотках з числа розглянутих апеляційних скарг і матеріалів.</w:t>
      </w:r>
    </w:p>
    <w:p w:rsidR="003E5EB2" w:rsidRPr="003434C8" w:rsidRDefault="003E5EB2" w:rsidP="00FB47FC">
      <w:pPr>
        <w:tabs>
          <w:tab w:val="left" w:pos="0"/>
        </w:tabs>
        <w:spacing w:after="240"/>
        <w:contextualSpacing/>
        <w:jc w:val="right"/>
        <w:rPr>
          <w:noProof/>
        </w:rPr>
      </w:pPr>
      <w:r w:rsidRPr="003434C8">
        <w:rPr>
          <w:b/>
          <w:noProof/>
        </w:rPr>
        <w:t>Таблиця №1</w:t>
      </w:r>
    </w:p>
    <w:tbl>
      <w:tblPr>
        <w:tblStyle w:val="a7"/>
        <w:tblW w:w="0" w:type="auto"/>
        <w:tblLook w:val="04A0" w:firstRow="1" w:lastRow="0" w:firstColumn="1" w:lastColumn="0" w:noHBand="0" w:noVBand="1"/>
      </w:tblPr>
      <w:tblGrid>
        <w:gridCol w:w="937"/>
        <w:gridCol w:w="1384"/>
        <w:gridCol w:w="1385"/>
        <w:gridCol w:w="1384"/>
        <w:gridCol w:w="1518"/>
        <w:gridCol w:w="974"/>
        <w:gridCol w:w="1764"/>
      </w:tblGrid>
      <w:tr w:rsidR="003E5EB2" w:rsidRPr="003434C8" w:rsidTr="00850681">
        <w:trPr>
          <w:trHeight w:val="424"/>
        </w:trPr>
        <w:tc>
          <w:tcPr>
            <w:tcW w:w="937" w:type="dxa"/>
          </w:tcPr>
          <w:p w:rsidR="003E5EB2" w:rsidRPr="003434C8" w:rsidRDefault="003E5EB2" w:rsidP="0066669E">
            <w:pPr>
              <w:tabs>
                <w:tab w:val="left" w:pos="0"/>
              </w:tabs>
              <w:spacing w:after="240"/>
              <w:contextualSpacing/>
              <w:jc w:val="center"/>
              <w:rPr>
                <w:noProof/>
                <w:sz w:val="20"/>
                <w:szCs w:val="20"/>
              </w:rPr>
            </w:pPr>
          </w:p>
        </w:tc>
        <w:tc>
          <w:tcPr>
            <w:tcW w:w="6645" w:type="dxa"/>
            <w:gridSpan w:val="5"/>
          </w:tcPr>
          <w:p w:rsidR="003E5EB2" w:rsidRPr="003434C8" w:rsidRDefault="003E5EB2" w:rsidP="0066669E">
            <w:pPr>
              <w:tabs>
                <w:tab w:val="left" w:pos="0"/>
              </w:tabs>
              <w:spacing w:after="240"/>
              <w:contextualSpacing/>
              <w:jc w:val="center"/>
              <w:rPr>
                <w:noProof/>
                <w:sz w:val="20"/>
                <w:szCs w:val="20"/>
              </w:rPr>
            </w:pPr>
          </w:p>
          <w:p w:rsidR="003E5EB2" w:rsidRPr="003434C8" w:rsidRDefault="003E5EB2" w:rsidP="0066669E">
            <w:pPr>
              <w:tabs>
                <w:tab w:val="left" w:pos="0"/>
              </w:tabs>
              <w:spacing w:after="240"/>
              <w:contextualSpacing/>
              <w:jc w:val="center"/>
              <w:rPr>
                <w:noProof/>
                <w:sz w:val="20"/>
                <w:szCs w:val="20"/>
              </w:rPr>
            </w:pPr>
          </w:p>
          <w:p w:rsidR="003E5EB2" w:rsidRPr="003434C8" w:rsidRDefault="003E5EB2" w:rsidP="0066669E">
            <w:pPr>
              <w:tabs>
                <w:tab w:val="left" w:pos="0"/>
              </w:tabs>
              <w:spacing w:after="240"/>
              <w:contextualSpacing/>
              <w:jc w:val="center"/>
              <w:rPr>
                <w:noProof/>
                <w:sz w:val="20"/>
                <w:szCs w:val="20"/>
              </w:rPr>
            </w:pPr>
            <w:r w:rsidRPr="003434C8">
              <w:rPr>
                <w:noProof/>
                <w:sz w:val="20"/>
                <w:szCs w:val="20"/>
              </w:rPr>
              <w:t>Кількість закінчених провадженням</w:t>
            </w:r>
          </w:p>
        </w:tc>
        <w:tc>
          <w:tcPr>
            <w:tcW w:w="1764" w:type="dxa"/>
          </w:tcPr>
          <w:p w:rsidR="003E5EB2" w:rsidRPr="003434C8" w:rsidRDefault="003E5EB2" w:rsidP="0066669E">
            <w:pPr>
              <w:tabs>
                <w:tab w:val="left" w:pos="0"/>
              </w:tabs>
              <w:spacing w:after="240"/>
              <w:contextualSpacing/>
              <w:jc w:val="center"/>
              <w:rPr>
                <w:noProof/>
                <w:sz w:val="20"/>
                <w:szCs w:val="20"/>
              </w:rPr>
            </w:pPr>
            <w:r w:rsidRPr="003434C8">
              <w:rPr>
                <w:noProof/>
                <w:sz w:val="20"/>
                <w:szCs w:val="20"/>
              </w:rPr>
              <w:t>Середня тривалість розгляду справи (днів)</w:t>
            </w:r>
          </w:p>
        </w:tc>
      </w:tr>
      <w:tr w:rsidR="003E5EB2" w:rsidRPr="003434C8" w:rsidTr="00850681">
        <w:tc>
          <w:tcPr>
            <w:tcW w:w="937" w:type="dxa"/>
          </w:tcPr>
          <w:p w:rsidR="003E5EB2" w:rsidRPr="003434C8" w:rsidRDefault="003E5EB2" w:rsidP="0066669E">
            <w:pPr>
              <w:tabs>
                <w:tab w:val="left" w:pos="0"/>
              </w:tabs>
              <w:spacing w:after="240"/>
              <w:contextualSpacing/>
              <w:jc w:val="center"/>
              <w:rPr>
                <w:noProof/>
                <w:sz w:val="20"/>
                <w:szCs w:val="20"/>
              </w:rPr>
            </w:pPr>
          </w:p>
        </w:tc>
        <w:tc>
          <w:tcPr>
            <w:tcW w:w="1384" w:type="dxa"/>
          </w:tcPr>
          <w:p w:rsidR="003E5EB2" w:rsidRPr="003434C8" w:rsidRDefault="003E5EB2" w:rsidP="0066669E">
            <w:pPr>
              <w:tabs>
                <w:tab w:val="left" w:pos="0"/>
              </w:tabs>
              <w:spacing w:after="240"/>
              <w:contextualSpacing/>
              <w:jc w:val="center"/>
              <w:rPr>
                <w:noProof/>
                <w:sz w:val="20"/>
                <w:szCs w:val="20"/>
              </w:rPr>
            </w:pPr>
            <w:r w:rsidRPr="003434C8">
              <w:rPr>
                <w:i/>
                <w:iCs/>
                <w:sz w:val="20"/>
                <w:szCs w:val="20"/>
              </w:rPr>
              <w:t>до 3 міс. включно</w:t>
            </w:r>
          </w:p>
        </w:tc>
        <w:tc>
          <w:tcPr>
            <w:tcW w:w="1385" w:type="dxa"/>
          </w:tcPr>
          <w:p w:rsidR="003E5EB2" w:rsidRPr="003434C8" w:rsidRDefault="003E5EB2" w:rsidP="0066669E">
            <w:pPr>
              <w:tabs>
                <w:tab w:val="left" w:pos="0"/>
              </w:tabs>
              <w:spacing w:after="240"/>
              <w:contextualSpacing/>
              <w:jc w:val="center"/>
              <w:rPr>
                <w:noProof/>
                <w:sz w:val="20"/>
                <w:szCs w:val="20"/>
              </w:rPr>
            </w:pPr>
            <w:r w:rsidRPr="003434C8">
              <w:rPr>
                <w:i/>
                <w:iCs/>
                <w:sz w:val="20"/>
                <w:szCs w:val="20"/>
              </w:rPr>
              <w:t>понад 3 міс. до 1 року включно</w:t>
            </w:r>
          </w:p>
        </w:tc>
        <w:tc>
          <w:tcPr>
            <w:tcW w:w="1384" w:type="dxa"/>
          </w:tcPr>
          <w:p w:rsidR="003E5EB2" w:rsidRPr="003434C8" w:rsidRDefault="003E5EB2" w:rsidP="0066669E">
            <w:pPr>
              <w:tabs>
                <w:tab w:val="left" w:pos="0"/>
              </w:tabs>
              <w:spacing w:after="240"/>
              <w:contextualSpacing/>
              <w:jc w:val="center"/>
              <w:rPr>
                <w:noProof/>
                <w:sz w:val="20"/>
                <w:szCs w:val="20"/>
              </w:rPr>
            </w:pPr>
            <w:r w:rsidRPr="003434C8">
              <w:rPr>
                <w:i/>
                <w:iCs/>
                <w:sz w:val="20"/>
                <w:szCs w:val="20"/>
              </w:rPr>
              <w:t>понад 1 рік до 2-х років включно</w:t>
            </w:r>
          </w:p>
        </w:tc>
        <w:tc>
          <w:tcPr>
            <w:tcW w:w="1518" w:type="dxa"/>
          </w:tcPr>
          <w:p w:rsidR="003E5EB2" w:rsidRPr="003434C8" w:rsidRDefault="003E5EB2" w:rsidP="0066669E">
            <w:pPr>
              <w:tabs>
                <w:tab w:val="left" w:pos="0"/>
              </w:tabs>
              <w:spacing w:after="240"/>
              <w:contextualSpacing/>
              <w:jc w:val="center"/>
              <w:rPr>
                <w:noProof/>
                <w:sz w:val="20"/>
                <w:szCs w:val="20"/>
              </w:rPr>
            </w:pPr>
            <w:r w:rsidRPr="003434C8">
              <w:rPr>
                <w:i/>
                <w:iCs/>
                <w:sz w:val="20"/>
                <w:szCs w:val="20"/>
              </w:rPr>
              <w:t>понад 2-х років до 3-х років включно</w:t>
            </w:r>
          </w:p>
        </w:tc>
        <w:tc>
          <w:tcPr>
            <w:tcW w:w="974" w:type="dxa"/>
          </w:tcPr>
          <w:p w:rsidR="003E5EB2" w:rsidRPr="003434C8" w:rsidRDefault="003E5EB2" w:rsidP="0066669E">
            <w:pPr>
              <w:tabs>
                <w:tab w:val="left" w:pos="0"/>
              </w:tabs>
              <w:spacing w:after="240"/>
              <w:contextualSpacing/>
              <w:jc w:val="center"/>
              <w:rPr>
                <w:noProof/>
                <w:sz w:val="20"/>
                <w:szCs w:val="20"/>
              </w:rPr>
            </w:pPr>
            <w:r w:rsidRPr="003434C8">
              <w:rPr>
                <w:i/>
                <w:iCs/>
                <w:sz w:val="20"/>
                <w:szCs w:val="20"/>
              </w:rPr>
              <w:t>понад 3 роки</w:t>
            </w:r>
          </w:p>
        </w:tc>
        <w:tc>
          <w:tcPr>
            <w:tcW w:w="1764" w:type="dxa"/>
          </w:tcPr>
          <w:p w:rsidR="003E5EB2" w:rsidRPr="003434C8" w:rsidRDefault="003E5EB2" w:rsidP="0066669E">
            <w:pPr>
              <w:tabs>
                <w:tab w:val="left" w:pos="0"/>
              </w:tabs>
              <w:spacing w:after="240"/>
              <w:contextualSpacing/>
              <w:jc w:val="center"/>
              <w:rPr>
                <w:noProof/>
                <w:sz w:val="20"/>
                <w:szCs w:val="20"/>
              </w:rPr>
            </w:pPr>
          </w:p>
        </w:tc>
      </w:tr>
      <w:tr w:rsidR="003E5EB2" w:rsidRPr="003434C8" w:rsidTr="00850681">
        <w:tc>
          <w:tcPr>
            <w:tcW w:w="937" w:type="dxa"/>
          </w:tcPr>
          <w:p w:rsidR="003E5EB2" w:rsidRPr="003434C8" w:rsidRDefault="00850681" w:rsidP="0066669E">
            <w:pPr>
              <w:tabs>
                <w:tab w:val="left" w:pos="0"/>
              </w:tabs>
              <w:spacing w:after="240"/>
              <w:contextualSpacing/>
              <w:jc w:val="center"/>
              <w:rPr>
                <w:noProof/>
                <w:sz w:val="20"/>
                <w:szCs w:val="20"/>
              </w:rPr>
            </w:pPr>
            <w:r>
              <w:rPr>
                <w:noProof/>
                <w:sz w:val="20"/>
                <w:szCs w:val="20"/>
              </w:rPr>
              <w:t>2025</w:t>
            </w:r>
          </w:p>
        </w:tc>
        <w:tc>
          <w:tcPr>
            <w:tcW w:w="1384" w:type="dxa"/>
          </w:tcPr>
          <w:p w:rsidR="003E5EB2" w:rsidRPr="003434C8" w:rsidRDefault="004A38AF" w:rsidP="0066669E">
            <w:pPr>
              <w:tabs>
                <w:tab w:val="left" w:pos="0"/>
              </w:tabs>
              <w:spacing w:after="240"/>
              <w:contextualSpacing/>
              <w:jc w:val="center"/>
              <w:rPr>
                <w:noProof/>
                <w:sz w:val="20"/>
                <w:szCs w:val="20"/>
              </w:rPr>
            </w:pPr>
            <w:r>
              <w:rPr>
                <w:noProof/>
                <w:sz w:val="20"/>
                <w:szCs w:val="20"/>
              </w:rPr>
              <w:t>15 568</w:t>
            </w:r>
          </w:p>
        </w:tc>
        <w:tc>
          <w:tcPr>
            <w:tcW w:w="1385" w:type="dxa"/>
          </w:tcPr>
          <w:p w:rsidR="003E5EB2" w:rsidRPr="003434C8" w:rsidRDefault="004A38AF" w:rsidP="0066669E">
            <w:pPr>
              <w:tabs>
                <w:tab w:val="left" w:pos="0"/>
              </w:tabs>
              <w:spacing w:after="240"/>
              <w:contextualSpacing/>
              <w:jc w:val="center"/>
              <w:rPr>
                <w:noProof/>
                <w:sz w:val="20"/>
                <w:szCs w:val="20"/>
              </w:rPr>
            </w:pPr>
            <w:r>
              <w:rPr>
                <w:noProof/>
                <w:sz w:val="20"/>
                <w:szCs w:val="20"/>
              </w:rPr>
              <w:t>14 525</w:t>
            </w:r>
          </w:p>
        </w:tc>
        <w:tc>
          <w:tcPr>
            <w:tcW w:w="1384" w:type="dxa"/>
          </w:tcPr>
          <w:p w:rsidR="003E5EB2" w:rsidRPr="003434C8" w:rsidRDefault="004A38AF" w:rsidP="0066669E">
            <w:pPr>
              <w:tabs>
                <w:tab w:val="left" w:pos="0"/>
              </w:tabs>
              <w:spacing w:after="240"/>
              <w:contextualSpacing/>
              <w:jc w:val="center"/>
              <w:rPr>
                <w:noProof/>
                <w:sz w:val="20"/>
                <w:szCs w:val="20"/>
              </w:rPr>
            </w:pPr>
            <w:r>
              <w:rPr>
                <w:noProof/>
                <w:sz w:val="20"/>
                <w:szCs w:val="20"/>
              </w:rPr>
              <w:t>420</w:t>
            </w:r>
          </w:p>
        </w:tc>
        <w:tc>
          <w:tcPr>
            <w:tcW w:w="1518" w:type="dxa"/>
          </w:tcPr>
          <w:p w:rsidR="003E5EB2" w:rsidRPr="003434C8" w:rsidRDefault="004A38AF" w:rsidP="0066669E">
            <w:pPr>
              <w:tabs>
                <w:tab w:val="left" w:pos="0"/>
              </w:tabs>
              <w:spacing w:after="240"/>
              <w:contextualSpacing/>
              <w:jc w:val="center"/>
              <w:rPr>
                <w:noProof/>
                <w:sz w:val="20"/>
                <w:szCs w:val="20"/>
              </w:rPr>
            </w:pPr>
            <w:r>
              <w:rPr>
                <w:noProof/>
                <w:sz w:val="20"/>
                <w:szCs w:val="20"/>
              </w:rPr>
              <w:t>18</w:t>
            </w:r>
          </w:p>
        </w:tc>
        <w:tc>
          <w:tcPr>
            <w:tcW w:w="974" w:type="dxa"/>
          </w:tcPr>
          <w:p w:rsidR="003E5EB2" w:rsidRPr="003434C8" w:rsidRDefault="004A38AF" w:rsidP="0066669E">
            <w:pPr>
              <w:tabs>
                <w:tab w:val="left" w:pos="0"/>
              </w:tabs>
              <w:spacing w:after="240"/>
              <w:contextualSpacing/>
              <w:jc w:val="center"/>
              <w:rPr>
                <w:noProof/>
                <w:sz w:val="20"/>
                <w:szCs w:val="20"/>
              </w:rPr>
            </w:pPr>
            <w:r>
              <w:rPr>
                <w:noProof/>
                <w:sz w:val="20"/>
                <w:szCs w:val="20"/>
              </w:rPr>
              <w:t>41</w:t>
            </w:r>
          </w:p>
        </w:tc>
        <w:tc>
          <w:tcPr>
            <w:tcW w:w="1764" w:type="dxa"/>
          </w:tcPr>
          <w:p w:rsidR="003E5EB2" w:rsidRPr="003434C8" w:rsidRDefault="004A38AF" w:rsidP="0066669E">
            <w:pPr>
              <w:tabs>
                <w:tab w:val="left" w:pos="0"/>
              </w:tabs>
              <w:spacing w:after="240"/>
              <w:contextualSpacing/>
              <w:jc w:val="center"/>
              <w:rPr>
                <w:noProof/>
                <w:sz w:val="20"/>
                <w:szCs w:val="20"/>
              </w:rPr>
            </w:pPr>
            <w:r>
              <w:rPr>
                <w:noProof/>
                <w:sz w:val="20"/>
                <w:szCs w:val="20"/>
              </w:rPr>
              <w:t>116</w:t>
            </w:r>
          </w:p>
        </w:tc>
      </w:tr>
      <w:tr w:rsidR="00850681" w:rsidRPr="003434C8" w:rsidTr="00850681">
        <w:tc>
          <w:tcPr>
            <w:tcW w:w="937" w:type="dxa"/>
          </w:tcPr>
          <w:p w:rsidR="00850681" w:rsidRPr="003434C8" w:rsidRDefault="00850681" w:rsidP="00850681">
            <w:pPr>
              <w:tabs>
                <w:tab w:val="left" w:pos="0"/>
              </w:tabs>
              <w:spacing w:after="240"/>
              <w:contextualSpacing/>
              <w:jc w:val="center"/>
              <w:rPr>
                <w:noProof/>
                <w:sz w:val="20"/>
                <w:szCs w:val="20"/>
              </w:rPr>
            </w:pPr>
            <w:r w:rsidRPr="003434C8">
              <w:rPr>
                <w:noProof/>
                <w:sz w:val="20"/>
                <w:szCs w:val="20"/>
              </w:rPr>
              <w:t>2024</w:t>
            </w:r>
          </w:p>
        </w:tc>
        <w:tc>
          <w:tcPr>
            <w:tcW w:w="1384" w:type="dxa"/>
          </w:tcPr>
          <w:p w:rsidR="00850681" w:rsidRPr="003434C8" w:rsidRDefault="00850681" w:rsidP="00850681">
            <w:pPr>
              <w:tabs>
                <w:tab w:val="left" w:pos="0"/>
              </w:tabs>
              <w:spacing w:after="240"/>
              <w:contextualSpacing/>
              <w:jc w:val="center"/>
              <w:rPr>
                <w:noProof/>
                <w:sz w:val="20"/>
                <w:szCs w:val="20"/>
              </w:rPr>
            </w:pPr>
            <w:r w:rsidRPr="003434C8">
              <w:rPr>
                <w:iCs/>
                <w:sz w:val="20"/>
                <w:szCs w:val="20"/>
              </w:rPr>
              <w:t>18 632</w:t>
            </w:r>
          </w:p>
        </w:tc>
        <w:tc>
          <w:tcPr>
            <w:tcW w:w="1385" w:type="dxa"/>
          </w:tcPr>
          <w:p w:rsidR="00850681" w:rsidRPr="003434C8" w:rsidRDefault="00850681" w:rsidP="00850681">
            <w:pPr>
              <w:tabs>
                <w:tab w:val="left" w:pos="0"/>
              </w:tabs>
              <w:spacing w:after="240"/>
              <w:contextualSpacing/>
              <w:jc w:val="center"/>
              <w:rPr>
                <w:noProof/>
                <w:sz w:val="20"/>
                <w:szCs w:val="20"/>
              </w:rPr>
            </w:pPr>
            <w:r w:rsidRPr="003434C8">
              <w:rPr>
                <w:iCs/>
                <w:sz w:val="20"/>
                <w:szCs w:val="20"/>
              </w:rPr>
              <w:t>6 916</w:t>
            </w:r>
          </w:p>
        </w:tc>
        <w:tc>
          <w:tcPr>
            <w:tcW w:w="1384" w:type="dxa"/>
          </w:tcPr>
          <w:p w:rsidR="00850681" w:rsidRPr="003434C8" w:rsidRDefault="00850681" w:rsidP="00850681">
            <w:pPr>
              <w:tabs>
                <w:tab w:val="left" w:pos="0"/>
              </w:tabs>
              <w:spacing w:after="240"/>
              <w:contextualSpacing/>
              <w:jc w:val="center"/>
              <w:rPr>
                <w:noProof/>
                <w:sz w:val="20"/>
                <w:szCs w:val="20"/>
              </w:rPr>
            </w:pPr>
            <w:r w:rsidRPr="003434C8">
              <w:rPr>
                <w:iCs/>
                <w:sz w:val="20"/>
                <w:szCs w:val="20"/>
              </w:rPr>
              <w:t>195</w:t>
            </w:r>
          </w:p>
        </w:tc>
        <w:tc>
          <w:tcPr>
            <w:tcW w:w="1518" w:type="dxa"/>
          </w:tcPr>
          <w:p w:rsidR="00850681" w:rsidRPr="003434C8" w:rsidRDefault="00850681" w:rsidP="00850681">
            <w:pPr>
              <w:tabs>
                <w:tab w:val="left" w:pos="0"/>
              </w:tabs>
              <w:spacing w:after="240"/>
              <w:contextualSpacing/>
              <w:jc w:val="center"/>
              <w:rPr>
                <w:noProof/>
                <w:sz w:val="20"/>
                <w:szCs w:val="20"/>
              </w:rPr>
            </w:pPr>
            <w:r w:rsidRPr="003434C8">
              <w:rPr>
                <w:iCs/>
                <w:sz w:val="20"/>
                <w:szCs w:val="20"/>
              </w:rPr>
              <w:t>67</w:t>
            </w:r>
          </w:p>
        </w:tc>
        <w:tc>
          <w:tcPr>
            <w:tcW w:w="974" w:type="dxa"/>
          </w:tcPr>
          <w:p w:rsidR="00850681" w:rsidRPr="003434C8" w:rsidRDefault="00850681" w:rsidP="00850681">
            <w:pPr>
              <w:tabs>
                <w:tab w:val="left" w:pos="0"/>
              </w:tabs>
              <w:spacing w:after="240"/>
              <w:contextualSpacing/>
              <w:jc w:val="center"/>
              <w:rPr>
                <w:noProof/>
                <w:sz w:val="20"/>
                <w:szCs w:val="20"/>
              </w:rPr>
            </w:pPr>
            <w:r w:rsidRPr="003434C8">
              <w:rPr>
                <w:noProof/>
                <w:sz w:val="20"/>
                <w:szCs w:val="20"/>
              </w:rPr>
              <w:t>21</w:t>
            </w:r>
          </w:p>
        </w:tc>
        <w:tc>
          <w:tcPr>
            <w:tcW w:w="1764" w:type="dxa"/>
          </w:tcPr>
          <w:p w:rsidR="00850681" w:rsidRPr="003434C8" w:rsidRDefault="00850681" w:rsidP="00850681">
            <w:pPr>
              <w:tabs>
                <w:tab w:val="left" w:pos="0"/>
              </w:tabs>
              <w:spacing w:after="240"/>
              <w:contextualSpacing/>
              <w:jc w:val="center"/>
              <w:rPr>
                <w:noProof/>
                <w:sz w:val="20"/>
                <w:szCs w:val="20"/>
              </w:rPr>
            </w:pPr>
            <w:r w:rsidRPr="003434C8">
              <w:rPr>
                <w:noProof/>
                <w:sz w:val="20"/>
                <w:szCs w:val="20"/>
              </w:rPr>
              <w:t>89</w:t>
            </w:r>
          </w:p>
        </w:tc>
      </w:tr>
      <w:tr w:rsidR="00850681" w:rsidRPr="003434C8" w:rsidTr="00850681">
        <w:tc>
          <w:tcPr>
            <w:tcW w:w="937" w:type="dxa"/>
          </w:tcPr>
          <w:p w:rsidR="00850681" w:rsidRPr="003434C8" w:rsidRDefault="00850681" w:rsidP="00850681">
            <w:pPr>
              <w:tabs>
                <w:tab w:val="left" w:pos="0"/>
              </w:tabs>
              <w:spacing w:after="240"/>
              <w:contextualSpacing/>
              <w:jc w:val="center"/>
              <w:rPr>
                <w:noProof/>
                <w:sz w:val="20"/>
                <w:szCs w:val="20"/>
              </w:rPr>
            </w:pPr>
            <w:r w:rsidRPr="003434C8">
              <w:rPr>
                <w:noProof/>
                <w:sz w:val="20"/>
                <w:szCs w:val="20"/>
              </w:rPr>
              <w:t>2023</w:t>
            </w:r>
          </w:p>
        </w:tc>
        <w:tc>
          <w:tcPr>
            <w:tcW w:w="1384" w:type="dxa"/>
          </w:tcPr>
          <w:p w:rsidR="00850681" w:rsidRPr="003434C8" w:rsidRDefault="00850681" w:rsidP="00850681">
            <w:pPr>
              <w:tabs>
                <w:tab w:val="left" w:pos="0"/>
              </w:tabs>
              <w:spacing w:after="240"/>
              <w:contextualSpacing/>
              <w:jc w:val="center"/>
              <w:rPr>
                <w:noProof/>
                <w:sz w:val="20"/>
                <w:szCs w:val="20"/>
              </w:rPr>
            </w:pPr>
            <w:r w:rsidRPr="003434C8">
              <w:rPr>
                <w:noProof/>
                <w:sz w:val="20"/>
                <w:szCs w:val="20"/>
              </w:rPr>
              <w:t>14 317</w:t>
            </w:r>
          </w:p>
        </w:tc>
        <w:tc>
          <w:tcPr>
            <w:tcW w:w="1385" w:type="dxa"/>
          </w:tcPr>
          <w:p w:rsidR="00850681" w:rsidRPr="003434C8" w:rsidRDefault="00850681" w:rsidP="00850681">
            <w:pPr>
              <w:tabs>
                <w:tab w:val="left" w:pos="0"/>
              </w:tabs>
              <w:spacing w:after="240"/>
              <w:contextualSpacing/>
              <w:jc w:val="center"/>
              <w:rPr>
                <w:noProof/>
                <w:sz w:val="20"/>
                <w:szCs w:val="20"/>
              </w:rPr>
            </w:pPr>
            <w:r w:rsidRPr="003434C8">
              <w:rPr>
                <w:noProof/>
                <w:sz w:val="20"/>
                <w:szCs w:val="20"/>
              </w:rPr>
              <w:t>6 107</w:t>
            </w:r>
          </w:p>
        </w:tc>
        <w:tc>
          <w:tcPr>
            <w:tcW w:w="1384" w:type="dxa"/>
          </w:tcPr>
          <w:p w:rsidR="00850681" w:rsidRPr="003434C8" w:rsidRDefault="00850681" w:rsidP="00850681">
            <w:pPr>
              <w:tabs>
                <w:tab w:val="left" w:pos="0"/>
              </w:tabs>
              <w:spacing w:after="240"/>
              <w:contextualSpacing/>
              <w:jc w:val="center"/>
              <w:rPr>
                <w:noProof/>
                <w:sz w:val="20"/>
                <w:szCs w:val="20"/>
              </w:rPr>
            </w:pPr>
            <w:r>
              <w:rPr>
                <w:noProof/>
                <w:sz w:val="20"/>
                <w:szCs w:val="20"/>
              </w:rPr>
              <w:t>196</w:t>
            </w:r>
          </w:p>
        </w:tc>
        <w:tc>
          <w:tcPr>
            <w:tcW w:w="1518" w:type="dxa"/>
          </w:tcPr>
          <w:p w:rsidR="00850681" w:rsidRPr="003434C8" w:rsidRDefault="00850681" w:rsidP="00850681">
            <w:pPr>
              <w:tabs>
                <w:tab w:val="left" w:pos="0"/>
              </w:tabs>
              <w:spacing w:after="240"/>
              <w:contextualSpacing/>
              <w:jc w:val="center"/>
              <w:rPr>
                <w:noProof/>
                <w:sz w:val="20"/>
                <w:szCs w:val="20"/>
              </w:rPr>
            </w:pPr>
            <w:r w:rsidRPr="003434C8">
              <w:rPr>
                <w:noProof/>
                <w:sz w:val="20"/>
                <w:szCs w:val="20"/>
              </w:rPr>
              <w:t>30</w:t>
            </w:r>
          </w:p>
        </w:tc>
        <w:tc>
          <w:tcPr>
            <w:tcW w:w="974" w:type="dxa"/>
          </w:tcPr>
          <w:p w:rsidR="00850681" w:rsidRPr="003434C8" w:rsidRDefault="00850681" w:rsidP="00850681">
            <w:pPr>
              <w:tabs>
                <w:tab w:val="left" w:pos="0"/>
              </w:tabs>
              <w:spacing w:after="240"/>
              <w:contextualSpacing/>
              <w:jc w:val="center"/>
              <w:rPr>
                <w:noProof/>
                <w:sz w:val="20"/>
                <w:szCs w:val="20"/>
              </w:rPr>
            </w:pPr>
            <w:r w:rsidRPr="003434C8">
              <w:rPr>
                <w:noProof/>
                <w:sz w:val="20"/>
                <w:szCs w:val="20"/>
              </w:rPr>
              <w:t>9</w:t>
            </w:r>
          </w:p>
        </w:tc>
        <w:tc>
          <w:tcPr>
            <w:tcW w:w="1764" w:type="dxa"/>
          </w:tcPr>
          <w:p w:rsidR="00850681" w:rsidRPr="003434C8" w:rsidRDefault="00850681" w:rsidP="00850681">
            <w:pPr>
              <w:tabs>
                <w:tab w:val="left" w:pos="0"/>
              </w:tabs>
              <w:spacing w:after="240"/>
              <w:contextualSpacing/>
              <w:jc w:val="center"/>
              <w:rPr>
                <w:noProof/>
                <w:sz w:val="20"/>
                <w:szCs w:val="20"/>
              </w:rPr>
            </w:pPr>
            <w:r w:rsidRPr="003434C8">
              <w:rPr>
                <w:noProof/>
                <w:sz w:val="20"/>
                <w:szCs w:val="20"/>
              </w:rPr>
              <w:t>70</w:t>
            </w:r>
          </w:p>
        </w:tc>
      </w:tr>
    </w:tbl>
    <w:p w:rsidR="00E02D70" w:rsidRDefault="00E02D70" w:rsidP="00CC507E">
      <w:pPr>
        <w:tabs>
          <w:tab w:val="left" w:pos="0"/>
        </w:tabs>
        <w:contextualSpacing/>
        <w:jc w:val="right"/>
        <w:rPr>
          <w:b/>
          <w:noProof/>
        </w:rPr>
      </w:pPr>
    </w:p>
    <w:p w:rsidR="00E02D70" w:rsidRDefault="00E02D70" w:rsidP="00CC507E">
      <w:pPr>
        <w:tabs>
          <w:tab w:val="left" w:pos="0"/>
        </w:tabs>
        <w:contextualSpacing/>
        <w:jc w:val="right"/>
        <w:rPr>
          <w:b/>
          <w:noProof/>
        </w:rPr>
      </w:pPr>
    </w:p>
    <w:p w:rsidR="00850681" w:rsidRDefault="00850681" w:rsidP="00CC507E">
      <w:pPr>
        <w:tabs>
          <w:tab w:val="left" w:pos="0"/>
        </w:tabs>
        <w:contextualSpacing/>
        <w:jc w:val="right"/>
        <w:rPr>
          <w:b/>
          <w:noProof/>
        </w:rPr>
      </w:pPr>
      <w:r w:rsidRPr="003434C8">
        <w:rPr>
          <w:b/>
          <w:noProof/>
        </w:rPr>
        <w:lastRenderedPageBreak/>
        <w:t>Ді</w:t>
      </w:r>
      <w:r>
        <w:rPr>
          <w:b/>
          <w:noProof/>
        </w:rPr>
        <w:t xml:space="preserve">аграма </w:t>
      </w:r>
      <w:r w:rsidR="00E75600">
        <w:rPr>
          <w:b/>
          <w:noProof/>
        </w:rPr>
        <w:t>2</w:t>
      </w:r>
      <w:r>
        <w:rPr>
          <w:b/>
          <w:noProof/>
        </w:rPr>
        <w:t xml:space="preserve"> </w:t>
      </w:r>
    </w:p>
    <w:p w:rsidR="00070728" w:rsidRDefault="00070728" w:rsidP="00850681">
      <w:pPr>
        <w:tabs>
          <w:tab w:val="left" w:pos="0"/>
        </w:tabs>
        <w:contextualSpacing/>
        <w:jc w:val="both"/>
        <w:rPr>
          <w:b/>
          <w:noProof/>
        </w:rPr>
      </w:pPr>
      <w:r>
        <w:rPr>
          <w:noProof/>
          <w:lang w:val="en-US" w:eastAsia="en-US"/>
        </w:rPr>
        <w:drawing>
          <wp:inline distT="0" distB="0" distL="0" distR="0" wp14:anchorId="13D722A4" wp14:editId="3F589EBB">
            <wp:extent cx="5924550" cy="2619375"/>
            <wp:effectExtent l="0" t="0" r="0" b="9525"/>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70728" w:rsidRDefault="00070728" w:rsidP="00850681">
      <w:pPr>
        <w:tabs>
          <w:tab w:val="left" w:pos="0"/>
        </w:tabs>
        <w:contextualSpacing/>
        <w:jc w:val="both"/>
        <w:rPr>
          <w:b/>
          <w:noProof/>
        </w:rPr>
      </w:pPr>
    </w:p>
    <w:p w:rsidR="003331FB" w:rsidRPr="00FB47FC" w:rsidRDefault="00A260F9" w:rsidP="00FB47FC">
      <w:pPr>
        <w:ind w:firstLine="708"/>
        <w:jc w:val="both"/>
        <w:rPr>
          <w:b/>
        </w:rPr>
      </w:pPr>
      <w:r w:rsidRPr="000F1266">
        <w:t>У тому числі нерозглянутих справ на кінець звітного періоду (без урахування зупин</w:t>
      </w:r>
      <w:r w:rsidR="004503BC" w:rsidRPr="000F1266">
        <w:t xml:space="preserve">ених) понад 6 місяців до 1 року </w:t>
      </w:r>
      <w:r w:rsidR="004503BC" w:rsidRPr="000F1266">
        <w:rPr>
          <w:b/>
        </w:rPr>
        <w:t>1657</w:t>
      </w:r>
      <w:r w:rsidRPr="000F1266">
        <w:t>, понад 1 рік до 2 років</w:t>
      </w:r>
      <w:r w:rsidR="004503BC" w:rsidRPr="000F1266">
        <w:rPr>
          <w:b/>
        </w:rPr>
        <w:t xml:space="preserve"> 318 </w:t>
      </w:r>
      <w:r w:rsidR="004503BC" w:rsidRPr="000F1266">
        <w:t>(показники 2025 року в порівнянні з 2023 та 2024</w:t>
      </w:r>
      <w:r w:rsidR="002F43F9" w:rsidRPr="000F1266">
        <w:t xml:space="preserve"> роками відображено на </w:t>
      </w:r>
      <w:r w:rsidR="002F43F9" w:rsidRPr="00E75600">
        <w:t>гістограмі 2).</w:t>
      </w:r>
      <w:r w:rsidR="00D14627">
        <w:rPr>
          <w:b/>
        </w:rPr>
        <w:t xml:space="preserve">    </w:t>
      </w:r>
    </w:p>
    <w:p w:rsidR="00213401" w:rsidRPr="00213401" w:rsidRDefault="003331FB" w:rsidP="00CF3D2F">
      <w:pPr>
        <w:jc w:val="right"/>
        <w:rPr>
          <w:b/>
        </w:rPr>
      </w:pPr>
      <w:r>
        <w:rPr>
          <w:b/>
        </w:rPr>
        <w:t>Гістограма 2</w:t>
      </w:r>
    </w:p>
    <w:p w:rsidR="00341373" w:rsidRDefault="00213401" w:rsidP="005D374B">
      <w:pPr>
        <w:spacing w:after="160" w:line="259" w:lineRule="auto"/>
        <w:rPr>
          <w:rFonts w:ascii="Calibri" w:eastAsia="Calibri" w:hAnsi="Calibri"/>
          <w:sz w:val="22"/>
          <w:szCs w:val="22"/>
          <w:lang w:val="en-US" w:eastAsia="en-US"/>
        </w:rPr>
      </w:pPr>
      <w:r w:rsidRPr="00213401">
        <w:rPr>
          <w:rFonts w:ascii="Calibri" w:eastAsia="Calibri" w:hAnsi="Calibri"/>
          <w:noProof/>
          <w:sz w:val="22"/>
          <w:szCs w:val="22"/>
          <w:lang w:val="en-US" w:eastAsia="en-US"/>
        </w:rPr>
        <w:drawing>
          <wp:inline distT="0" distB="0" distL="0" distR="0" wp14:anchorId="7925B961" wp14:editId="3745C63C">
            <wp:extent cx="5908675" cy="2695575"/>
            <wp:effectExtent l="0" t="0" r="15875" b="952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101E7" w:rsidRPr="000F1266" w:rsidRDefault="0067678D" w:rsidP="00FB47FC">
      <w:pPr>
        <w:ind w:firstLine="708"/>
        <w:jc w:val="both"/>
        <w:rPr>
          <w:b/>
        </w:rPr>
      </w:pPr>
      <w:r w:rsidRPr="000F1266">
        <w:t>Суб’єктами звернення до суду найчастіше були:</w:t>
      </w:r>
    </w:p>
    <w:p w:rsidR="00C101E7" w:rsidRPr="00FB47FC" w:rsidRDefault="0067678D" w:rsidP="00FB47FC">
      <w:pPr>
        <w:pStyle w:val="ad"/>
        <w:numPr>
          <w:ilvl w:val="0"/>
          <w:numId w:val="40"/>
        </w:numPr>
        <w:spacing w:line="240" w:lineRule="auto"/>
        <w:jc w:val="both"/>
        <w:rPr>
          <w:rFonts w:ascii="Times New Roman" w:hAnsi="Times New Roman"/>
          <w:b/>
          <w:sz w:val="24"/>
          <w:szCs w:val="24"/>
        </w:rPr>
      </w:pPr>
      <w:r w:rsidRPr="00FB47FC">
        <w:rPr>
          <w:rFonts w:ascii="Times New Roman" w:hAnsi="Times New Roman"/>
          <w:sz w:val="24"/>
          <w:szCs w:val="24"/>
        </w:rPr>
        <w:t>фізич</w:t>
      </w:r>
      <w:r w:rsidR="00865474" w:rsidRPr="00FB47FC">
        <w:rPr>
          <w:rFonts w:ascii="Times New Roman" w:hAnsi="Times New Roman"/>
          <w:sz w:val="24"/>
          <w:szCs w:val="24"/>
        </w:rPr>
        <w:t xml:space="preserve">ні особи - </w:t>
      </w:r>
      <w:r w:rsidR="00865474" w:rsidRPr="00FB47FC">
        <w:rPr>
          <w:rFonts w:ascii="Times New Roman" w:hAnsi="Times New Roman"/>
          <w:b/>
          <w:sz w:val="24"/>
          <w:szCs w:val="24"/>
        </w:rPr>
        <w:t>7 706</w:t>
      </w:r>
      <w:r w:rsidRPr="00FB47FC">
        <w:rPr>
          <w:rFonts w:ascii="Times New Roman" w:hAnsi="Times New Roman"/>
          <w:b/>
          <w:sz w:val="24"/>
          <w:szCs w:val="24"/>
        </w:rPr>
        <w:t>;</w:t>
      </w:r>
    </w:p>
    <w:p w:rsidR="00FB47FC" w:rsidRPr="00FB47FC" w:rsidRDefault="00865474" w:rsidP="00FB47FC">
      <w:pPr>
        <w:pStyle w:val="ad"/>
        <w:numPr>
          <w:ilvl w:val="0"/>
          <w:numId w:val="40"/>
        </w:numPr>
        <w:spacing w:after="0" w:line="240" w:lineRule="auto"/>
        <w:jc w:val="both"/>
        <w:rPr>
          <w:rFonts w:ascii="Times New Roman" w:hAnsi="Times New Roman"/>
          <w:b/>
          <w:sz w:val="24"/>
          <w:szCs w:val="24"/>
        </w:rPr>
      </w:pPr>
      <w:r w:rsidRPr="00FB47FC">
        <w:rPr>
          <w:rFonts w:ascii="Times New Roman" w:hAnsi="Times New Roman"/>
          <w:sz w:val="24"/>
          <w:szCs w:val="24"/>
        </w:rPr>
        <w:t xml:space="preserve">юридичні особи - </w:t>
      </w:r>
      <w:r w:rsidRPr="00FB47FC">
        <w:rPr>
          <w:rFonts w:ascii="Times New Roman" w:hAnsi="Times New Roman"/>
          <w:b/>
          <w:sz w:val="24"/>
          <w:szCs w:val="24"/>
        </w:rPr>
        <w:t>36 276</w:t>
      </w:r>
      <w:r w:rsidRPr="00FB47FC">
        <w:rPr>
          <w:rFonts w:ascii="Times New Roman" w:hAnsi="Times New Roman"/>
          <w:sz w:val="24"/>
          <w:szCs w:val="24"/>
        </w:rPr>
        <w:t xml:space="preserve"> </w:t>
      </w:r>
      <w:r w:rsidR="0067678D" w:rsidRPr="00FB47FC">
        <w:rPr>
          <w:rFonts w:ascii="Times New Roman" w:hAnsi="Times New Roman"/>
          <w:sz w:val="24"/>
          <w:szCs w:val="24"/>
        </w:rPr>
        <w:t xml:space="preserve">(у тому </w:t>
      </w:r>
      <w:proofErr w:type="spellStart"/>
      <w:r w:rsidR="0067678D" w:rsidRPr="00FB47FC">
        <w:rPr>
          <w:rFonts w:ascii="Times New Roman" w:hAnsi="Times New Roman"/>
          <w:sz w:val="24"/>
          <w:szCs w:val="24"/>
        </w:rPr>
        <w:t>числі</w:t>
      </w:r>
      <w:proofErr w:type="spellEnd"/>
      <w:r w:rsidR="0067678D" w:rsidRPr="00FB47FC">
        <w:rPr>
          <w:rFonts w:ascii="Times New Roman" w:hAnsi="Times New Roman"/>
          <w:sz w:val="24"/>
          <w:szCs w:val="24"/>
        </w:rPr>
        <w:t xml:space="preserve"> </w:t>
      </w:r>
      <w:proofErr w:type="spellStart"/>
      <w:r w:rsidR="0067678D" w:rsidRPr="00FB47FC">
        <w:rPr>
          <w:rFonts w:ascii="Times New Roman" w:hAnsi="Times New Roman"/>
          <w:sz w:val="24"/>
          <w:szCs w:val="24"/>
        </w:rPr>
        <w:t>су</w:t>
      </w:r>
      <w:r w:rsidRPr="00FB47FC">
        <w:rPr>
          <w:rFonts w:ascii="Times New Roman" w:hAnsi="Times New Roman"/>
          <w:sz w:val="24"/>
          <w:szCs w:val="24"/>
        </w:rPr>
        <w:t>б’єкти</w:t>
      </w:r>
      <w:proofErr w:type="spellEnd"/>
      <w:r w:rsidRPr="00FB47FC">
        <w:rPr>
          <w:rFonts w:ascii="Times New Roman" w:hAnsi="Times New Roman"/>
          <w:sz w:val="24"/>
          <w:szCs w:val="24"/>
        </w:rPr>
        <w:t xml:space="preserve"> </w:t>
      </w:r>
      <w:proofErr w:type="spellStart"/>
      <w:r w:rsidRPr="00FB47FC">
        <w:rPr>
          <w:rFonts w:ascii="Times New Roman" w:hAnsi="Times New Roman"/>
          <w:sz w:val="24"/>
          <w:szCs w:val="24"/>
        </w:rPr>
        <w:t>владних</w:t>
      </w:r>
      <w:proofErr w:type="spellEnd"/>
      <w:r w:rsidRPr="00FB47FC">
        <w:rPr>
          <w:rFonts w:ascii="Times New Roman" w:hAnsi="Times New Roman"/>
          <w:sz w:val="24"/>
          <w:szCs w:val="24"/>
        </w:rPr>
        <w:t xml:space="preserve"> </w:t>
      </w:r>
      <w:proofErr w:type="spellStart"/>
      <w:r w:rsidRPr="00FB47FC">
        <w:rPr>
          <w:rFonts w:ascii="Times New Roman" w:hAnsi="Times New Roman"/>
          <w:sz w:val="24"/>
          <w:szCs w:val="24"/>
        </w:rPr>
        <w:t>повноважень</w:t>
      </w:r>
      <w:proofErr w:type="spellEnd"/>
      <w:r w:rsidRPr="00FB47FC">
        <w:rPr>
          <w:rFonts w:ascii="Times New Roman" w:hAnsi="Times New Roman"/>
          <w:sz w:val="24"/>
          <w:szCs w:val="24"/>
        </w:rPr>
        <w:t xml:space="preserve"> -</w:t>
      </w:r>
      <w:r w:rsidRPr="00FB47FC">
        <w:rPr>
          <w:rFonts w:ascii="Times New Roman" w:hAnsi="Times New Roman"/>
          <w:b/>
          <w:sz w:val="24"/>
          <w:szCs w:val="24"/>
        </w:rPr>
        <w:t xml:space="preserve"> 239</w:t>
      </w:r>
      <w:r w:rsidR="00FB47FC">
        <w:rPr>
          <w:rFonts w:ascii="Times New Roman" w:hAnsi="Times New Roman"/>
          <w:sz w:val="24"/>
          <w:szCs w:val="24"/>
        </w:rPr>
        <w:t>).</w:t>
      </w:r>
    </w:p>
    <w:p w:rsidR="001D1497" w:rsidRPr="00FB47FC" w:rsidRDefault="000B31DE" w:rsidP="00FB47FC">
      <w:pPr>
        <w:ind w:left="360" w:firstLine="348"/>
        <w:jc w:val="both"/>
        <w:rPr>
          <w:b/>
        </w:rPr>
      </w:pPr>
      <w:r w:rsidRPr="00FB47FC">
        <w:rPr>
          <w:rFonts w:eastAsia="Calibri"/>
          <w:lang w:eastAsia="en-US"/>
        </w:rPr>
        <w:t xml:space="preserve">Відповідно до </w:t>
      </w:r>
      <w:r w:rsidRPr="000F1266">
        <w:t>«Звіту апеляційних адміністративних судів про розгляд судових справ»</w:t>
      </w:r>
      <w:r w:rsidR="000E1DB6" w:rsidRPr="000F1266">
        <w:t xml:space="preserve"> за формою № 2-аас </w:t>
      </w:r>
      <w:r w:rsidR="00EA46C0" w:rsidRPr="000F1266">
        <w:t>р</w:t>
      </w:r>
      <w:r w:rsidRPr="000F1266">
        <w:t>озділ</w:t>
      </w:r>
      <w:r w:rsidR="00EA46C0" w:rsidRPr="000F1266">
        <w:t>у</w:t>
      </w:r>
      <w:r w:rsidRPr="000F1266">
        <w:t xml:space="preserve"> </w:t>
      </w:r>
      <w:r w:rsidR="00EA46C0" w:rsidRPr="000F1266">
        <w:t xml:space="preserve">«2.2. </w:t>
      </w:r>
      <w:r w:rsidRPr="000F1266">
        <w:t>Звернення судових рішень до виконання»</w:t>
      </w:r>
      <w:r w:rsidR="00EA46C0" w:rsidRPr="000F1266">
        <w:t xml:space="preserve"> відображено інформацію щодо розрахунку показників по даним відомостях виконавчих документів у звітний період </w:t>
      </w:r>
      <w:r w:rsidR="00EA46C0" w:rsidRPr="00E75600">
        <w:t xml:space="preserve">(таблиця </w:t>
      </w:r>
      <w:r w:rsidR="00BD071B">
        <w:t>№</w:t>
      </w:r>
      <w:r w:rsidR="00EA46C0" w:rsidRPr="00E75600">
        <w:t>2)</w:t>
      </w:r>
      <w:r w:rsidR="00D14627" w:rsidRPr="00E75600">
        <w:t>.</w:t>
      </w:r>
      <w:r w:rsidR="00190B9A" w:rsidRPr="00FB47FC">
        <w:rPr>
          <w:rFonts w:eastAsia="Calibri"/>
          <w:b/>
          <w:lang w:eastAsia="en-US"/>
        </w:rPr>
        <w:t xml:space="preserve">   </w:t>
      </w:r>
    </w:p>
    <w:p w:rsidR="00817875" w:rsidRPr="003434C8" w:rsidRDefault="001D1497" w:rsidP="00CC507E">
      <w:pPr>
        <w:jc w:val="right"/>
        <w:rPr>
          <w:rFonts w:eastAsia="Calibri"/>
          <w:b/>
          <w:lang w:eastAsia="en-US"/>
        </w:rPr>
      </w:pPr>
      <w:r>
        <w:rPr>
          <w:rFonts w:eastAsia="Calibri"/>
          <w:b/>
          <w:lang w:eastAsia="en-US"/>
        </w:rPr>
        <w:t xml:space="preserve">   </w:t>
      </w:r>
      <w:r w:rsidR="00817875" w:rsidRPr="003434C8">
        <w:rPr>
          <w:rFonts w:eastAsia="Calibri"/>
          <w:b/>
          <w:lang w:eastAsia="en-US"/>
        </w:rPr>
        <w:t>Таблиця №2</w:t>
      </w:r>
    </w:p>
    <w:tbl>
      <w:tblPr>
        <w:tblW w:w="9356" w:type="dxa"/>
        <w:tblInd w:w="-5" w:type="dxa"/>
        <w:tblLook w:val="04A0" w:firstRow="1" w:lastRow="0" w:firstColumn="1" w:lastColumn="0" w:noHBand="0" w:noVBand="1"/>
      </w:tblPr>
      <w:tblGrid>
        <w:gridCol w:w="2394"/>
        <w:gridCol w:w="3550"/>
        <w:gridCol w:w="990"/>
        <w:gridCol w:w="1272"/>
        <w:gridCol w:w="1150"/>
      </w:tblGrid>
      <w:tr w:rsidR="00817875" w:rsidRPr="003434C8" w:rsidTr="00735FAF">
        <w:trPr>
          <w:trHeight w:val="524"/>
        </w:trPr>
        <w:tc>
          <w:tcPr>
            <w:tcW w:w="59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17875" w:rsidRPr="001828DA" w:rsidRDefault="00817875">
            <w:pPr>
              <w:jc w:val="center"/>
              <w:rPr>
                <w:b/>
                <w:bCs/>
                <w:sz w:val="20"/>
                <w:szCs w:val="20"/>
              </w:rPr>
            </w:pPr>
            <w:r w:rsidRPr="003434C8">
              <w:rPr>
                <w:b/>
                <w:bCs/>
                <w:sz w:val="20"/>
                <w:szCs w:val="20"/>
              </w:rPr>
              <w:t>Видано судом на виконання документів</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7875" w:rsidRPr="003434C8" w:rsidRDefault="00817875" w:rsidP="00EA46C0">
            <w:pPr>
              <w:jc w:val="center"/>
              <w:rPr>
                <w:b/>
                <w:bCs/>
                <w:sz w:val="20"/>
                <w:szCs w:val="20"/>
              </w:rPr>
            </w:pPr>
            <w:r w:rsidRPr="003434C8">
              <w:rPr>
                <w:b/>
                <w:bCs/>
                <w:sz w:val="20"/>
                <w:szCs w:val="20"/>
              </w:rPr>
              <w:t>№ рядка</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7875" w:rsidRPr="003434C8" w:rsidRDefault="00817875" w:rsidP="00EA46C0">
            <w:pPr>
              <w:jc w:val="center"/>
              <w:rPr>
                <w:b/>
                <w:bCs/>
                <w:sz w:val="20"/>
                <w:szCs w:val="20"/>
              </w:rPr>
            </w:pPr>
            <w:r w:rsidRPr="003434C8">
              <w:rPr>
                <w:b/>
                <w:bCs/>
                <w:sz w:val="20"/>
                <w:szCs w:val="20"/>
              </w:rPr>
              <w:t>Кількість</w:t>
            </w:r>
          </w:p>
        </w:tc>
        <w:tc>
          <w:tcPr>
            <w:tcW w:w="1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7875" w:rsidRPr="003434C8" w:rsidRDefault="00817875" w:rsidP="00EA46C0">
            <w:pPr>
              <w:jc w:val="center"/>
              <w:rPr>
                <w:b/>
                <w:bCs/>
                <w:sz w:val="20"/>
                <w:szCs w:val="20"/>
              </w:rPr>
            </w:pPr>
            <w:r w:rsidRPr="003434C8">
              <w:rPr>
                <w:b/>
                <w:bCs/>
                <w:sz w:val="20"/>
                <w:szCs w:val="20"/>
              </w:rPr>
              <w:t>на суму, грн.</w:t>
            </w:r>
          </w:p>
        </w:tc>
      </w:tr>
      <w:tr w:rsidR="00817875" w:rsidRPr="003434C8" w:rsidTr="00735FAF">
        <w:trPr>
          <w:trHeight w:val="327"/>
        </w:trPr>
        <w:tc>
          <w:tcPr>
            <w:tcW w:w="59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17875" w:rsidRPr="003434C8" w:rsidRDefault="00817875">
            <w:pPr>
              <w:rPr>
                <w:b/>
                <w:bCs/>
                <w:sz w:val="20"/>
                <w:szCs w:val="20"/>
              </w:rPr>
            </w:pPr>
            <w:r w:rsidRPr="003434C8">
              <w:rPr>
                <w:b/>
                <w:bCs/>
                <w:sz w:val="20"/>
                <w:szCs w:val="20"/>
              </w:rPr>
              <w:t>Усього</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7875" w:rsidRPr="003434C8" w:rsidRDefault="00817875" w:rsidP="00EA46C0">
            <w:pPr>
              <w:jc w:val="center"/>
              <w:rPr>
                <w:sz w:val="20"/>
                <w:szCs w:val="20"/>
              </w:rPr>
            </w:pPr>
            <w:r w:rsidRPr="003434C8">
              <w:rPr>
                <w:sz w:val="20"/>
                <w:szCs w:val="20"/>
              </w:rPr>
              <w:t>1</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rsidR="00817875" w:rsidRPr="003434C8" w:rsidRDefault="001828DA" w:rsidP="00EA46C0">
            <w:pPr>
              <w:jc w:val="center"/>
              <w:rPr>
                <w:sz w:val="20"/>
                <w:szCs w:val="20"/>
              </w:rPr>
            </w:pPr>
            <w:r>
              <w:rPr>
                <w:sz w:val="20"/>
                <w:szCs w:val="20"/>
              </w:rPr>
              <w:t>35</w:t>
            </w:r>
          </w:p>
        </w:tc>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rsidR="00817875" w:rsidRPr="003434C8" w:rsidRDefault="001828DA" w:rsidP="00EA46C0">
            <w:pPr>
              <w:jc w:val="center"/>
              <w:rPr>
                <w:sz w:val="20"/>
                <w:szCs w:val="20"/>
              </w:rPr>
            </w:pPr>
            <w:r>
              <w:rPr>
                <w:sz w:val="20"/>
                <w:szCs w:val="20"/>
              </w:rPr>
              <w:t>96264</w:t>
            </w:r>
          </w:p>
        </w:tc>
      </w:tr>
      <w:tr w:rsidR="00491637" w:rsidRPr="003434C8" w:rsidTr="00735FAF">
        <w:trPr>
          <w:trHeight w:val="327"/>
        </w:trPr>
        <w:tc>
          <w:tcPr>
            <w:tcW w:w="239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875" w:rsidRPr="003434C8" w:rsidRDefault="00817875">
            <w:pPr>
              <w:jc w:val="center"/>
              <w:rPr>
                <w:sz w:val="20"/>
                <w:szCs w:val="20"/>
              </w:rPr>
            </w:pPr>
            <w:r w:rsidRPr="003434C8">
              <w:rPr>
                <w:sz w:val="20"/>
                <w:szCs w:val="20"/>
              </w:rPr>
              <w:t>з них</w:t>
            </w:r>
          </w:p>
        </w:tc>
        <w:tc>
          <w:tcPr>
            <w:tcW w:w="35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7875" w:rsidRPr="003434C8" w:rsidRDefault="00817875">
            <w:pPr>
              <w:rPr>
                <w:sz w:val="20"/>
                <w:szCs w:val="20"/>
              </w:rPr>
            </w:pPr>
            <w:r w:rsidRPr="003434C8">
              <w:rPr>
                <w:sz w:val="20"/>
                <w:szCs w:val="20"/>
              </w:rPr>
              <w:t>виконавчих листів</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875" w:rsidRPr="003434C8" w:rsidRDefault="00817875" w:rsidP="00EA46C0">
            <w:pPr>
              <w:jc w:val="center"/>
              <w:rPr>
                <w:sz w:val="20"/>
                <w:szCs w:val="20"/>
              </w:rPr>
            </w:pPr>
            <w:r w:rsidRPr="003434C8">
              <w:rPr>
                <w:sz w:val="20"/>
                <w:szCs w:val="20"/>
              </w:rPr>
              <w:t>2</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rsidR="00817875" w:rsidRPr="003434C8" w:rsidRDefault="001828DA" w:rsidP="0075640D">
            <w:pPr>
              <w:jc w:val="center"/>
              <w:rPr>
                <w:sz w:val="20"/>
                <w:szCs w:val="20"/>
              </w:rPr>
            </w:pPr>
            <w:r>
              <w:rPr>
                <w:sz w:val="20"/>
                <w:szCs w:val="20"/>
              </w:rPr>
              <w:t>35</w:t>
            </w:r>
          </w:p>
        </w:tc>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rsidR="00817875" w:rsidRPr="003434C8" w:rsidRDefault="001828DA" w:rsidP="001828DA">
            <w:pPr>
              <w:jc w:val="center"/>
              <w:rPr>
                <w:sz w:val="20"/>
                <w:szCs w:val="20"/>
              </w:rPr>
            </w:pPr>
            <w:r>
              <w:rPr>
                <w:sz w:val="20"/>
                <w:szCs w:val="20"/>
              </w:rPr>
              <w:t>96264</w:t>
            </w:r>
          </w:p>
        </w:tc>
      </w:tr>
      <w:tr w:rsidR="00491637" w:rsidRPr="003434C8" w:rsidTr="00735FAF">
        <w:trPr>
          <w:trHeight w:val="327"/>
        </w:trPr>
        <w:tc>
          <w:tcPr>
            <w:tcW w:w="2394" w:type="dxa"/>
            <w:vMerge/>
            <w:tcBorders>
              <w:top w:val="single" w:sz="4" w:space="0" w:color="auto"/>
              <w:left w:val="single" w:sz="4" w:space="0" w:color="auto"/>
              <w:bottom w:val="single" w:sz="4" w:space="0" w:color="auto"/>
              <w:right w:val="single" w:sz="4" w:space="0" w:color="auto"/>
            </w:tcBorders>
            <w:vAlign w:val="center"/>
            <w:hideMark/>
          </w:tcPr>
          <w:p w:rsidR="00817875" w:rsidRPr="003434C8" w:rsidRDefault="00817875">
            <w:pPr>
              <w:rPr>
                <w:sz w:val="20"/>
                <w:szCs w:val="20"/>
              </w:rPr>
            </w:pPr>
          </w:p>
        </w:tc>
        <w:tc>
          <w:tcPr>
            <w:tcW w:w="35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7875" w:rsidRPr="003434C8" w:rsidRDefault="00817875">
            <w:pPr>
              <w:rPr>
                <w:sz w:val="20"/>
                <w:szCs w:val="20"/>
              </w:rPr>
            </w:pPr>
            <w:r w:rsidRPr="003434C8">
              <w:rPr>
                <w:sz w:val="20"/>
                <w:szCs w:val="20"/>
              </w:rPr>
              <w:t>ухвал, рішень</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875" w:rsidRPr="003434C8" w:rsidRDefault="00817875" w:rsidP="00EA46C0">
            <w:pPr>
              <w:jc w:val="center"/>
              <w:rPr>
                <w:sz w:val="20"/>
                <w:szCs w:val="20"/>
              </w:rPr>
            </w:pPr>
            <w:r w:rsidRPr="003434C8">
              <w:rPr>
                <w:sz w:val="20"/>
                <w:szCs w:val="20"/>
              </w:rPr>
              <w:t>3</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rsidR="00817875" w:rsidRPr="003434C8" w:rsidRDefault="007B78EB" w:rsidP="00EA46C0">
            <w:pPr>
              <w:jc w:val="center"/>
              <w:rPr>
                <w:sz w:val="20"/>
                <w:szCs w:val="20"/>
              </w:rPr>
            </w:pPr>
            <w:r w:rsidRPr="003434C8">
              <w:rPr>
                <w:sz w:val="20"/>
                <w:szCs w:val="20"/>
              </w:rPr>
              <w:t>0</w:t>
            </w:r>
          </w:p>
        </w:tc>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rsidR="00817875" w:rsidRPr="003434C8" w:rsidRDefault="001828DA" w:rsidP="00EA46C0">
            <w:pPr>
              <w:jc w:val="center"/>
              <w:rPr>
                <w:sz w:val="20"/>
                <w:szCs w:val="20"/>
              </w:rPr>
            </w:pPr>
            <w:r>
              <w:rPr>
                <w:sz w:val="20"/>
                <w:szCs w:val="20"/>
              </w:rPr>
              <w:t>0</w:t>
            </w:r>
          </w:p>
        </w:tc>
      </w:tr>
      <w:tr w:rsidR="00491637" w:rsidRPr="003434C8" w:rsidTr="00735FAF">
        <w:trPr>
          <w:trHeight w:val="327"/>
        </w:trPr>
        <w:tc>
          <w:tcPr>
            <w:tcW w:w="23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7875" w:rsidRPr="003434C8" w:rsidRDefault="00817875">
            <w:pPr>
              <w:jc w:val="center"/>
              <w:rPr>
                <w:sz w:val="20"/>
                <w:szCs w:val="20"/>
              </w:rPr>
            </w:pPr>
            <w:r w:rsidRPr="003434C8">
              <w:rPr>
                <w:sz w:val="20"/>
                <w:szCs w:val="20"/>
              </w:rPr>
              <w:t>в дохід держави</w:t>
            </w:r>
          </w:p>
        </w:tc>
        <w:tc>
          <w:tcPr>
            <w:tcW w:w="35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7875" w:rsidRPr="003434C8" w:rsidRDefault="00817875">
            <w:pPr>
              <w:rPr>
                <w:i/>
                <w:iCs/>
                <w:sz w:val="20"/>
                <w:szCs w:val="20"/>
              </w:rPr>
            </w:pPr>
            <w:r w:rsidRPr="003434C8">
              <w:rPr>
                <w:i/>
                <w:iCs/>
                <w:sz w:val="20"/>
                <w:szCs w:val="20"/>
              </w:rPr>
              <w:t>про стягнення судового збору</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7875" w:rsidRPr="003434C8" w:rsidRDefault="00817875" w:rsidP="00EA46C0">
            <w:pPr>
              <w:jc w:val="center"/>
              <w:rPr>
                <w:sz w:val="20"/>
                <w:szCs w:val="20"/>
              </w:rPr>
            </w:pPr>
            <w:r w:rsidRPr="003434C8">
              <w:rPr>
                <w:sz w:val="20"/>
                <w:szCs w:val="20"/>
              </w:rPr>
              <w:t>4</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rsidR="00817875" w:rsidRPr="003434C8" w:rsidRDefault="001828DA" w:rsidP="00EA46C0">
            <w:pPr>
              <w:jc w:val="center"/>
              <w:rPr>
                <w:sz w:val="20"/>
                <w:szCs w:val="20"/>
              </w:rPr>
            </w:pPr>
            <w:r>
              <w:rPr>
                <w:sz w:val="20"/>
                <w:szCs w:val="20"/>
              </w:rPr>
              <w:t>35</w:t>
            </w:r>
          </w:p>
        </w:tc>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rsidR="00817875" w:rsidRPr="003434C8" w:rsidRDefault="001828DA" w:rsidP="00EA46C0">
            <w:pPr>
              <w:jc w:val="center"/>
              <w:rPr>
                <w:sz w:val="20"/>
                <w:szCs w:val="20"/>
              </w:rPr>
            </w:pPr>
            <w:r>
              <w:rPr>
                <w:sz w:val="20"/>
                <w:szCs w:val="20"/>
              </w:rPr>
              <w:t>96264</w:t>
            </w:r>
          </w:p>
        </w:tc>
      </w:tr>
      <w:tr w:rsidR="00491637" w:rsidRPr="003434C8" w:rsidTr="00735FAF">
        <w:trPr>
          <w:trHeight w:val="545"/>
        </w:trPr>
        <w:tc>
          <w:tcPr>
            <w:tcW w:w="2394" w:type="dxa"/>
            <w:vMerge/>
            <w:tcBorders>
              <w:top w:val="single" w:sz="4" w:space="0" w:color="auto"/>
              <w:left w:val="single" w:sz="4" w:space="0" w:color="auto"/>
              <w:bottom w:val="single" w:sz="4" w:space="0" w:color="auto"/>
              <w:right w:val="single" w:sz="4" w:space="0" w:color="auto"/>
            </w:tcBorders>
            <w:vAlign w:val="center"/>
            <w:hideMark/>
          </w:tcPr>
          <w:p w:rsidR="00817875" w:rsidRPr="003434C8" w:rsidRDefault="00817875">
            <w:pPr>
              <w:rPr>
                <w:sz w:val="20"/>
                <w:szCs w:val="20"/>
              </w:rPr>
            </w:pPr>
          </w:p>
        </w:tc>
        <w:tc>
          <w:tcPr>
            <w:tcW w:w="35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7875" w:rsidRPr="003434C8" w:rsidRDefault="00817875">
            <w:pPr>
              <w:rPr>
                <w:i/>
                <w:iCs/>
                <w:sz w:val="20"/>
                <w:szCs w:val="20"/>
              </w:rPr>
            </w:pPr>
            <w:r w:rsidRPr="003434C8">
              <w:rPr>
                <w:i/>
                <w:iCs/>
                <w:sz w:val="20"/>
                <w:szCs w:val="20"/>
              </w:rPr>
              <w:t>про накладення штрафу (як засобу процесуального примусу)</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875" w:rsidRPr="003434C8" w:rsidRDefault="00817875" w:rsidP="00EA46C0">
            <w:pPr>
              <w:jc w:val="center"/>
              <w:rPr>
                <w:sz w:val="20"/>
                <w:szCs w:val="20"/>
              </w:rPr>
            </w:pPr>
            <w:r w:rsidRPr="003434C8">
              <w:rPr>
                <w:sz w:val="20"/>
                <w:szCs w:val="20"/>
              </w:rPr>
              <w:t>5</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rsidR="00817875" w:rsidRPr="003434C8" w:rsidRDefault="007B78EB" w:rsidP="00EA46C0">
            <w:pPr>
              <w:jc w:val="center"/>
              <w:rPr>
                <w:sz w:val="20"/>
                <w:szCs w:val="20"/>
              </w:rPr>
            </w:pPr>
            <w:r w:rsidRPr="003434C8">
              <w:rPr>
                <w:sz w:val="20"/>
                <w:szCs w:val="20"/>
              </w:rPr>
              <w:t>0</w:t>
            </w:r>
          </w:p>
        </w:tc>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rsidR="00817875" w:rsidRPr="003434C8" w:rsidRDefault="001828DA" w:rsidP="00EA46C0">
            <w:pPr>
              <w:jc w:val="center"/>
              <w:rPr>
                <w:sz w:val="20"/>
                <w:szCs w:val="20"/>
              </w:rPr>
            </w:pPr>
            <w:r>
              <w:rPr>
                <w:sz w:val="20"/>
                <w:szCs w:val="20"/>
              </w:rPr>
              <w:t>0</w:t>
            </w:r>
          </w:p>
        </w:tc>
      </w:tr>
      <w:tr w:rsidR="00491637" w:rsidRPr="003434C8" w:rsidTr="00735FAF">
        <w:trPr>
          <w:trHeight w:val="327"/>
        </w:trPr>
        <w:tc>
          <w:tcPr>
            <w:tcW w:w="23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7875" w:rsidRPr="003434C8" w:rsidRDefault="00817875" w:rsidP="00EA46C0">
            <w:pPr>
              <w:jc w:val="center"/>
              <w:rPr>
                <w:sz w:val="20"/>
                <w:szCs w:val="20"/>
              </w:rPr>
            </w:pPr>
            <w:r w:rsidRPr="003434C8">
              <w:rPr>
                <w:sz w:val="20"/>
                <w:szCs w:val="20"/>
              </w:rPr>
              <w:lastRenderedPageBreak/>
              <w:t xml:space="preserve">боржник, в яких є (з рядка </w:t>
            </w:r>
            <w:r w:rsidR="00EA46C0" w:rsidRPr="003434C8">
              <w:rPr>
                <w:sz w:val="20"/>
                <w:szCs w:val="20"/>
              </w:rPr>
              <w:t>«</w:t>
            </w:r>
            <w:r w:rsidRPr="003434C8">
              <w:rPr>
                <w:sz w:val="20"/>
                <w:szCs w:val="20"/>
              </w:rPr>
              <w:t>усього</w:t>
            </w:r>
            <w:r w:rsidR="00EA46C0" w:rsidRPr="003434C8">
              <w:rPr>
                <w:sz w:val="20"/>
                <w:szCs w:val="20"/>
              </w:rPr>
              <w:t>»</w:t>
            </w:r>
            <w:r w:rsidRPr="003434C8">
              <w:rPr>
                <w:sz w:val="20"/>
                <w:szCs w:val="20"/>
              </w:rPr>
              <w:t>)</w:t>
            </w:r>
          </w:p>
        </w:tc>
        <w:tc>
          <w:tcPr>
            <w:tcW w:w="35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7875" w:rsidRPr="003434C8" w:rsidRDefault="00817875">
            <w:pPr>
              <w:rPr>
                <w:sz w:val="20"/>
                <w:szCs w:val="20"/>
              </w:rPr>
            </w:pPr>
            <w:r w:rsidRPr="003434C8">
              <w:rPr>
                <w:sz w:val="20"/>
                <w:szCs w:val="20"/>
              </w:rPr>
              <w:t>державний орган</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875" w:rsidRPr="003434C8" w:rsidRDefault="00817875" w:rsidP="00EA46C0">
            <w:pPr>
              <w:jc w:val="center"/>
              <w:rPr>
                <w:sz w:val="20"/>
                <w:szCs w:val="20"/>
              </w:rPr>
            </w:pPr>
            <w:r w:rsidRPr="003434C8">
              <w:rPr>
                <w:sz w:val="20"/>
                <w:szCs w:val="20"/>
              </w:rPr>
              <w:t>6</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rsidR="00817875" w:rsidRPr="003434C8" w:rsidRDefault="001828DA" w:rsidP="00EA46C0">
            <w:pPr>
              <w:jc w:val="center"/>
              <w:rPr>
                <w:sz w:val="20"/>
                <w:szCs w:val="20"/>
              </w:rPr>
            </w:pPr>
            <w:r>
              <w:rPr>
                <w:sz w:val="20"/>
                <w:szCs w:val="20"/>
              </w:rPr>
              <w:t>0</w:t>
            </w:r>
          </w:p>
        </w:tc>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rsidR="00817875" w:rsidRPr="003434C8" w:rsidRDefault="001828DA" w:rsidP="00EA46C0">
            <w:pPr>
              <w:jc w:val="center"/>
              <w:rPr>
                <w:sz w:val="20"/>
                <w:szCs w:val="20"/>
              </w:rPr>
            </w:pPr>
            <w:r>
              <w:rPr>
                <w:sz w:val="20"/>
                <w:szCs w:val="20"/>
              </w:rPr>
              <w:t>0</w:t>
            </w:r>
          </w:p>
        </w:tc>
      </w:tr>
      <w:tr w:rsidR="00491637" w:rsidRPr="003434C8" w:rsidTr="00735FAF">
        <w:trPr>
          <w:trHeight w:val="545"/>
        </w:trPr>
        <w:tc>
          <w:tcPr>
            <w:tcW w:w="2394" w:type="dxa"/>
            <w:vMerge/>
            <w:tcBorders>
              <w:top w:val="single" w:sz="4" w:space="0" w:color="auto"/>
              <w:left w:val="single" w:sz="4" w:space="0" w:color="auto"/>
              <w:bottom w:val="single" w:sz="4" w:space="0" w:color="auto"/>
              <w:right w:val="single" w:sz="4" w:space="0" w:color="auto"/>
            </w:tcBorders>
            <w:vAlign w:val="center"/>
            <w:hideMark/>
          </w:tcPr>
          <w:p w:rsidR="00817875" w:rsidRPr="003434C8" w:rsidRDefault="00817875">
            <w:pPr>
              <w:rPr>
                <w:sz w:val="20"/>
                <w:szCs w:val="20"/>
              </w:rPr>
            </w:pPr>
          </w:p>
        </w:tc>
        <w:tc>
          <w:tcPr>
            <w:tcW w:w="35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7875" w:rsidRPr="003434C8" w:rsidRDefault="00817875">
            <w:pPr>
              <w:rPr>
                <w:sz w:val="20"/>
                <w:szCs w:val="20"/>
              </w:rPr>
            </w:pPr>
            <w:r w:rsidRPr="003434C8">
              <w:rPr>
                <w:sz w:val="20"/>
                <w:szCs w:val="20"/>
              </w:rPr>
              <w:t>державне підприємство, установа, організація</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875" w:rsidRPr="003434C8" w:rsidRDefault="00817875" w:rsidP="00EA46C0">
            <w:pPr>
              <w:jc w:val="center"/>
              <w:rPr>
                <w:sz w:val="20"/>
                <w:szCs w:val="20"/>
              </w:rPr>
            </w:pPr>
            <w:r w:rsidRPr="003434C8">
              <w:rPr>
                <w:sz w:val="20"/>
                <w:szCs w:val="20"/>
              </w:rPr>
              <w:t>7</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rsidR="00817875" w:rsidRPr="003434C8" w:rsidRDefault="001828DA" w:rsidP="00EA46C0">
            <w:pPr>
              <w:jc w:val="center"/>
              <w:rPr>
                <w:sz w:val="20"/>
                <w:szCs w:val="20"/>
              </w:rPr>
            </w:pPr>
            <w:r>
              <w:rPr>
                <w:sz w:val="20"/>
                <w:szCs w:val="20"/>
              </w:rPr>
              <w:t>34</w:t>
            </w:r>
          </w:p>
        </w:tc>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rsidR="00817875" w:rsidRPr="003434C8" w:rsidRDefault="001828DA" w:rsidP="00EA46C0">
            <w:pPr>
              <w:jc w:val="center"/>
              <w:rPr>
                <w:sz w:val="20"/>
                <w:szCs w:val="20"/>
              </w:rPr>
            </w:pPr>
            <w:r>
              <w:rPr>
                <w:sz w:val="20"/>
                <w:szCs w:val="20"/>
              </w:rPr>
              <w:t>94811</w:t>
            </w:r>
          </w:p>
        </w:tc>
      </w:tr>
    </w:tbl>
    <w:p w:rsidR="00E2761B" w:rsidRDefault="00E2761B" w:rsidP="001D1497">
      <w:pPr>
        <w:jc w:val="both"/>
        <w:rPr>
          <w:rFonts w:eastAsia="Calibri"/>
          <w:lang w:eastAsia="en-US"/>
        </w:rPr>
      </w:pPr>
    </w:p>
    <w:p w:rsidR="001D1497" w:rsidRPr="001C010B" w:rsidRDefault="00CF5C51" w:rsidP="00FB47FC">
      <w:pPr>
        <w:ind w:firstLine="708"/>
        <w:jc w:val="both"/>
        <w:rPr>
          <w:rFonts w:eastAsia="Calibri"/>
          <w:lang w:eastAsia="en-US"/>
        </w:rPr>
      </w:pPr>
      <w:r w:rsidRPr="000F1266">
        <w:rPr>
          <w:rFonts w:eastAsia="Calibri"/>
          <w:lang w:eastAsia="en-US"/>
        </w:rPr>
        <w:t xml:space="preserve">Показники перегляду </w:t>
      </w:r>
      <w:r w:rsidR="00895661" w:rsidRPr="000F1266">
        <w:rPr>
          <w:rFonts w:eastAsia="Calibri"/>
          <w:lang w:eastAsia="en-US"/>
        </w:rPr>
        <w:t xml:space="preserve">рішень (постанов) </w:t>
      </w:r>
      <w:r w:rsidR="00FF7747" w:rsidRPr="000F1266">
        <w:rPr>
          <w:rFonts w:eastAsia="Calibri"/>
          <w:lang w:eastAsia="en-US"/>
        </w:rPr>
        <w:t xml:space="preserve">суду першої інстанції за </w:t>
      </w:r>
      <w:r w:rsidRPr="000F1266">
        <w:rPr>
          <w:rFonts w:eastAsia="Calibri"/>
          <w:lang w:eastAsia="en-US"/>
        </w:rPr>
        <w:t>апеляційними скаргами</w:t>
      </w:r>
      <w:r w:rsidR="00FF7747" w:rsidRPr="000F1266">
        <w:rPr>
          <w:rFonts w:eastAsia="Calibri"/>
          <w:lang w:eastAsia="en-US"/>
        </w:rPr>
        <w:t xml:space="preserve"> </w:t>
      </w:r>
      <w:r w:rsidR="00895661" w:rsidRPr="000F1266">
        <w:rPr>
          <w:rFonts w:eastAsia="Calibri"/>
          <w:lang w:eastAsia="en-US"/>
        </w:rPr>
        <w:t>категорі</w:t>
      </w:r>
      <w:r w:rsidR="00C12636" w:rsidRPr="000F1266">
        <w:rPr>
          <w:rFonts w:eastAsia="Calibri"/>
          <w:lang w:eastAsia="en-US"/>
        </w:rPr>
        <w:t xml:space="preserve">й </w:t>
      </w:r>
      <w:r w:rsidR="00154B0B" w:rsidRPr="000F1266">
        <w:rPr>
          <w:rFonts w:eastAsia="Calibri"/>
          <w:lang w:eastAsia="en-US"/>
        </w:rPr>
        <w:t>справ у 202</w:t>
      </w:r>
      <w:r w:rsidR="00D77EEF" w:rsidRPr="000F1266">
        <w:rPr>
          <w:rFonts w:eastAsia="Calibri"/>
          <w:lang w:eastAsia="en-US"/>
        </w:rPr>
        <w:t>4</w:t>
      </w:r>
      <w:r w:rsidR="00895661" w:rsidRPr="000F1266">
        <w:rPr>
          <w:rFonts w:eastAsia="Calibri"/>
          <w:lang w:eastAsia="en-US"/>
        </w:rPr>
        <w:t>-202</w:t>
      </w:r>
      <w:r w:rsidR="00D77EEF" w:rsidRPr="000F1266">
        <w:rPr>
          <w:rFonts w:eastAsia="Calibri"/>
          <w:lang w:eastAsia="en-US"/>
        </w:rPr>
        <w:t>5</w:t>
      </w:r>
      <w:r w:rsidR="00895661" w:rsidRPr="000F1266">
        <w:rPr>
          <w:rFonts w:eastAsia="Calibri"/>
          <w:lang w:eastAsia="en-US"/>
        </w:rPr>
        <w:t xml:space="preserve"> роках</w:t>
      </w:r>
      <w:r w:rsidR="00FC3281" w:rsidRPr="000F1266">
        <w:rPr>
          <w:rFonts w:eastAsia="Calibri"/>
          <w:lang w:eastAsia="en-US"/>
        </w:rPr>
        <w:t xml:space="preserve"> відображено в таблиці </w:t>
      </w:r>
      <w:r w:rsidR="00BD071B">
        <w:rPr>
          <w:rFonts w:eastAsia="Calibri"/>
          <w:lang w:eastAsia="en-US"/>
        </w:rPr>
        <w:t>№</w:t>
      </w:r>
      <w:r w:rsidR="00817875" w:rsidRPr="000F1266">
        <w:rPr>
          <w:rFonts w:eastAsia="Calibri"/>
          <w:lang w:eastAsia="en-US"/>
        </w:rPr>
        <w:t>3</w:t>
      </w:r>
      <w:r w:rsidR="00D14627" w:rsidRPr="000F1266">
        <w:rPr>
          <w:rFonts w:eastAsia="Calibri"/>
          <w:lang w:eastAsia="en-US"/>
        </w:rPr>
        <w:t>.</w:t>
      </w:r>
    </w:p>
    <w:p w:rsidR="00895661" w:rsidRPr="003434C8" w:rsidRDefault="00FC3281" w:rsidP="00154B0B">
      <w:pPr>
        <w:jc w:val="right"/>
        <w:rPr>
          <w:b/>
          <w:iCs/>
          <w:noProof/>
        </w:rPr>
      </w:pPr>
      <w:r w:rsidRPr="003434C8">
        <w:rPr>
          <w:b/>
          <w:iCs/>
          <w:noProof/>
        </w:rPr>
        <w:t>Таблиця №</w:t>
      </w:r>
      <w:r w:rsidR="00817875" w:rsidRPr="003434C8">
        <w:rPr>
          <w:b/>
          <w:iCs/>
          <w:noProof/>
        </w:rPr>
        <w:t>3</w:t>
      </w:r>
      <w:r w:rsidRPr="003434C8">
        <w:rPr>
          <w:b/>
          <w:iCs/>
          <w:noProof/>
        </w:rPr>
        <w:t xml:space="preserve"> </w:t>
      </w:r>
    </w:p>
    <w:tbl>
      <w:tblPr>
        <w:tblStyle w:val="a7"/>
        <w:tblW w:w="9350" w:type="dxa"/>
        <w:tblInd w:w="-5" w:type="dxa"/>
        <w:tblLayout w:type="fixed"/>
        <w:tblLook w:val="04A0" w:firstRow="1" w:lastRow="0" w:firstColumn="1" w:lastColumn="0" w:noHBand="0" w:noVBand="1"/>
      </w:tblPr>
      <w:tblGrid>
        <w:gridCol w:w="1969"/>
        <w:gridCol w:w="723"/>
        <w:gridCol w:w="729"/>
        <w:gridCol w:w="545"/>
        <w:gridCol w:w="709"/>
        <w:gridCol w:w="566"/>
        <w:gridCol w:w="567"/>
        <w:gridCol w:w="566"/>
        <w:gridCol w:w="567"/>
        <w:gridCol w:w="850"/>
        <w:gridCol w:w="849"/>
        <w:gridCol w:w="710"/>
      </w:tblGrid>
      <w:tr w:rsidR="00E84CE5" w:rsidRPr="007768FA" w:rsidTr="00735FAF">
        <w:trPr>
          <w:trHeight w:val="1650"/>
        </w:trPr>
        <w:tc>
          <w:tcPr>
            <w:tcW w:w="1969" w:type="dxa"/>
            <w:tcBorders>
              <w:top w:val="single" w:sz="4" w:space="0" w:color="auto"/>
              <w:left w:val="single" w:sz="4" w:space="0" w:color="auto"/>
              <w:bottom w:val="single" w:sz="4" w:space="0" w:color="auto"/>
              <w:right w:val="single" w:sz="4" w:space="0" w:color="auto"/>
            </w:tcBorders>
          </w:tcPr>
          <w:p w:rsidR="00E84CE5" w:rsidRPr="007768FA" w:rsidRDefault="00E84CE5" w:rsidP="00CF7557">
            <w:pPr>
              <w:tabs>
                <w:tab w:val="left" w:pos="0"/>
              </w:tabs>
              <w:spacing w:after="240"/>
              <w:contextualSpacing/>
              <w:jc w:val="center"/>
              <w:rPr>
                <w:b/>
                <w:iCs/>
                <w:noProof/>
                <w:sz w:val="16"/>
                <w:szCs w:val="16"/>
              </w:rPr>
            </w:pPr>
          </w:p>
          <w:p w:rsidR="00E84CE5" w:rsidRPr="007768FA" w:rsidRDefault="00E84CE5" w:rsidP="00CF7557">
            <w:pPr>
              <w:tabs>
                <w:tab w:val="left" w:pos="0"/>
              </w:tabs>
              <w:spacing w:after="240"/>
              <w:contextualSpacing/>
              <w:jc w:val="center"/>
              <w:rPr>
                <w:b/>
                <w:iCs/>
                <w:noProof/>
                <w:sz w:val="16"/>
                <w:szCs w:val="16"/>
              </w:rPr>
            </w:pPr>
          </w:p>
          <w:p w:rsidR="00E84CE5" w:rsidRPr="007768FA" w:rsidRDefault="00E84CE5" w:rsidP="00CF7557">
            <w:pPr>
              <w:tabs>
                <w:tab w:val="left" w:pos="0"/>
              </w:tabs>
              <w:spacing w:after="240"/>
              <w:contextualSpacing/>
              <w:jc w:val="center"/>
              <w:rPr>
                <w:b/>
                <w:iCs/>
                <w:noProof/>
                <w:sz w:val="16"/>
                <w:szCs w:val="16"/>
              </w:rPr>
            </w:pPr>
          </w:p>
          <w:p w:rsidR="00E84CE5" w:rsidRPr="007768FA" w:rsidRDefault="00E84CE5" w:rsidP="00CF7557">
            <w:pPr>
              <w:tabs>
                <w:tab w:val="left" w:pos="0"/>
              </w:tabs>
              <w:spacing w:after="240"/>
              <w:contextualSpacing/>
              <w:jc w:val="center"/>
              <w:rPr>
                <w:b/>
                <w:iCs/>
                <w:noProof/>
                <w:sz w:val="16"/>
                <w:szCs w:val="16"/>
              </w:rPr>
            </w:pPr>
          </w:p>
          <w:p w:rsidR="00E84CE5" w:rsidRPr="007768FA" w:rsidRDefault="00E84CE5" w:rsidP="00CF7557">
            <w:pPr>
              <w:tabs>
                <w:tab w:val="left" w:pos="0"/>
              </w:tabs>
              <w:spacing w:after="240"/>
              <w:contextualSpacing/>
              <w:jc w:val="center"/>
              <w:rPr>
                <w:b/>
                <w:iCs/>
                <w:noProof/>
                <w:sz w:val="16"/>
                <w:szCs w:val="16"/>
              </w:rPr>
            </w:pPr>
            <w:r w:rsidRPr="007768FA">
              <w:rPr>
                <w:b/>
                <w:iCs/>
                <w:noProof/>
                <w:sz w:val="16"/>
                <w:szCs w:val="16"/>
              </w:rPr>
              <w:t>Категорія справи</w:t>
            </w:r>
          </w:p>
        </w:tc>
        <w:tc>
          <w:tcPr>
            <w:tcW w:w="1452" w:type="dxa"/>
            <w:gridSpan w:val="2"/>
            <w:tcBorders>
              <w:top w:val="single" w:sz="4" w:space="0" w:color="auto"/>
              <w:left w:val="single" w:sz="4" w:space="0" w:color="auto"/>
              <w:bottom w:val="single" w:sz="4" w:space="0" w:color="auto"/>
              <w:right w:val="single" w:sz="4" w:space="0" w:color="auto"/>
            </w:tcBorders>
          </w:tcPr>
          <w:p w:rsidR="00E84CE5" w:rsidRPr="007768FA" w:rsidRDefault="00E84CE5" w:rsidP="00CF7557">
            <w:pPr>
              <w:tabs>
                <w:tab w:val="left" w:pos="0"/>
              </w:tabs>
              <w:spacing w:after="240"/>
              <w:contextualSpacing/>
              <w:jc w:val="center"/>
              <w:rPr>
                <w:b/>
                <w:iCs/>
                <w:noProof/>
                <w:sz w:val="16"/>
                <w:szCs w:val="16"/>
              </w:rPr>
            </w:pPr>
          </w:p>
          <w:p w:rsidR="00E84CE5" w:rsidRPr="007768FA" w:rsidRDefault="00E84CE5" w:rsidP="00C512C6">
            <w:pPr>
              <w:tabs>
                <w:tab w:val="left" w:pos="0"/>
              </w:tabs>
              <w:spacing w:after="240"/>
              <w:contextualSpacing/>
              <w:jc w:val="center"/>
              <w:rPr>
                <w:b/>
                <w:iCs/>
                <w:noProof/>
                <w:sz w:val="16"/>
                <w:szCs w:val="16"/>
              </w:rPr>
            </w:pPr>
            <w:r w:rsidRPr="007768FA">
              <w:rPr>
                <w:b/>
                <w:iCs/>
                <w:noProof/>
                <w:sz w:val="16"/>
                <w:szCs w:val="16"/>
              </w:rPr>
              <w:t>Кількість переглянутих рішень (постанов)</w:t>
            </w:r>
          </w:p>
        </w:tc>
        <w:tc>
          <w:tcPr>
            <w:tcW w:w="1254" w:type="dxa"/>
            <w:gridSpan w:val="2"/>
            <w:tcBorders>
              <w:top w:val="single" w:sz="4" w:space="0" w:color="auto"/>
              <w:left w:val="single" w:sz="4" w:space="0" w:color="auto"/>
              <w:bottom w:val="single" w:sz="4" w:space="0" w:color="auto"/>
              <w:right w:val="single" w:sz="4" w:space="0" w:color="auto"/>
            </w:tcBorders>
          </w:tcPr>
          <w:p w:rsidR="00E84CE5" w:rsidRPr="007768FA" w:rsidRDefault="00E84CE5" w:rsidP="00CF7557">
            <w:pPr>
              <w:tabs>
                <w:tab w:val="left" w:pos="0"/>
              </w:tabs>
              <w:spacing w:after="240"/>
              <w:contextualSpacing/>
              <w:jc w:val="center"/>
              <w:rPr>
                <w:b/>
                <w:iCs/>
                <w:noProof/>
                <w:sz w:val="16"/>
                <w:szCs w:val="16"/>
              </w:rPr>
            </w:pPr>
          </w:p>
          <w:p w:rsidR="00E84CE5" w:rsidRPr="007768FA" w:rsidRDefault="00E84CE5" w:rsidP="00E84CE5">
            <w:pPr>
              <w:tabs>
                <w:tab w:val="left" w:pos="0"/>
              </w:tabs>
              <w:spacing w:after="240"/>
              <w:contextualSpacing/>
              <w:jc w:val="center"/>
              <w:rPr>
                <w:b/>
                <w:iCs/>
                <w:noProof/>
                <w:sz w:val="16"/>
                <w:szCs w:val="16"/>
              </w:rPr>
            </w:pPr>
            <w:r w:rsidRPr="007768FA">
              <w:rPr>
                <w:b/>
                <w:iCs/>
                <w:noProof/>
                <w:sz w:val="16"/>
                <w:szCs w:val="16"/>
              </w:rPr>
              <w:t>Кількість рішень (постанов), залишених без змін</w:t>
            </w:r>
          </w:p>
        </w:tc>
        <w:tc>
          <w:tcPr>
            <w:tcW w:w="1133" w:type="dxa"/>
            <w:gridSpan w:val="2"/>
            <w:tcBorders>
              <w:top w:val="single" w:sz="4" w:space="0" w:color="auto"/>
              <w:left w:val="single" w:sz="4" w:space="0" w:color="auto"/>
              <w:bottom w:val="single" w:sz="4" w:space="0" w:color="auto"/>
              <w:right w:val="single" w:sz="4" w:space="0" w:color="auto"/>
            </w:tcBorders>
          </w:tcPr>
          <w:p w:rsidR="00E84CE5" w:rsidRPr="007768FA" w:rsidRDefault="00E84CE5" w:rsidP="00CF7557">
            <w:pPr>
              <w:tabs>
                <w:tab w:val="left" w:pos="0"/>
              </w:tabs>
              <w:spacing w:after="240"/>
              <w:contextualSpacing/>
              <w:jc w:val="center"/>
              <w:rPr>
                <w:b/>
                <w:iCs/>
                <w:noProof/>
                <w:sz w:val="16"/>
                <w:szCs w:val="16"/>
              </w:rPr>
            </w:pPr>
          </w:p>
          <w:p w:rsidR="00E84CE5" w:rsidRPr="007768FA" w:rsidRDefault="00E84CE5" w:rsidP="00CF7557">
            <w:pPr>
              <w:tabs>
                <w:tab w:val="left" w:pos="0"/>
              </w:tabs>
              <w:spacing w:after="240"/>
              <w:contextualSpacing/>
              <w:jc w:val="center"/>
              <w:rPr>
                <w:b/>
                <w:iCs/>
                <w:noProof/>
                <w:sz w:val="16"/>
                <w:szCs w:val="16"/>
              </w:rPr>
            </w:pPr>
            <w:r w:rsidRPr="007768FA">
              <w:rPr>
                <w:b/>
                <w:iCs/>
                <w:noProof/>
                <w:sz w:val="16"/>
                <w:szCs w:val="16"/>
              </w:rPr>
              <w:t>Кількість рішень (постанов), які змінено</w:t>
            </w:r>
          </w:p>
        </w:tc>
        <w:tc>
          <w:tcPr>
            <w:tcW w:w="1133" w:type="dxa"/>
            <w:gridSpan w:val="2"/>
            <w:tcBorders>
              <w:top w:val="single" w:sz="4" w:space="0" w:color="auto"/>
              <w:left w:val="single" w:sz="4" w:space="0" w:color="auto"/>
              <w:bottom w:val="single" w:sz="4" w:space="0" w:color="auto"/>
              <w:right w:val="single" w:sz="4" w:space="0" w:color="auto"/>
            </w:tcBorders>
          </w:tcPr>
          <w:p w:rsidR="00E84CE5" w:rsidRPr="007768FA" w:rsidRDefault="00E84CE5" w:rsidP="00CF7557">
            <w:pPr>
              <w:tabs>
                <w:tab w:val="left" w:pos="0"/>
              </w:tabs>
              <w:spacing w:after="240"/>
              <w:contextualSpacing/>
              <w:jc w:val="center"/>
              <w:rPr>
                <w:b/>
                <w:iCs/>
                <w:noProof/>
                <w:sz w:val="16"/>
                <w:szCs w:val="16"/>
              </w:rPr>
            </w:pPr>
          </w:p>
          <w:p w:rsidR="00E84CE5" w:rsidRPr="007768FA" w:rsidRDefault="00E84CE5" w:rsidP="00E84CE5">
            <w:pPr>
              <w:tabs>
                <w:tab w:val="left" w:pos="0"/>
              </w:tabs>
              <w:spacing w:after="240"/>
              <w:contextualSpacing/>
              <w:jc w:val="center"/>
              <w:rPr>
                <w:b/>
                <w:iCs/>
                <w:noProof/>
                <w:sz w:val="16"/>
                <w:szCs w:val="16"/>
              </w:rPr>
            </w:pPr>
            <w:r w:rsidRPr="007768FA">
              <w:rPr>
                <w:b/>
                <w:iCs/>
                <w:noProof/>
                <w:sz w:val="16"/>
                <w:szCs w:val="16"/>
              </w:rPr>
              <w:t>Кількість рішень (постанов), які скасовано</w:t>
            </w:r>
          </w:p>
        </w:tc>
        <w:tc>
          <w:tcPr>
            <w:tcW w:w="2409" w:type="dxa"/>
            <w:gridSpan w:val="3"/>
            <w:tcBorders>
              <w:top w:val="single" w:sz="4" w:space="0" w:color="auto"/>
              <w:left w:val="single" w:sz="4" w:space="0" w:color="auto"/>
              <w:bottom w:val="single" w:sz="4" w:space="0" w:color="auto"/>
              <w:right w:val="single" w:sz="4" w:space="0" w:color="auto"/>
            </w:tcBorders>
          </w:tcPr>
          <w:p w:rsidR="00E84CE5" w:rsidRPr="007768FA" w:rsidRDefault="00E84CE5" w:rsidP="00CF7557">
            <w:pPr>
              <w:tabs>
                <w:tab w:val="left" w:pos="0"/>
              </w:tabs>
              <w:spacing w:after="240"/>
              <w:contextualSpacing/>
              <w:jc w:val="center"/>
              <w:rPr>
                <w:b/>
                <w:iCs/>
                <w:noProof/>
                <w:sz w:val="16"/>
                <w:szCs w:val="16"/>
              </w:rPr>
            </w:pPr>
          </w:p>
          <w:p w:rsidR="00E84CE5" w:rsidRPr="007768FA" w:rsidRDefault="00E84CE5" w:rsidP="00CF7557">
            <w:pPr>
              <w:tabs>
                <w:tab w:val="left" w:pos="0"/>
              </w:tabs>
              <w:spacing w:after="240"/>
              <w:contextualSpacing/>
              <w:jc w:val="center"/>
              <w:rPr>
                <w:b/>
                <w:iCs/>
                <w:noProof/>
                <w:sz w:val="16"/>
                <w:szCs w:val="16"/>
              </w:rPr>
            </w:pPr>
            <w:r w:rsidRPr="007768FA">
              <w:rPr>
                <w:b/>
                <w:iCs/>
                <w:noProof/>
                <w:sz w:val="16"/>
                <w:szCs w:val="16"/>
              </w:rPr>
              <w:t xml:space="preserve">Частина судових рішень (постанов), які скасовано чи змінено в апеляційному порядку, у загальній кількості переглянутих </w:t>
            </w:r>
          </w:p>
        </w:tc>
      </w:tr>
      <w:tr w:rsidR="00CC2B7A" w:rsidRPr="007768FA" w:rsidTr="00735FAF">
        <w:trPr>
          <w:trHeight w:val="516"/>
        </w:trPr>
        <w:tc>
          <w:tcPr>
            <w:tcW w:w="1969" w:type="dxa"/>
            <w:vMerge w:val="restart"/>
            <w:tcBorders>
              <w:top w:val="single" w:sz="4" w:space="0" w:color="auto"/>
              <w:left w:val="single" w:sz="4" w:space="0" w:color="auto"/>
              <w:bottom w:val="single" w:sz="4" w:space="0" w:color="auto"/>
              <w:right w:val="single" w:sz="4" w:space="0" w:color="auto"/>
            </w:tcBorders>
          </w:tcPr>
          <w:p w:rsidR="00CC2B7A" w:rsidRPr="007768FA" w:rsidRDefault="00CC2B7A" w:rsidP="00CC2B7A">
            <w:pPr>
              <w:tabs>
                <w:tab w:val="left" w:pos="0"/>
              </w:tabs>
              <w:contextualSpacing/>
              <w:rPr>
                <w:b/>
                <w:iCs/>
                <w:noProof/>
                <w:sz w:val="16"/>
                <w:szCs w:val="16"/>
              </w:rPr>
            </w:pPr>
            <w:r w:rsidRPr="007768FA">
              <w:rPr>
                <w:b/>
                <w:iCs/>
                <w:noProof/>
                <w:sz w:val="16"/>
                <w:szCs w:val="16"/>
              </w:rPr>
              <w:t>УСЬОГО</w:t>
            </w:r>
          </w:p>
        </w:tc>
        <w:tc>
          <w:tcPr>
            <w:tcW w:w="723" w:type="dxa"/>
            <w:tcBorders>
              <w:top w:val="single" w:sz="4" w:space="0" w:color="auto"/>
              <w:left w:val="single" w:sz="4" w:space="0" w:color="auto"/>
              <w:bottom w:val="single" w:sz="4" w:space="0" w:color="auto"/>
              <w:right w:val="single" w:sz="4" w:space="0" w:color="auto"/>
            </w:tcBorders>
          </w:tcPr>
          <w:p w:rsidR="00CC2B7A" w:rsidRPr="00DE4B75" w:rsidRDefault="00CC2B7A" w:rsidP="00CC2B7A">
            <w:pPr>
              <w:tabs>
                <w:tab w:val="left" w:pos="0"/>
              </w:tabs>
              <w:contextualSpacing/>
              <w:jc w:val="center"/>
              <w:rPr>
                <w:b/>
                <w:iCs/>
                <w:noProof/>
                <w:sz w:val="16"/>
                <w:szCs w:val="16"/>
              </w:rPr>
            </w:pPr>
            <w:r w:rsidRPr="00DE4B75">
              <w:rPr>
                <w:b/>
                <w:iCs/>
                <w:noProof/>
                <w:sz w:val="16"/>
                <w:szCs w:val="16"/>
              </w:rPr>
              <w:t>2024</w:t>
            </w:r>
          </w:p>
        </w:tc>
        <w:tc>
          <w:tcPr>
            <w:tcW w:w="729" w:type="dxa"/>
            <w:tcBorders>
              <w:top w:val="single" w:sz="4" w:space="0" w:color="auto"/>
              <w:left w:val="single" w:sz="4" w:space="0" w:color="auto"/>
              <w:bottom w:val="single" w:sz="4" w:space="0" w:color="auto"/>
              <w:right w:val="single" w:sz="4" w:space="0" w:color="auto"/>
            </w:tcBorders>
          </w:tcPr>
          <w:p w:rsidR="00CC2B7A" w:rsidRPr="00DE4B75" w:rsidRDefault="00CC2B7A" w:rsidP="00CC2B7A">
            <w:pPr>
              <w:tabs>
                <w:tab w:val="left" w:pos="0"/>
              </w:tabs>
              <w:contextualSpacing/>
              <w:jc w:val="center"/>
              <w:rPr>
                <w:b/>
                <w:iCs/>
                <w:noProof/>
                <w:sz w:val="16"/>
                <w:szCs w:val="16"/>
              </w:rPr>
            </w:pPr>
            <w:r w:rsidRPr="00DE4B75">
              <w:rPr>
                <w:b/>
                <w:iCs/>
                <w:noProof/>
                <w:sz w:val="16"/>
                <w:szCs w:val="16"/>
              </w:rPr>
              <w:t>2025</w:t>
            </w:r>
          </w:p>
        </w:tc>
        <w:tc>
          <w:tcPr>
            <w:tcW w:w="545" w:type="dxa"/>
            <w:tcBorders>
              <w:top w:val="single" w:sz="4" w:space="0" w:color="auto"/>
              <w:left w:val="single" w:sz="4" w:space="0" w:color="auto"/>
              <w:bottom w:val="single" w:sz="4" w:space="0" w:color="auto"/>
              <w:right w:val="single" w:sz="4" w:space="0" w:color="auto"/>
            </w:tcBorders>
          </w:tcPr>
          <w:p w:rsidR="00CC2B7A" w:rsidRPr="00DE4B75" w:rsidRDefault="00CC2B7A" w:rsidP="00CC2B7A">
            <w:pPr>
              <w:tabs>
                <w:tab w:val="left" w:pos="0"/>
              </w:tabs>
              <w:contextualSpacing/>
              <w:jc w:val="center"/>
              <w:rPr>
                <w:b/>
                <w:iCs/>
                <w:noProof/>
                <w:sz w:val="16"/>
                <w:szCs w:val="16"/>
              </w:rPr>
            </w:pPr>
            <w:r w:rsidRPr="00DE4B75">
              <w:rPr>
                <w:b/>
                <w:iCs/>
                <w:noProof/>
                <w:sz w:val="16"/>
                <w:szCs w:val="16"/>
              </w:rPr>
              <w:t>2024</w:t>
            </w:r>
          </w:p>
        </w:tc>
        <w:tc>
          <w:tcPr>
            <w:tcW w:w="708" w:type="dxa"/>
            <w:tcBorders>
              <w:top w:val="single" w:sz="4" w:space="0" w:color="auto"/>
              <w:left w:val="single" w:sz="4" w:space="0" w:color="auto"/>
              <w:bottom w:val="single" w:sz="4" w:space="0" w:color="auto"/>
              <w:right w:val="single" w:sz="4" w:space="0" w:color="auto"/>
            </w:tcBorders>
          </w:tcPr>
          <w:p w:rsidR="00CC2B7A" w:rsidRPr="00DE4B75" w:rsidRDefault="00CC2B7A" w:rsidP="00CC2B7A">
            <w:pPr>
              <w:tabs>
                <w:tab w:val="left" w:pos="0"/>
              </w:tabs>
              <w:contextualSpacing/>
              <w:jc w:val="center"/>
              <w:rPr>
                <w:b/>
                <w:iCs/>
                <w:noProof/>
                <w:sz w:val="16"/>
                <w:szCs w:val="16"/>
              </w:rPr>
            </w:pPr>
            <w:r w:rsidRPr="00DE4B75">
              <w:rPr>
                <w:b/>
                <w:iCs/>
                <w:noProof/>
                <w:sz w:val="16"/>
                <w:szCs w:val="16"/>
              </w:rPr>
              <w:t>2025</w:t>
            </w:r>
          </w:p>
        </w:tc>
        <w:tc>
          <w:tcPr>
            <w:tcW w:w="566" w:type="dxa"/>
            <w:tcBorders>
              <w:top w:val="single" w:sz="4" w:space="0" w:color="auto"/>
              <w:left w:val="single" w:sz="4" w:space="0" w:color="auto"/>
              <w:bottom w:val="single" w:sz="4" w:space="0" w:color="auto"/>
              <w:right w:val="single" w:sz="4" w:space="0" w:color="auto"/>
            </w:tcBorders>
          </w:tcPr>
          <w:p w:rsidR="00CC2B7A" w:rsidRPr="00DE4B75" w:rsidRDefault="00CC2B7A" w:rsidP="00CC2B7A">
            <w:pPr>
              <w:tabs>
                <w:tab w:val="left" w:pos="0"/>
              </w:tabs>
              <w:contextualSpacing/>
              <w:jc w:val="center"/>
              <w:rPr>
                <w:b/>
                <w:iCs/>
                <w:noProof/>
                <w:sz w:val="16"/>
                <w:szCs w:val="16"/>
              </w:rPr>
            </w:pPr>
            <w:r w:rsidRPr="00DE4B75">
              <w:rPr>
                <w:b/>
                <w:iCs/>
                <w:noProof/>
                <w:sz w:val="16"/>
                <w:szCs w:val="16"/>
              </w:rPr>
              <w:t>2024</w:t>
            </w:r>
          </w:p>
        </w:tc>
        <w:tc>
          <w:tcPr>
            <w:tcW w:w="566" w:type="dxa"/>
            <w:tcBorders>
              <w:top w:val="single" w:sz="4" w:space="0" w:color="auto"/>
              <w:left w:val="single" w:sz="4" w:space="0" w:color="auto"/>
              <w:bottom w:val="single" w:sz="4" w:space="0" w:color="auto"/>
              <w:right w:val="single" w:sz="4" w:space="0" w:color="auto"/>
            </w:tcBorders>
          </w:tcPr>
          <w:p w:rsidR="00CC2B7A" w:rsidRPr="00DE4B75" w:rsidRDefault="00CC2B7A" w:rsidP="00CC2B7A">
            <w:pPr>
              <w:tabs>
                <w:tab w:val="left" w:pos="0"/>
              </w:tabs>
              <w:contextualSpacing/>
              <w:jc w:val="center"/>
              <w:rPr>
                <w:b/>
                <w:iCs/>
                <w:noProof/>
                <w:sz w:val="16"/>
                <w:szCs w:val="16"/>
              </w:rPr>
            </w:pPr>
            <w:r w:rsidRPr="00DE4B75">
              <w:rPr>
                <w:b/>
                <w:iCs/>
                <w:noProof/>
                <w:sz w:val="16"/>
                <w:szCs w:val="16"/>
              </w:rPr>
              <w:t>2025</w:t>
            </w:r>
          </w:p>
        </w:tc>
        <w:tc>
          <w:tcPr>
            <w:tcW w:w="566" w:type="dxa"/>
            <w:tcBorders>
              <w:top w:val="single" w:sz="4" w:space="0" w:color="auto"/>
              <w:left w:val="single" w:sz="4" w:space="0" w:color="auto"/>
              <w:bottom w:val="single" w:sz="4" w:space="0" w:color="auto"/>
              <w:right w:val="single" w:sz="4" w:space="0" w:color="auto"/>
            </w:tcBorders>
          </w:tcPr>
          <w:p w:rsidR="00CC2B7A" w:rsidRPr="00DE4B75" w:rsidRDefault="00CC2B7A" w:rsidP="00CC2B7A">
            <w:pPr>
              <w:tabs>
                <w:tab w:val="left" w:pos="0"/>
              </w:tabs>
              <w:contextualSpacing/>
              <w:jc w:val="center"/>
              <w:rPr>
                <w:b/>
                <w:iCs/>
                <w:noProof/>
                <w:sz w:val="16"/>
                <w:szCs w:val="16"/>
              </w:rPr>
            </w:pPr>
            <w:r w:rsidRPr="00DE4B75">
              <w:rPr>
                <w:b/>
                <w:iCs/>
                <w:noProof/>
                <w:sz w:val="16"/>
                <w:szCs w:val="16"/>
              </w:rPr>
              <w:t>2024</w:t>
            </w:r>
          </w:p>
        </w:tc>
        <w:tc>
          <w:tcPr>
            <w:tcW w:w="566" w:type="dxa"/>
            <w:tcBorders>
              <w:top w:val="single" w:sz="4" w:space="0" w:color="auto"/>
              <w:left w:val="single" w:sz="4" w:space="0" w:color="auto"/>
              <w:bottom w:val="single" w:sz="4" w:space="0" w:color="auto"/>
              <w:right w:val="single" w:sz="4" w:space="0" w:color="auto"/>
            </w:tcBorders>
          </w:tcPr>
          <w:p w:rsidR="00CC2B7A" w:rsidRPr="00DE4B75" w:rsidRDefault="00CC2B7A" w:rsidP="00CC2B7A">
            <w:pPr>
              <w:tabs>
                <w:tab w:val="left" w:pos="0"/>
              </w:tabs>
              <w:contextualSpacing/>
              <w:jc w:val="center"/>
              <w:rPr>
                <w:b/>
                <w:iCs/>
                <w:noProof/>
                <w:sz w:val="16"/>
                <w:szCs w:val="16"/>
              </w:rPr>
            </w:pPr>
            <w:r w:rsidRPr="00DE4B75">
              <w:rPr>
                <w:b/>
                <w:iCs/>
                <w:noProof/>
                <w:sz w:val="16"/>
                <w:szCs w:val="16"/>
              </w:rPr>
              <w:t>2025</w:t>
            </w:r>
          </w:p>
        </w:tc>
        <w:tc>
          <w:tcPr>
            <w:tcW w:w="850" w:type="dxa"/>
            <w:vMerge w:val="restart"/>
            <w:tcBorders>
              <w:top w:val="single" w:sz="4" w:space="0" w:color="auto"/>
              <w:left w:val="single" w:sz="4" w:space="0" w:color="auto"/>
              <w:right w:val="single" w:sz="4" w:space="0" w:color="auto"/>
            </w:tcBorders>
            <w:textDirection w:val="btLr"/>
          </w:tcPr>
          <w:p w:rsidR="00CC2B7A" w:rsidRPr="00DE4B75" w:rsidRDefault="00CC2B7A" w:rsidP="00CC2B7A">
            <w:pPr>
              <w:tabs>
                <w:tab w:val="left" w:pos="0"/>
              </w:tabs>
              <w:ind w:left="113" w:right="113"/>
              <w:contextualSpacing/>
              <w:jc w:val="center"/>
              <w:rPr>
                <w:b/>
                <w:iCs/>
                <w:noProof/>
                <w:sz w:val="16"/>
                <w:szCs w:val="16"/>
              </w:rPr>
            </w:pPr>
            <w:r>
              <w:rPr>
                <w:b/>
                <w:iCs/>
                <w:noProof/>
                <w:sz w:val="16"/>
                <w:szCs w:val="16"/>
              </w:rPr>
              <w:t>без змін</w:t>
            </w:r>
          </w:p>
        </w:tc>
        <w:tc>
          <w:tcPr>
            <w:tcW w:w="849" w:type="dxa"/>
            <w:vMerge w:val="restart"/>
            <w:tcBorders>
              <w:top w:val="single" w:sz="4" w:space="0" w:color="auto"/>
              <w:left w:val="single" w:sz="4" w:space="0" w:color="auto"/>
              <w:right w:val="single" w:sz="4" w:space="0" w:color="auto"/>
            </w:tcBorders>
            <w:textDirection w:val="btLr"/>
          </w:tcPr>
          <w:p w:rsidR="00CC2B7A" w:rsidRPr="00DE4B75" w:rsidRDefault="00CC2B7A" w:rsidP="00CC2B7A">
            <w:pPr>
              <w:tabs>
                <w:tab w:val="left" w:pos="0"/>
              </w:tabs>
              <w:ind w:left="113" w:right="113"/>
              <w:contextualSpacing/>
              <w:jc w:val="center"/>
              <w:rPr>
                <w:b/>
                <w:iCs/>
                <w:noProof/>
                <w:sz w:val="16"/>
                <w:szCs w:val="16"/>
              </w:rPr>
            </w:pPr>
            <w:r>
              <w:rPr>
                <w:b/>
                <w:iCs/>
                <w:noProof/>
                <w:sz w:val="16"/>
                <w:szCs w:val="16"/>
              </w:rPr>
              <w:t>змінено</w:t>
            </w:r>
          </w:p>
        </w:tc>
        <w:tc>
          <w:tcPr>
            <w:tcW w:w="710" w:type="dxa"/>
            <w:vMerge w:val="restart"/>
            <w:tcBorders>
              <w:top w:val="single" w:sz="4" w:space="0" w:color="auto"/>
              <w:left w:val="single" w:sz="4" w:space="0" w:color="auto"/>
              <w:right w:val="single" w:sz="4" w:space="0" w:color="auto"/>
            </w:tcBorders>
            <w:textDirection w:val="btLr"/>
          </w:tcPr>
          <w:p w:rsidR="00CC2B7A" w:rsidRPr="00DE4B75" w:rsidRDefault="00CC2B7A" w:rsidP="00CC2B7A">
            <w:pPr>
              <w:tabs>
                <w:tab w:val="left" w:pos="0"/>
              </w:tabs>
              <w:ind w:left="113" w:right="113"/>
              <w:contextualSpacing/>
              <w:jc w:val="center"/>
              <w:rPr>
                <w:b/>
                <w:iCs/>
                <w:noProof/>
                <w:sz w:val="16"/>
                <w:szCs w:val="16"/>
              </w:rPr>
            </w:pPr>
            <w:r>
              <w:rPr>
                <w:b/>
                <w:iCs/>
                <w:noProof/>
                <w:sz w:val="16"/>
                <w:szCs w:val="16"/>
              </w:rPr>
              <w:t>скасовано</w:t>
            </w:r>
          </w:p>
        </w:tc>
      </w:tr>
      <w:tr w:rsidR="00CC2B7A" w:rsidRPr="007768FA" w:rsidTr="00735FAF">
        <w:trPr>
          <w:trHeight w:val="680"/>
        </w:trPr>
        <w:tc>
          <w:tcPr>
            <w:tcW w:w="1969" w:type="dxa"/>
            <w:vMerge/>
            <w:tcBorders>
              <w:top w:val="single" w:sz="4" w:space="0" w:color="auto"/>
              <w:left w:val="single" w:sz="4" w:space="0" w:color="auto"/>
              <w:bottom w:val="single" w:sz="4" w:space="0" w:color="auto"/>
              <w:right w:val="single" w:sz="4" w:space="0" w:color="auto"/>
            </w:tcBorders>
          </w:tcPr>
          <w:p w:rsidR="00CC2B7A" w:rsidRPr="007768FA" w:rsidRDefault="00CC2B7A" w:rsidP="004D7EF9">
            <w:pPr>
              <w:tabs>
                <w:tab w:val="left" w:pos="0"/>
              </w:tabs>
              <w:spacing w:after="240"/>
              <w:contextualSpacing/>
              <w:jc w:val="both"/>
              <w:rPr>
                <w:iCs/>
                <w:noProof/>
                <w:sz w:val="16"/>
                <w:szCs w:val="16"/>
              </w:rPr>
            </w:pPr>
          </w:p>
        </w:tc>
        <w:tc>
          <w:tcPr>
            <w:tcW w:w="723" w:type="dxa"/>
            <w:tcBorders>
              <w:top w:val="single" w:sz="4" w:space="0" w:color="auto"/>
              <w:left w:val="single" w:sz="4" w:space="0" w:color="auto"/>
              <w:bottom w:val="single" w:sz="4" w:space="0" w:color="auto"/>
              <w:right w:val="single" w:sz="4" w:space="0" w:color="auto"/>
            </w:tcBorders>
          </w:tcPr>
          <w:p w:rsidR="00CC2B7A" w:rsidRPr="00DE4B75" w:rsidRDefault="00CC2B7A" w:rsidP="004D7EF9">
            <w:pPr>
              <w:tabs>
                <w:tab w:val="left" w:pos="0"/>
              </w:tabs>
              <w:spacing w:after="240"/>
              <w:contextualSpacing/>
              <w:jc w:val="center"/>
              <w:rPr>
                <w:b/>
                <w:iCs/>
                <w:noProof/>
                <w:sz w:val="16"/>
                <w:szCs w:val="16"/>
              </w:rPr>
            </w:pPr>
            <w:r w:rsidRPr="00DE4B75">
              <w:rPr>
                <w:b/>
                <w:iCs/>
                <w:noProof/>
                <w:sz w:val="16"/>
                <w:szCs w:val="16"/>
              </w:rPr>
              <w:t>10 570</w:t>
            </w:r>
          </w:p>
        </w:tc>
        <w:tc>
          <w:tcPr>
            <w:tcW w:w="729" w:type="dxa"/>
            <w:tcBorders>
              <w:top w:val="single" w:sz="4" w:space="0" w:color="auto"/>
              <w:left w:val="single" w:sz="4" w:space="0" w:color="auto"/>
              <w:bottom w:val="single" w:sz="4" w:space="0" w:color="auto"/>
              <w:right w:val="single" w:sz="4" w:space="0" w:color="auto"/>
            </w:tcBorders>
          </w:tcPr>
          <w:p w:rsidR="00CC2B7A" w:rsidRPr="00DE4B75" w:rsidRDefault="00CC2B7A" w:rsidP="004D7EF9">
            <w:pPr>
              <w:tabs>
                <w:tab w:val="left" w:pos="0"/>
              </w:tabs>
              <w:spacing w:after="240"/>
              <w:contextualSpacing/>
              <w:jc w:val="center"/>
              <w:rPr>
                <w:b/>
                <w:iCs/>
                <w:noProof/>
                <w:sz w:val="16"/>
                <w:szCs w:val="16"/>
              </w:rPr>
            </w:pPr>
            <w:r w:rsidRPr="00DE4B75">
              <w:rPr>
                <w:b/>
                <w:iCs/>
                <w:noProof/>
                <w:sz w:val="16"/>
                <w:szCs w:val="16"/>
              </w:rPr>
              <w:t>19 491</w:t>
            </w:r>
          </w:p>
        </w:tc>
        <w:tc>
          <w:tcPr>
            <w:tcW w:w="545" w:type="dxa"/>
            <w:tcBorders>
              <w:top w:val="single" w:sz="4" w:space="0" w:color="auto"/>
              <w:left w:val="single" w:sz="4" w:space="0" w:color="auto"/>
              <w:bottom w:val="single" w:sz="4" w:space="0" w:color="auto"/>
              <w:right w:val="single" w:sz="4" w:space="0" w:color="auto"/>
            </w:tcBorders>
          </w:tcPr>
          <w:p w:rsidR="00CC2B7A" w:rsidRPr="00DE4B75" w:rsidRDefault="00CC2B7A" w:rsidP="004D7EF9">
            <w:pPr>
              <w:tabs>
                <w:tab w:val="left" w:pos="0"/>
              </w:tabs>
              <w:spacing w:after="240"/>
              <w:contextualSpacing/>
              <w:jc w:val="center"/>
              <w:rPr>
                <w:b/>
                <w:iCs/>
                <w:noProof/>
                <w:sz w:val="16"/>
                <w:szCs w:val="16"/>
              </w:rPr>
            </w:pPr>
            <w:r w:rsidRPr="00DE4B75">
              <w:rPr>
                <w:b/>
                <w:iCs/>
                <w:noProof/>
                <w:sz w:val="16"/>
                <w:szCs w:val="16"/>
              </w:rPr>
              <w:t>8164</w:t>
            </w:r>
          </w:p>
        </w:tc>
        <w:tc>
          <w:tcPr>
            <w:tcW w:w="708" w:type="dxa"/>
            <w:tcBorders>
              <w:top w:val="single" w:sz="4" w:space="0" w:color="auto"/>
              <w:left w:val="single" w:sz="4" w:space="0" w:color="auto"/>
              <w:bottom w:val="single" w:sz="4" w:space="0" w:color="auto"/>
              <w:right w:val="single" w:sz="4" w:space="0" w:color="auto"/>
            </w:tcBorders>
          </w:tcPr>
          <w:p w:rsidR="00CC2B7A" w:rsidRPr="00DE4B75" w:rsidRDefault="00CC2B7A" w:rsidP="004D7EF9">
            <w:pPr>
              <w:tabs>
                <w:tab w:val="left" w:pos="0"/>
              </w:tabs>
              <w:spacing w:after="240"/>
              <w:contextualSpacing/>
              <w:jc w:val="center"/>
              <w:rPr>
                <w:b/>
                <w:iCs/>
                <w:noProof/>
                <w:sz w:val="16"/>
                <w:szCs w:val="16"/>
              </w:rPr>
            </w:pPr>
            <w:r>
              <w:rPr>
                <w:b/>
                <w:iCs/>
                <w:noProof/>
                <w:sz w:val="16"/>
                <w:szCs w:val="16"/>
              </w:rPr>
              <w:t>16 365</w:t>
            </w:r>
          </w:p>
        </w:tc>
        <w:tc>
          <w:tcPr>
            <w:tcW w:w="566" w:type="dxa"/>
            <w:tcBorders>
              <w:top w:val="single" w:sz="4" w:space="0" w:color="auto"/>
              <w:left w:val="single" w:sz="4" w:space="0" w:color="auto"/>
              <w:bottom w:val="single" w:sz="4" w:space="0" w:color="auto"/>
              <w:right w:val="single" w:sz="4" w:space="0" w:color="auto"/>
            </w:tcBorders>
          </w:tcPr>
          <w:p w:rsidR="00CC2B7A" w:rsidRPr="00DE4B75" w:rsidRDefault="00CC2B7A" w:rsidP="004D7EF9">
            <w:pPr>
              <w:tabs>
                <w:tab w:val="left" w:pos="0"/>
              </w:tabs>
              <w:spacing w:after="240"/>
              <w:contextualSpacing/>
              <w:jc w:val="center"/>
              <w:rPr>
                <w:b/>
                <w:iCs/>
                <w:noProof/>
                <w:sz w:val="16"/>
                <w:szCs w:val="16"/>
              </w:rPr>
            </w:pPr>
            <w:r w:rsidRPr="00DE4B75">
              <w:rPr>
                <w:b/>
                <w:iCs/>
                <w:noProof/>
                <w:sz w:val="16"/>
                <w:szCs w:val="16"/>
              </w:rPr>
              <w:t>256</w:t>
            </w:r>
          </w:p>
        </w:tc>
        <w:tc>
          <w:tcPr>
            <w:tcW w:w="566" w:type="dxa"/>
            <w:tcBorders>
              <w:top w:val="single" w:sz="4" w:space="0" w:color="auto"/>
              <w:left w:val="single" w:sz="4" w:space="0" w:color="auto"/>
              <w:bottom w:val="single" w:sz="4" w:space="0" w:color="auto"/>
              <w:right w:val="single" w:sz="4" w:space="0" w:color="auto"/>
            </w:tcBorders>
          </w:tcPr>
          <w:p w:rsidR="00CC2B7A" w:rsidRPr="00DE4B75" w:rsidRDefault="00CC2B7A" w:rsidP="004D7EF9">
            <w:pPr>
              <w:tabs>
                <w:tab w:val="left" w:pos="0"/>
              </w:tabs>
              <w:spacing w:after="240"/>
              <w:contextualSpacing/>
              <w:jc w:val="center"/>
              <w:rPr>
                <w:b/>
                <w:iCs/>
                <w:noProof/>
                <w:sz w:val="16"/>
                <w:szCs w:val="16"/>
              </w:rPr>
            </w:pPr>
            <w:r>
              <w:rPr>
                <w:b/>
                <w:iCs/>
                <w:noProof/>
                <w:sz w:val="16"/>
                <w:szCs w:val="16"/>
              </w:rPr>
              <w:t>440</w:t>
            </w:r>
          </w:p>
        </w:tc>
        <w:tc>
          <w:tcPr>
            <w:tcW w:w="566" w:type="dxa"/>
            <w:tcBorders>
              <w:top w:val="single" w:sz="4" w:space="0" w:color="auto"/>
              <w:left w:val="single" w:sz="4" w:space="0" w:color="auto"/>
              <w:bottom w:val="single" w:sz="4" w:space="0" w:color="auto"/>
              <w:right w:val="single" w:sz="4" w:space="0" w:color="auto"/>
            </w:tcBorders>
          </w:tcPr>
          <w:p w:rsidR="00CC2B7A" w:rsidRPr="00DE4B75" w:rsidRDefault="00CC2B7A" w:rsidP="004D7EF9">
            <w:pPr>
              <w:tabs>
                <w:tab w:val="left" w:pos="0"/>
              </w:tabs>
              <w:spacing w:after="240"/>
              <w:contextualSpacing/>
              <w:jc w:val="center"/>
              <w:rPr>
                <w:b/>
                <w:iCs/>
                <w:noProof/>
                <w:sz w:val="16"/>
                <w:szCs w:val="16"/>
              </w:rPr>
            </w:pPr>
            <w:r w:rsidRPr="00DE4B75">
              <w:rPr>
                <w:b/>
                <w:iCs/>
                <w:noProof/>
                <w:sz w:val="16"/>
                <w:szCs w:val="16"/>
              </w:rPr>
              <w:t>2145</w:t>
            </w:r>
          </w:p>
        </w:tc>
        <w:tc>
          <w:tcPr>
            <w:tcW w:w="566" w:type="dxa"/>
            <w:tcBorders>
              <w:top w:val="single" w:sz="4" w:space="0" w:color="auto"/>
              <w:left w:val="single" w:sz="4" w:space="0" w:color="auto"/>
              <w:bottom w:val="single" w:sz="4" w:space="0" w:color="auto"/>
              <w:right w:val="single" w:sz="4" w:space="0" w:color="auto"/>
            </w:tcBorders>
          </w:tcPr>
          <w:p w:rsidR="00CC2B7A" w:rsidRPr="00DE4B75" w:rsidRDefault="00CC2B7A" w:rsidP="004D7EF9">
            <w:pPr>
              <w:tabs>
                <w:tab w:val="left" w:pos="0"/>
              </w:tabs>
              <w:spacing w:after="240"/>
              <w:contextualSpacing/>
              <w:jc w:val="center"/>
              <w:rPr>
                <w:b/>
                <w:iCs/>
                <w:noProof/>
                <w:sz w:val="16"/>
                <w:szCs w:val="16"/>
              </w:rPr>
            </w:pPr>
            <w:r>
              <w:rPr>
                <w:b/>
                <w:iCs/>
                <w:noProof/>
                <w:sz w:val="16"/>
                <w:szCs w:val="16"/>
              </w:rPr>
              <w:t>2668</w:t>
            </w:r>
          </w:p>
        </w:tc>
        <w:tc>
          <w:tcPr>
            <w:tcW w:w="850" w:type="dxa"/>
            <w:vMerge/>
            <w:tcBorders>
              <w:left w:val="single" w:sz="4" w:space="0" w:color="auto"/>
              <w:bottom w:val="single" w:sz="4" w:space="0" w:color="auto"/>
              <w:right w:val="single" w:sz="4" w:space="0" w:color="auto"/>
            </w:tcBorders>
          </w:tcPr>
          <w:p w:rsidR="00CC2B7A" w:rsidRPr="004D7EF9" w:rsidRDefault="00CC2B7A" w:rsidP="004D7EF9">
            <w:pPr>
              <w:tabs>
                <w:tab w:val="left" w:pos="0"/>
              </w:tabs>
              <w:spacing w:after="240"/>
              <w:contextualSpacing/>
              <w:jc w:val="center"/>
              <w:rPr>
                <w:b/>
                <w:iCs/>
                <w:noProof/>
                <w:sz w:val="16"/>
                <w:szCs w:val="16"/>
              </w:rPr>
            </w:pPr>
          </w:p>
        </w:tc>
        <w:tc>
          <w:tcPr>
            <w:tcW w:w="849" w:type="dxa"/>
            <w:vMerge/>
            <w:tcBorders>
              <w:left w:val="single" w:sz="4" w:space="0" w:color="auto"/>
              <w:bottom w:val="single" w:sz="4" w:space="0" w:color="auto"/>
              <w:right w:val="single" w:sz="4" w:space="0" w:color="auto"/>
            </w:tcBorders>
          </w:tcPr>
          <w:p w:rsidR="00CC2B7A" w:rsidRPr="004D7EF9" w:rsidRDefault="00CC2B7A" w:rsidP="004D7EF9">
            <w:pPr>
              <w:tabs>
                <w:tab w:val="left" w:pos="0"/>
              </w:tabs>
              <w:spacing w:after="240"/>
              <w:contextualSpacing/>
              <w:jc w:val="center"/>
              <w:rPr>
                <w:b/>
                <w:iCs/>
                <w:noProof/>
                <w:sz w:val="16"/>
                <w:szCs w:val="16"/>
              </w:rPr>
            </w:pPr>
          </w:p>
        </w:tc>
        <w:tc>
          <w:tcPr>
            <w:tcW w:w="710" w:type="dxa"/>
            <w:vMerge/>
            <w:tcBorders>
              <w:left w:val="single" w:sz="4" w:space="0" w:color="auto"/>
              <w:bottom w:val="single" w:sz="4" w:space="0" w:color="auto"/>
              <w:right w:val="single" w:sz="4" w:space="0" w:color="auto"/>
            </w:tcBorders>
          </w:tcPr>
          <w:p w:rsidR="00CC2B7A" w:rsidRPr="004D7EF9" w:rsidRDefault="00CC2B7A" w:rsidP="004D7EF9">
            <w:pPr>
              <w:tabs>
                <w:tab w:val="left" w:pos="0"/>
              </w:tabs>
              <w:spacing w:after="240"/>
              <w:contextualSpacing/>
              <w:jc w:val="center"/>
              <w:rPr>
                <w:b/>
                <w:iCs/>
                <w:noProof/>
                <w:sz w:val="16"/>
                <w:szCs w:val="16"/>
              </w:rPr>
            </w:pPr>
          </w:p>
        </w:tc>
      </w:tr>
      <w:tr w:rsidR="004D7EF9" w:rsidRPr="007768FA" w:rsidTr="00735FAF">
        <w:trPr>
          <w:trHeight w:val="611"/>
        </w:trPr>
        <w:tc>
          <w:tcPr>
            <w:tcW w:w="1969" w:type="dxa"/>
            <w:tcBorders>
              <w:top w:val="single" w:sz="4" w:space="0" w:color="auto"/>
              <w:left w:val="single" w:sz="4" w:space="0" w:color="auto"/>
              <w:bottom w:val="single" w:sz="4" w:space="0" w:color="auto"/>
              <w:right w:val="single" w:sz="4" w:space="0" w:color="auto"/>
            </w:tcBorders>
          </w:tcPr>
          <w:p w:rsidR="004D7EF9" w:rsidRPr="007768FA" w:rsidRDefault="004D7EF9" w:rsidP="004D7EF9">
            <w:pPr>
              <w:tabs>
                <w:tab w:val="left" w:pos="0"/>
              </w:tabs>
              <w:contextualSpacing/>
              <w:rPr>
                <w:iCs/>
                <w:noProof/>
                <w:sz w:val="12"/>
                <w:szCs w:val="12"/>
              </w:rPr>
            </w:pPr>
            <w:r w:rsidRPr="007768FA">
              <w:rPr>
                <w:iCs/>
                <w:noProof/>
                <w:sz w:val="12"/>
                <w:szCs w:val="12"/>
              </w:rPr>
              <w:t>справи щодо захисту політичних (крім виборчих) та громадянських прав</w:t>
            </w:r>
          </w:p>
        </w:tc>
        <w:tc>
          <w:tcPr>
            <w:tcW w:w="723" w:type="dxa"/>
            <w:tcBorders>
              <w:top w:val="single" w:sz="4" w:space="0" w:color="auto"/>
              <w:left w:val="single" w:sz="4" w:space="0" w:color="auto"/>
              <w:bottom w:val="single" w:sz="4" w:space="0" w:color="auto"/>
              <w:right w:val="single" w:sz="4" w:space="0" w:color="auto"/>
            </w:tcBorders>
          </w:tcPr>
          <w:p w:rsidR="004D7EF9" w:rsidRPr="007768FA" w:rsidRDefault="004D7EF9" w:rsidP="004D7EF9">
            <w:pPr>
              <w:tabs>
                <w:tab w:val="left" w:pos="0"/>
              </w:tabs>
              <w:contextualSpacing/>
              <w:jc w:val="center"/>
              <w:rPr>
                <w:iCs/>
                <w:noProof/>
                <w:sz w:val="16"/>
                <w:szCs w:val="16"/>
              </w:rPr>
            </w:pPr>
            <w:r w:rsidRPr="007768FA">
              <w:rPr>
                <w:iCs/>
                <w:noProof/>
                <w:sz w:val="16"/>
                <w:szCs w:val="16"/>
              </w:rPr>
              <w:t>256</w:t>
            </w:r>
          </w:p>
        </w:tc>
        <w:tc>
          <w:tcPr>
            <w:tcW w:w="729" w:type="dxa"/>
            <w:tcBorders>
              <w:top w:val="single" w:sz="4" w:space="0" w:color="auto"/>
              <w:left w:val="single" w:sz="4" w:space="0" w:color="auto"/>
              <w:bottom w:val="single" w:sz="4" w:space="0" w:color="auto"/>
              <w:right w:val="single" w:sz="4" w:space="0" w:color="auto"/>
            </w:tcBorders>
          </w:tcPr>
          <w:p w:rsidR="004D7EF9" w:rsidRPr="007768FA" w:rsidRDefault="004D7EF9" w:rsidP="004D7EF9">
            <w:pPr>
              <w:tabs>
                <w:tab w:val="left" w:pos="0"/>
              </w:tabs>
              <w:contextualSpacing/>
              <w:jc w:val="center"/>
              <w:rPr>
                <w:iCs/>
                <w:noProof/>
                <w:sz w:val="16"/>
                <w:szCs w:val="16"/>
              </w:rPr>
            </w:pPr>
            <w:r>
              <w:rPr>
                <w:iCs/>
                <w:noProof/>
                <w:sz w:val="16"/>
                <w:szCs w:val="16"/>
              </w:rPr>
              <w:t>322</w:t>
            </w:r>
          </w:p>
        </w:tc>
        <w:tc>
          <w:tcPr>
            <w:tcW w:w="545" w:type="dxa"/>
            <w:tcBorders>
              <w:top w:val="single" w:sz="4" w:space="0" w:color="auto"/>
              <w:left w:val="single" w:sz="4" w:space="0" w:color="auto"/>
              <w:bottom w:val="single" w:sz="4" w:space="0" w:color="auto"/>
              <w:right w:val="single" w:sz="4" w:space="0" w:color="auto"/>
            </w:tcBorders>
          </w:tcPr>
          <w:p w:rsidR="004D7EF9" w:rsidRPr="00164579" w:rsidRDefault="004D7EF9" w:rsidP="004D7EF9">
            <w:pPr>
              <w:tabs>
                <w:tab w:val="left" w:pos="0"/>
              </w:tabs>
              <w:contextualSpacing/>
              <w:jc w:val="center"/>
              <w:rPr>
                <w:iCs/>
                <w:noProof/>
                <w:sz w:val="16"/>
                <w:szCs w:val="16"/>
              </w:rPr>
            </w:pPr>
            <w:r w:rsidRPr="00164579">
              <w:rPr>
                <w:iCs/>
                <w:noProof/>
                <w:sz w:val="16"/>
                <w:szCs w:val="16"/>
              </w:rPr>
              <w:t>187</w:t>
            </w:r>
          </w:p>
        </w:tc>
        <w:tc>
          <w:tcPr>
            <w:tcW w:w="708" w:type="dxa"/>
            <w:tcBorders>
              <w:top w:val="single" w:sz="4" w:space="0" w:color="auto"/>
              <w:left w:val="single" w:sz="4" w:space="0" w:color="auto"/>
              <w:bottom w:val="single" w:sz="4" w:space="0" w:color="auto"/>
              <w:right w:val="single" w:sz="4" w:space="0" w:color="auto"/>
            </w:tcBorders>
          </w:tcPr>
          <w:p w:rsidR="004D7EF9" w:rsidRPr="00164579" w:rsidRDefault="004D7EF9" w:rsidP="004D7EF9">
            <w:pPr>
              <w:tabs>
                <w:tab w:val="left" w:pos="0"/>
              </w:tabs>
              <w:contextualSpacing/>
              <w:jc w:val="center"/>
              <w:rPr>
                <w:iCs/>
                <w:noProof/>
                <w:sz w:val="16"/>
                <w:szCs w:val="16"/>
              </w:rPr>
            </w:pPr>
            <w:r w:rsidRPr="00164579">
              <w:rPr>
                <w:iCs/>
                <w:noProof/>
                <w:sz w:val="16"/>
                <w:szCs w:val="16"/>
              </w:rPr>
              <w:t>246</w:t>
            </w:r>
          </w:p>
        </w:tc>
        <w:tc>
          <w:tcPr>
            <w:tcW w:w="566" w:type="dxa"/>
            <w:tcBorders>
              <w:top w:val="single" w:sz="4" w:space="0" w:color="auto"/>
              <w:left w:val="single" w:sz="4" w:space="0" w:color="auto"/>
              <w:bottom w:val="single" w:sz="4" w:space="0" w:color="auto"/>
              <w:right w:val="single" w:sz="4" w:space="0" w:color="auto"/>
            </w:tcBorders>
          </w:tcPr>
          <w:p w:rsidR="004D7EF9" w:rsidRPr="0066038D" w:rsidRDefault="004D7EF9" w:rsidP="004D7EF9">
            <w:pPr>
              <w:tabs>
                <w:tab w:val="left" w:pos="0"/>
              </w:tabs>
              <w:contextualSpacing/>
              <w:jc w:val="center"/>
              <w:rPr>
                <w:iCs/>
                <w:noProof/>
                <w:sz w:val="16"/>
                <w:szCs w:val="16"/>
              </w:rPr>
            </w:pPr>
            <w:r w:rsidRPr="0066038D">
              <w:rPr>
                <w:iCs/>
                <w:noProof/>
                <w:sz w:val="16"/>
                <w:szCs w:val="16"/>
              </w:rPr>
              <w:t>3</w:t>
            </w:r>
          </w:p>
        </w:tc>
        <w:tc>
          <w:tcPr>
            <w:tcW w:w="566" w:type="dxa"/>
            <w:tcBorders>
              <w:top w:val="single" w:sz="4" w:space="0" w:color="auto"/>
              <w:left w:val="single" w:sz="4" w:space="0" w:color="auto"/>
              <w:bottom w:val="single" w:sz="4" w:space="0" w:color="auto"/>
              <w:right w:val="single" w:sz="4" w:space="0" w:color="auto"/>
            </w:tcBorders>
          </w:tcPr>
          <w:p w:rsidR="004D7EF9" w:rsidRPr="0066038D" w:rsidRDefault="004D7EF9" w:rsidP="004D7EF9">
            <w:pPr>
              <w:tabs>
                <w:tab w:val="left" w:pos="0"/>
              </w:tabs>
              <w:contextualSpacing/>
              <w:jc w:val="center"/>
              <w:rPr>
                <w:iCs/>
                <w:noProof/>
                <w:sz w:val="16"/>
                <w:szCs w:val="16"/>
              </w:rPr>
            </w:pPr>
            <w:r w:rsidRPr="0066038D">
              <w:rPr>
                <w:iCs/>
                <w:noProof/>
                <w:sz w:val="16"/>
                <w:szCs w:val="16"/>
              </w:rPr>
              <w:t>11</w:t>
            </w:r>
          </w:p>
        </w:tc>
        <w:tc>
          <w:tcPr>
            <w:tcW w:w="566" w:type="dxa"/>
            <w:tcBorders>
              <w:top w:val="single" w:sz="4" w:space="0" w:color="auto"/>
              <w:left w:val="single" w:sz="4" w:space="0" w:color="auto"/>
              <w:bottom w:val="single" w:sz="4" w:space="0" w:color="auto"/>
              <w:right w:val="single" w:sz="4" w:space="0" w:color="auto"/>
            </w:tcBorders>
          </w:tcPr>
          <w:p w:rsidR="004D7EF9" w:rsidRPr="00132D91" w:rsidRDefault="004D7EF9" w:rsidP="004D7EF9">
            <w:pPr>
              <w:tabs>
                <w:tab w:val="left" w:pos="0"/>
              </w:tabs>
              <w:contextualSpacing/>
              <w:jc w:val="center"/>
              <w:rPr>
                <w:iCs/>
                <w:noProof/>
                <w:sz w:val="16"/>
                <w:szCs w:val="16"/>
              </w:rPr>
            </w:pPr>
            <w:r w:rsidRPr="00132D91">
              <w:rPr>
                <w:iCs/>
                <w:noProof/>
                <w:sz w:val="16"/>
                <w:szCs w:val="16"/>
              </w:rPr>
              <w:t>66</w:t>
            </w:r>
          </w:p>
        </w:tc>
        <w:tc>
          <w:tcPr>
            <w:tcW w:w="566" w:type="dxa"/>
            <w:tcBorders>
              <w:top w:val="single" w:sz="4" w:space="0" w:color="auto"/>
              <w:left w:val="single" w:sz="4" w:space="0" w:color="auto"/>
              <w:bottom w:val="single" w:sz="4" w:space="0" w:color="auto"/>
              <w:right w:val="single" w:sz="4" w:space="0" w:color="auto"/>
            </w:tcBorders>
          </w:tcPr>
          <w:p w:rsidR="004D7EF9" w:rsidRPr="00132D91" w:rsidRDefault="004D7EF9" w:rsidP="004D7EF9">
            <w:pPr>
              <w:tabs>
                <w:tab w:val="left" w:pos="0"/>
              </w:tabs>
              <w:contextualSpacing/>
              <w:jc w:val="center"/>
              <w:rPr>
                <w:iCs/>
                <w:noProof/>
                <w:sz w:val="16"/>
                <w:szCs w:val="16"/>
              </w:rPr>
            </w:pPr>
            <w:r w:rsidRPr="00132D91">
              <w:rPr>
                <w:iCs/>
                <w:noProof/>
                <w:sz w:val="16"/>
                <w:szCs w:val="16"/>
              </w:rPr>
              <w:t>65</w:t>
            </w:r>
          </w:p>
        </w:tc>
        <w:tc>
          <w:tcPr>
            <w:tcW w:w="850" w:type="dxa"/>
            <w:tcBorders>
              <w:top w:val="single" w:sz="4" w:space="0" w:color="auto"/>
              <w:left w:val="single" w:sz="4" w:space="0" w:color="auto"/>
              <w:bottom w:val="single" w:sz="4" w:space="0" w:color="auto"/>
              <w:right w:val="single" w:sz="4" w:space="0" w:color="auto"/>
            </w:tcBorders>
          </w:tcPr>
          <w:p w:rsidR="004D7EF9" w:rsidRPr="004D7EF9" w:rsidRDefault="004D7EF9" w:rsidP="004D7EF9">
            <w:pPr>
              <w:tabs>
                <w:tab w:val="left" w:pos="0"/>
              </w:tabs>
              <w:contextualSpacing/>
              <w:jc w:val="center"/>
              <w:rPr>
                <w:b/>
                <w:iCs/>
                <w:noProof/>
                <w:sz w:val="16"/>
                <w:szCs w:val="16"/>
              </w:rPr>
            </w:pPr>
            <w:r>
              <w:rPr>
                <w:b/>
                <w:iCs/>
                <w:noProof/>
                <w:sz w:val="16"/>
                <w:szCs w:val="16"/>
              </w:rPr>
              <w:t>-24</w:t>
            </w:r>
            <w:r w:rsidRPr="004D7EF9">
              <w:rPr>
                <w:b/>
                <w:iCs/>
                <w:noProof/>
                <w:sz w:val="16"/>
                <w:szCs w:val="16"/>
              </w:rPr>
              <w:t>%</w:t>
            </w:r>
          </w:p>
        </w:tc>
        <w:tc>
          <w:tcPr>
            <w:tcW w:w="849" w:type="dxa"/>
            <w:tcBorders>
              <w:top w:val="single" w:sz="4" w:space="0" w:color="auto"/>
              <w:left w:val="single" w:sz="4" w:space="0" w:color="auto"/>
              <w:bottom w:val="single" w:sz="4" w:space="0" w:color="auto"/>
              <w:right w:val="single" w:sz="4" w:space="0" w:color="auto"/>
            </w:tcBorders>
          </w:tcPr>
          <w:p w:rsidR="004D7EF9" w:rsidRPr="004D7EF9" w:rsidRDefault="00C6755F" w:rsidP="004D7EF9">
            <w:pPr>
              <w:tabs>
                <w:tab w:val="left" w:pos="0"/>
              </w:tabs>
              <w:contextualSpacing/>
              <w:jc w:val="center"/>
              <w:rPr>
                <w:b/>
                <w:iCs/>
                <w:noProof/>
                <w:sz w:val="16"/>
                <w:szCs w:val="16"/>
              </w:rPr>
            </w:pPr>
            <w:r>
              <w:rPr>
                <w:b/>
                <w:iCs/>
                <w:noProof/>
                <w:sz w:val="16"/>
                <w:szCs w:val="16"/>
              </w:rPr>
              <w:t>-72,7</w:t>
            </w:r>
            <w:r w:rsidR="004D7EF9" w:rsidRPr="004D7EF9">
              <w:rPr>
                <w:b/>
                <w:iCs/>
                <w:noProof/>
                <w:sz w:val="16"/>
                <w:szCs w:val="16"/>
              </w:rPr>
              <w:t>%</w:t>
            </w:r>
          </w:p>
        </w:tc>
        <w:tc>
          <w:tcPr>
            <w:tcW w:w="710" w:type="dxa"/>
            <w:tcBorders>
              <w:top w:val="single" w:sz="4" w:space="0" w:color="auto"/>
              <w:left w:val="single" w:sz="4" w:space="0" w:color="auto"/>
              <w:bottom w:val="single" w:sz="4" w:space="0" w:color="auto"/>
              <w:right w:val="single" w:sz="4" w:space="0" w:color="auto"/>
            </w:tcBorders>
          </w:tcPr>
          <w:p w:rsidR="004D7EF9" w:rsidRPr="004D7EF9" w:rsidRDefault="00957FFE" w:rsidP="004D7EF9">
            <w:pPr>
              <w:tabs>
                <w:tab w:val="left" w:pos="0"/>
              </w:tabs>
              <w:contextualSpacing/>
              <w:jc w:val="center"/>
              <w:rPr>
                <w:b/>
                <w:iCs/>
                <w:noProof/>
                <w:sz w:val="16"/>
                <w:szCs w:val="16"/>
              </w:rPr>
            </w:pPr>
            <w:r>
              <w:rPr>
                <w:b/>
                <w:iCs/>
                <w:noProof/>
                <w:sz w:val="16"/>
                <w:szCs w:val="16"/>
              </w:rPr>
              <w:t>1,5</w:t>
            </w:r>
            <w:r w:rsidR="004D7EF9" w:rsidRPr="004D7EF9">
              <w:rPr>
                <w:b/>
                <w:iCs/>
                <w:noProof/>
                <w:sz w:val="16"/>
                <w:szCs w:val="16"/>
              </w:rPr>
              <w:t>%</w:t>
            </w:r>
          </w:p>
        </w:tc>
      </w:tr>
      <w:tr w:rsidR="004D7EF9" w:rsidRPr="007768FA" w:rsidTr="00735FAF">
        <w:trPr>
          <w:trHeight w:val="611"/>
        </w:trPr>
        <w:tc>
          <w:tcPr>
            <w:tcW w:w="1969" w:type="dxa"/>
            <w:tcBorders>
              <w:top w:val="single" w:sz="4" w:space="0" w:color="auto"/>
              <w:left w:val="single" w:sz="4" w:space="0" w:color="auto"/>
              <w:bottom w:val="single" w:sz="4" w:space="0" w:color="auto"/>
              <w:right w:val="single" w:sz="4" w:space="0" w:color="auto"/>
            </w:tcBorders>
          </w:tcPr>
          <w:p w:rsidR="004D7EF9" w:rsidRPr="007768FA" w:rsidRDefault="004D7EF9" w:rsidP="004D7EF9">
            <w:pPr>
              <w:tabs>
                <w:tab w:val="left" w:pos="0"/>
              </w:tabs>
              <w:contextualSpacing/>
              <w:rPr>
                <w:iCs/>
                <w:noProof/>
                <w:sz w:val="12"/>
                <w:szCs w:val="12"/>
              </w:rPr>
            </w:pPr>
            <w:r w:rsidRPr="007768FA">
              <w:rPr>
                <w:iCs/>
                <w:noProof/>
                <w:sz w:val="12"/>
                <w:szCs w:val="12"/>
              </w:rPr>
              <w:t>справи щодо статусу народного депутата України, депутата місцевої ради, організації діяльності представницьких органів влади</w:t>
            </w:r>
          </w:p>
        </w:tc>
        <w:tc>
          <w:tcPr>
            <w:tcW w:w="723" w:type="dxa"/>
            <w:tcBorders>
              <w:top w:val="single" w:sz="4" w:space="0" w:color="auto"/>
              <w:left w:val="single" w:sz="4" w:space="0" w:color="auto"/>
              <w:bottom w:val="single" w:sz="4" w:space="0" w:color="auto"/>
              <w:right w:val="single" w:sz="4" w:space="0" w:color="auto"/>
            </w:tcBorders>
          </w:tcPr>
          <w:p w:rsidR="004D7EF9" w:rsidRPr="007768FA" w:rsidRDefault="004D7EF9" w:rsidP="004D7EF9">
            <w:pPr>
              <w:tabs>
                <w:tab w:val="left" w:pos="0"/>
              </w:tabs>
              <w:contextualSpacing/>
              <w:jc w:val="center"/>
              <w:rPr>
                <w:iCs/>
                <w:noProof/>
                <w:sz w:val="16"/>
                <w:szCs w:val="16"/>
              </w:rPr>
            </w:pPr>
            <w:r w:rsidRPr="007768FA">
              <w:rPr>
                <w:iCs/>
                <w:noProof/>
                <w:sz w:val="16"/>
                <w:szCs w:val="16"/>
              </w:rPr>
              <w:t>4</w:t>
            </w:r>
          </w:p>
        </w:tc>
        <w:tc>
          <w:tcPr>
            <w:tcW w:w="729" w:type="dxa"/>
            <w:tcBorders>
              <w:top w:val="single" w:sz="4" w:space="0" w:color="auto"/>
              <w:left w:val="single" w:sz="4" w:space="0" w:color="auto"/>
              <w:bottom w:val="single" w:sz="4" w:space="0" w:color="auto"/>
              <w:right w:val="single" w:sz="4" w:space="0" w:color="auto"/>
            </w:tcBorders>
          </w:tcPr>
          <w:p w:rsidR="004D7EF9" w:rsidRPr="007768FA" w:rsidRDefault="004D7EF9" w:rsidP="004D7EF9">
            <w:pPr>
              <w:tabs>
                <w:tab w:val="left" w:pos="0"/>
              </w:tabs>
              <w:contextualSpacing/>
              <w:jc w:val="center"/>
              <w:rPr>
                <w:iCs/>
                <w:noProof/>
                <w:sz w:val="16"/>
                <w:szCs w:val="16"/>
              </w:rPr>
            </w:pPr>
            <w:r>
              <w:rPr>
                <w:iCs/>
                <w:noProof/>
                <w:sz w:val="16"/>
                <w:szCs w:val="16"/>
              </w:rPr>
              <w:t>2</w:t>
            </w:r>
          </w:p>
        </w:tc>
        <w:tc>
          <w:tcPr>
            <w:tcW w:w="545" w:type="dxa"/>
            <w:tcBorders>
              <w:top w:val="single" w:sz="4" w:space="0" w:color="auto"/>
              <w:left w:val="single" w:sz="4" w:space="0" w:color="auto"/>
              <w:bottom w:val="single" w:sz="4" w:space="0" w:color="auto"/>
              <w:right w:val="single" w:sz="4" w:space="0" w:color="auto"/>
            </w:tcBorders>
          </w:tcPr>
          <w:p w:rsidR="004D7EF9" w:rsidRPr="00164579" w:rsidRDefault="004D7EF9" w:rsidP="004D7EF9">
            <w:pPr>
              <w:tabs>
                <w:tab w:val="left" w:pos="0"/>
              </w:tabs>
              <w:contextualSpacing/>
              <w:jc w:val="center"/>
              <w:rPr>
                <w:iCs/>
                <w:noProof/>
                <w:sz w:val="16"/>
                <w:szCs w:val="16"/>
              </w:rPr>
            </w:pPr>
            <w:r w:rsidRPr="00164579">
              <w:rPr>
                <w:iCs/>
                <w:noProof/>
                <w:sz w:val="16"/>
                <w:szCs w:val="16"/>
              </w:rPr>
              <w:t>3</w:t>
            </w:r>
          </w:p>
        </w:tc>
        <w:tc>
          <w:tcPr>
            <w:tcW w:w="708" w:type="dxa"/>
            <w:tcBorders>
              <w:top w:val="single" w:sz="4" w:space="0" w:color="auto"/>
              <w:left w:val="single" w:sz="4" w:space="0" w:color="auto"/>
              <w:bottom w:val="single" w:sz="4" w:space="0" w:color="auto"/>
              <w:right w:val="single" w:sz="4" w:space="0" w:color="auto"/>
            </w:tcBorders>
          </w:tcPr>
          <w:p w:rsidR="004D7EF9" w:rsidRPr="00164579" w:rsidRDefault="004D7EF9" w:rsidP="004D7EF9">
            <w:pPr>
              <w:tabs>
                <w:tab w:val="left" w:pos="0"/>
              </w:tabs>
              <w:contextualSpacing/>
              <w:jc w:val="center"/>
              <w:rPr>
                <w:iCs/>
                <w:noProof/>
                <w:sz w:val="16"/>
                <w:szCs w:val="16"/>
              </w:rPr>
            </w:pPr>
            <w:r w:rsidRPr="00164579">
              <w:rPr>
                <w:iCs/>
                <w:noProof/>
                <w:sz w:val="16"/>
                <w:szCs w:val="16"/>
              </w:rPr>
              <w:t>2</w:t>
            </w:r>
          </w:p>
        </w:tc>
        <w:tc>
          <w:tcPr>
            <w:tcW w:w="566" w:type="dxa"/>
            <w:tcBorders>
              <w:top w:val="single" w:sz="4" w:space="0" w:color="auto"/>
              <w:left w:val="single" w:sz="4" w:space="0" w:color="auto"/>
              <w:bottom w:val="single" w:sz="4" w:space="0" w:color="auto"/>
              <w:right w:val="single" w:sz="4" w:space="0" w:color="auto"/>
            </w:tcBorders>
          </w:tcPr>
          <w:p w:rsidR="004D7EF9" w:rsidRPr="0066038D" w:rsidRDefault="004D7EF9" w:rsidP="004D7EF9">
            <w:pPr>
              <w:tabs>
                <w:tab w:val="left" w:pos="0"/>
              </w:tabs>
              <w:contextualSpacing/>
              <w:jc w:val="center"/>
              <w:rPr>
                <w:iCs/>
                <w:noProof/>
                <w:sz w:val="16"/>
                <w:szCs w:val="16"/>
              </w:rPr>
            </w:pPr>
            <w:r w:rsidRPr="0066038D">
              <w:rPr>
                <w:iCs/>
                <w:noProof/>
                <w:sz w:val="16"/>
                <w:szCs w:val="16"/>
              </w:rPr>
              <w:t>0</w:t>
            </w:r>
          </w:p>
        </w:tc>
        <w:tc>
          <w:tcPr>
            <w:tcW w:w="566" w:type="dxa"/>
            <w:tcBorders>
              <w:top w:val="single" w:sz="4" w:space="0" w:color="auto"/>
              <w:left w:val="single" w:sz="4" w:space="0" w:color="auto"/>
              <w:bottom w:val="single" w:sz="4" w:space="0" w:color="auto"/>
              <w:right w:val="single" w:sz="4" w:space="0" w:color="auto"/>
            </w:tcBorders>
          </w:tcPr>
          <w:p w:rsidR="004D7EF9" w:rsidRPr="0066038D" w:rsidRDefault="004D7EF9" w:rsidP="004D7EF9">
            <w:pPr>
              <w:tabs>
                <w:tab w:val="left" w:pos="0"/>
              </w:tabs>
              <w:contextualSpacing/>
              <w:jc w:val="center"/>
              <w:rPr>
                <w:iCs/>
                <w:noProof/>
                <w:sz w:val="16"/>
                <w:szCs w:val="16"/>
              </w:rPr>
            </w:pPr>
            <w:r w:rsidRPr="0066038D">
              <w:rPr>
                <w:iCs/>
                <w:noProof/>
                <w:sz w:val="16"/>
                <w:szCs w:val="16"/>
              </w:rPr>
              <w:t>0</w:t>
            </w:r>
          </w:p>
        </w:tc>
        <w:tc>
          <w:tcPr>
            <w:tcW w:w="566" w:type="dxa"/>
            <w:tcBorders>
              <w:top w:val="single" w:sz="4" w:space="0" w:color="auto"/>
              <w:left w:val="single" w:sz="4" w:space="0" w:color="auto"/>
              <w:bottom w:val="single" w:sz="4" w:space="0" w:color="auto"/>
              <w:right w:val="single" w:sz="4" w:space="0" w:color="auto"/>
            </w:tcBorders>
          </w:tcPr>
          <w:p w:rsidR="004D7EF9" w:rsidRPr="00132D91" w:rsidRDefault="004D7EF9" w:rsidP="004D7EF9">
            <w:pPr>
              <w:tabs>
                <w:tab w:val="left" w:pos="0"/>
              </w:tabs>
              <w:contextualSpacing/>
              <w:jc w:val="center"/>
              <w:rPr>
                <w:iCs/>
                <w:noProof/>
                <w:sz w:val="16"/>
                <w:szCs w:val="16"/>
              </w:rPr>
            </w:pPr>
            <w:r w:rsidRPr="00132D91">
              <w:rPr>
                <w:iCs/>
                <w:noProof/>
                <w:sz w:val="16"/>
                <w:szCs w:val="16"/>
              </w:rPr>
              <w:t>1</w:t>
            </w:r>
          </w:p>
        </w:tc>
        <w:tc>
          <w:tcPr>
            <w:tcW w:w="566" w:type="dxa"/>
            <w:tcBorders>
              <w:top w:val="single" w:sz="4" w:space="0" w:color="auto"/>
              <w:left w:val="single" w:sz="4" w:space="0" w:color="auto"/>
              <w:bottom w:val="single" w:sz="4" w:space="0" w:color="auto"/>
              <w:right w:val="single" w:sz="4" w:space="0" w:color="auto"/>
            </w:tcBorders>
          </w:tcPr>
          <w:p w:rsidR="004D7EF9" w:rsidRPr="00132D91" w:rsidRDefault="004D7EF9" w:rsidP="004D7EF9">
            <w:pPr>
              <w:tabs>
                <w:tab w:val="left" w:pos="0"/>
              </w:tabs>
              <w:contextualSpacing/>
              <w:jc w:val="center"/>
              <w:rPr>
                <w:iCs/>
                <w:noProof/>
                <w:sz w:val="16"/>
                <w:szCs w:val="16"/>
              </w:rPr>
            </w:pPr>
            <w:r w:rsidRPr="00132D91">
              <w:rPr>
                <w:iCs/>
                <w:noProof/>
                <w:sz w:val="16"/>
                <w:szCs w:val="16"/>
              </w:rPr>
              <w:t>0</w:t>
            </w:r>
          </w:p>
        </w:tc>
        <w:tc>
          <w:tcPr>
            <w:tcW w:w="850" w:type="dxa"/>
            <w:tcBorders>
              <w:top w:val="single" w:sz="4" w:space="0" w:color="auto"/>
              <w:left w:val="single" w:sz="4" w:space="0" w:color="auto"/>
              <w:bottom w:val="single" w:sz="4" w:space="0" w:color="auto"/>
              <w:right w:val="single" w:sz="4" w:space="0" w:color="auto"/>
            </w:tcBorders>
          </w:tcPr>
          <w:p w:rsidR="004D7EF9" w:rsidRPr="004D7EF9" w:rsidRDefault="004D7EF9" w:rsidP="004D7EF9">
            <w:pPr>
              <w:tabs>
                <w:tab w:val="left" w:pos="0"/>
              </w:tabs>
              <w:contextualSpacing/>
              <w:jc w:val="center"/>
              <w:rPr>
                <w:b/>
                <w:iCs/>
                <w:noProof/>
                <w:sz w:val="16"/>
                <w:szCs w:val="16"/>
              </w:rPr>
            </w:pPr>
            <w:r>
              <w:rPr>
                <w:b/>
                <w:iCs/>
                <w:noProof/>
                <w:sz w:val="16"/>
                <w:szCs w:val="16"/>
              </w:rPr>
              <w:t>50</w:t>
            </w:r>
            <w:r w:rsidRPr="004D7EF9">
              <w:rPr>
                <w:b/>
                <w:iCs/>
                <w:noProof/>
                <w:sz w:val="16"/>
                <w:szCs w:val="16"/>
              </w:rPr>
              <w:t>%</w:t>
            </w:r>
          </w:p>
        </w:tc>
        <w:tc>
          <w:tcPr>
            <w:tcW w:w="849" w:type="dxa"/>
            <w:tcBorders>
              <w:top w:val="single" w:sz="4" w:space="0" w:color="auto"/>
              <w:left w:val="single" w:sz="4" w:space="0" w:color="auto"/>
              <w:bottom w:val="single" w:sz="4" w:space="0" w:color="auto"/>
              <w:right w:val="single" w:sz="4" w:space="0" w:color="auto"/>
            </w:tcBorders>
          </w:tcPr>
          <w:p w:rsidR="004D7EF9" w:rsidRPr="004D7EF9" w:rsidRDefault="00C6755F" w:rsidP="004D7EF9">
            <w:pPr>
              <w:tabs>
                <w:tab w:val="left" w:pos="0"/>
              </w:tabs>
              <w:contextualSpacing/>
              <w:jc w:val="center"/>
              <w:rPr>
                <w:b/>
                <w:iCs/>
                <w:noProof/>
                <w:sz w:val="16"/>
                <w:szCs w:val="16"/>
              </w:rPr>
            </w:pPr>
            <w:r>
              <w:rPr>
                <w:b/>
                <w:iCs/>
                <w:noProof/>
                <w:sz w:val="16"/>
                <w:szCs w:val="16"/>
              </w:rPr>
              <w:t>0</w:t>
            </w:r>
            <w:r w:rsidR="004D7EF9" w:rsidRPr="004D7EF9">
              <w:rPr>
                <w:b/>
                <w:iCs/>
                <w:noProof/>
                <w:sz w:val="16"/>
                <w:szCs w:val="16"/>
              </w:rPr>
              <w:t>%</w:t>
            </w:r>
          </w:p>
        </w:tc>
        <w:tc>
          <w:tcPr>
            <w:tcW w:w="710" w:type="dxa"/>
            <w:tcBorders>
              <w:top w:val="single" w:sz="4" w:space="0" w:color="auto"/>
              <w:left w:val="single" w:sz="4" w:space="0" w:color="auto"/>
              <w:bottom w:val="single" w:sz="4" w:space="0" w:color="auto"/>
              <w:right w:val="single" w:sz="4" w:space="0" w:color="auto"/>
            </w:tcBorders>
          </w:tcPr>
          <w:p w:rsidR="004D7EF9" w:rsidRPr="004D7EF9" w:rsidRDefault="00957FFE" w:rsidP="004D7EF9">
            <w:pPr>
              <w:tabs>
                <w:tab w:val="left" w:pos="0"/>
              </w:tabs>
              <w:contextualSpacing/>
              <w:jc w:val="center"/>
              <w:rPr>
                <w:b/>
                <w:iCs/>
                <w:noProof/>
                <w:sz w:val="16"/>
                <w:szCs w:val="16"/>
              </w:rPr>
            </w:pPr>
            <w:r>
              <w:rPr>
                <w:b/>
                <w:iCs/>
                <w:noProof/>
                <w:sz w:val="16"/>
                <w:szCs w:val="16"/>
              </w:rPr>
              <w:t>0</w:t>
            </w:r>
            <w:r w:rsidR="004D7EF9" w:rsidRPr="004D7EF9">
              <w:rPr>
                <w:b/>
                <w:iCs/>
                <w:noProof/>
                <w:sz w:val="16"/>
                <w:szCs w:val="16"/>
              </w:rPr>
              <w:t>%</w:t>
            </w:r>
          </w:p>
        </w:tc>
      </w:tr>
      <w:tr w:rsidR="004D7EF9" w:rsidRPr="007768FA" w:rsidTr="00735FAF">
        <w:trPr>
          <w:trHeight w:val="639"/>
        </w:trPr>
        <w:tc>
          <w:tcPr>
            <w:tcW w:w="1969" w:type="dxa"/>
            <w:tcBorders>
              <w:top w:val="single" w:sz="4" w:space="0" w:color="auto"/>
              <w:left w:val="single" w:sz="4" w:space="0" w:color="auto"/>
              <w:bottom w:val="single" w:sz="4" w:space="0" w:color="auto"/>
              <w:right w:val="single" w:sz="4" w:space="0" w:color="auto"/>
            </w:tcBorders>
          </w:tcPr>
          <w:p w:rsidR="004D7EF9" w:rsidRPr="007768FA" w:rsidRDefault="004D7EF9" w:rsidP="004D7EF9">
            <w:pPr>
              <w:tabs>
                <w:tab w:val="left" w:pos="0"/>
              </w:tabs>
              <w:contextualSpacing/>
              <w:rPr>
                <w:iCs/>
                <w:noProof/>
                <w:sz w:val="12"/>
                <w:szCs w:val="12"/>
              </w:rPr>
            </w:pPr>
            <w:r w:rsidRPr="007768FA">
              <w:rPr>
                <w:iCs/>
                <w:noProof/>
                <w:sz w:val="12"/>
                <w:szCs w:val="12"/>
              </w:rPr>
              <w:t>справи з приводу забезпечення функціонування органів прокуратури, адвокатури, нотаріату та юстиції (крім категорій, які підсудні Верховному Суду як суду першої інстанції)</w:t>
            </w:r>
          </w:p>
        </w:tc>
        <w:tc>
          <w:tcPr>
            <w:tcW w:w="723" w:type="dxa"/>
            <w:tcBorders>
              <w:top w:val="single" w:sz="4" w:space="0" w:color="auto"/>
              <w:left w:val="single" w:sz="4" w:space="0" w:color="auto"/>
              <w:bottom w:val="single" w:sz="4" w:space="0" w:color="auto"/>
              <w:right w:val="single" w:sz="4" w:space="0" w:color="auto"/>
            </w:tcBorders>
          </w:tcPr>
          <w:p w:rsidR="004D7EF9" w:rsidRPr="007768FA" w:rsidRDefault="004D7EF9" w:rsidP="004D7EF9">
            <w:pPr>
              <w:tabs>
                <w:tab w:val="left" w:pos="0"/>
              </w:tabs>
              <w:contextualSpacing/>
              <w:jc w:val="center"/>
              <w:rPr>
                <w:iCs/>
                <w:noProof/>
                <w:sz w:val="16"/>
                <w:szCs w:val="16"/>
              </w:rPr>
            </w:pPr>
            <w:r w:rsidRPr="007768FA">
              <w:rPr>
                <w:iCs/>
                <w:noProof/>
                <w:sz w:val="16"/>
                <w:szCs w:val="16"/>
              </w:rPr>
              <w:t>14</w:t>
            </w:r>
          </w:p>
        </w:tc>
        <w:tc>
          <w:tcPr>
            <w:tcW w:w="729" w:type="dxa"/>
            <w:tcBorders>
              <w:top w:val="single" w:sz="4" w:space="0" w:color="auto"/>
              <w:left w:val="single" w:sz="4" w:space="0" w:color="auto"/>
              <w:bottom w:val="single" w:sz="4" w:space="0" w:color="auto"/>
              <w:right w:val="single" w:sz="4" w:space="0" w:color="auto"/>
            </w:tcBorders>
          </w:tcPr>
          <w:p w:rsidR="004D7EF9" w:rsidRPr="007768FA" w:rsidRDefault="004D7EF9" w:rsidP="004D7EF9">
            <w:pPr>
              <w:tabs>
                <w:tab w:val="left" w:pos="0"/>
              </w:tabs>
              <w:contextualSpacing/>
              <w:jc w:val="center"/>
              <w:rPr>
                <w:iCs/>
                <w:noProof/>
                <w:sz w:val="16"/>
                <w:szCs w:val="16"/>
              </w:rPr>
            </w:pPr>
            <w:r>
              <w:rPr>
                <w:iCs/>
                <w:noProof/>
                <w:sz w:val="16"/>
                <w:szCs w:val="16"/>
              </w:rPr>
              <w:t>21</w:t>
            </w:r>
          </w:p>
        </w:tc>
        <w:tc>
          <w:tcPr>
            <w:tcW w:w="545" w:type="dxa"/>
            <w:tcBorders>
              <w:top w:val="single" w:sz="4" w:space="0" w:color="auto"/>
              <w:left w:val="single" w:sz="4" w:space="0" w:color="auto"/>
              <w:bottom w:val="single" w:sz="4" w:space="0" w:color="auto"/>
              <w:right w:val="single" w:sz="4" w:space="0" w:color="auto"/>
            </w:tcBorders>
          </w:tcPr>
          <w:p w:rsidR="004D7EF9" w:rsidRPr="00164579" w:rsidRDefault="004D7EF9" w:rsidP="004D7EF9">
            <w:pPr>
              <w:tabs>
                <w:tab w:val="left" w:pos="0"/>
              </w:tabs>
              <w:contextualSpacing/>
              <w:jc w:val="center"/>
              <w:rPr>
                <w:iCs/>
                <w:noProof/>
                <w:sz w:val="16"/>
                <w:szCs w:val="16"/>
              </w:rPr>
            </w:pPr>
            <w:r w:rsidRPr="00164579">
              <w:rPr>
                <w:iCs/>
                <w:noProof/>
                <w:sz w:val="16"/>
                <w:szCs w:val="16"/>
              </w:rPr>
              <w:t>8</w:t>
            </w:r>
          </w:p>
        </w:tc>
        <w:tc>
          <w:tcPr>
            <w:tcW w:w="708" w:type="dxa"/>
            <w:tcBorders>
              <w:top w:val="single" w:sz="4" w:space="0" w:color="auto"/>
              <w:left w:val="single" w:sz="4" w:space="0" w:color="auto"/>
              <w:bottom w:val="single" w:sz="4" w:space="0" w:color="auto"/>
              <w:right w:val="single" w:sz="4" w:space="0" w:color="auto"/>
            </w:tcBorders>
          </w:tcPr>
          <w:p w:rsidR="004D7EF9" w:rsidRPr="00164579" w:rsidRDefault="004D7EF9" w:rsidP="004D7EF9">
            <w:pPr>
              <w:tabs>
                <w:tab w:val="left" w:pos="0"/>
              </w:tabs>
              <w:contextualSpacing/>
              <w:jc w:val="center"/>
              <w:rPr>
                <w:iCs/>
                <w:noProof/>
                <w:sz w:val="16"/>
                <w:szCs w:val="16"/>
              </w:rPr>
            </w:pPr>
            <w:r w:rsidRPr="00164579">
              <w:rPr>
                <w:iCs/>
                <w:noProof/>
                <w:sz w:val="16"/>
                <w:szCs w:val="16"/>
              </w:rPr>
              <w:t>16</w:t>
            </w:r>
          </w:p>
        </w:tc>
        <w:tc>
          <w:tcPr>
            <w:tcW w:w="566" w:type="dxa"/>
            <w:tcBorders>
              <w:top w:val="single" w:sz="4" w:space="0" w:color="auto"/>
              <w:left w:val="single" w:sz="4" w:space="0" w:color="auto"/>
              <w:bottom w:val="single" w:sz="4" w:space="0" w:color="auto"/>
              <w:right w:val="single" w:sz="4" w:space="0" w:color="auto"/>
            </w:tcBorders>
          </w:tcPr>
          <w:p w:rsidR="004D7EF9" w:rsidRPr="0066038D" w:rsidRDefault="004D7EF9" w:rsidP="004D7EF9">
            <w:pPr>
              <w:tabs>
                <w:tab w:val="left" w:pos="0"/>
              </w:tabs>
              <w:contextualSpacing/>
              <w:jc w:val="center"/>
              <w:rPr>
                <w:iCs/>
                <w:noProof/>
                <w:sz w:val="16"/>
                <w:szCs w:val="16"/>
              </w:rPr>
            </w:pPr>
            <w:r w:rsidRPr="0066038D">
              <w:rPr>
                <w:iCs/>
                <w:noProof/>
                <w:sz w:val="16"/>
                <w:szCs w:val="16"/>
              </w:rPr>
              <w:t>1</w:t>
            </w:r>
          </w:p>
        </w:tc>
        <w:tc>
          <w:tcPr>
            <w:tcW w:w="566" w:type="dxa"/>
            <w:tcBorders>
              <w:top w:val="single" w:sz="4" w:space="0" w:color="auto"/>
              <w:left w:val="single" w:sz="4" w:space="0" w:color="auto"/>
              <w:bottom w:val="single" w:sz="4" w:space="0" w:color="auto"/>
              <w:right w:val="single" w:sz="4" w:space="0" w:color="auto"/>
            </w:tcBorders>
          </w:tcPr>
          <w:p w:rsidR="004D7EF9" w:rsidRPr="0066038D" w:rsidRDefault="004D7EF9" w:rsidP="004D7EF9">
            <w:pPr>
              <w:tabs>
                <w:tab w:val="left" w:pos="0"/>
              </w:tabs>
              <w:contextualSpacing/>
              <w:jc w:val="center"/>
              <w:rPr>
                <w:iCs/>
                <w:noProof/>
                <w:sz w:val="16"/>
                <w:szCs w:val="16"/>
              </w:rPr>
            </w:pPr>
            <w:r w:rsidRPr="0066038D">
              <w:rPr>
                <w:iCs/>
                <w:noProof/>
                <w:sz w:val="16"/>
                <w:szCs w:val="16"/>
              </w:rPr>
              <w:t>1</w:t>
            </w:r>
          </w:p>
        </w:tc>
        <w:tc>
          <w:tcPr>
            <w:tcW w:w="566" w:type="dxa"/>
            <w:tcBorders>
              <w:top w:val="single" w:sz="4" w:space="0" w:color="auto"/>
              <w:left w:val="single" w:sz="4" w:space="0" w:color="auto"/>
              <w:bottom w:val="single" w:sz="4" w:space="0" w:color="auto"/>
              <w:right w:val="single" w:sz="4" w:space="0" w:color="auto"/>
            </w:tcBorders>
          </w:tcPr>
          <w:p w:rsidR="004D7EF9" w:rsidRPr="00132D91" w:rsidRDefault="004D7EF9" w:rsidP="004D7EF9">
            <w:pPr>
              <w:tabs>
                <w:tab w:val="left" w:pos="0"/>
              </w:tabs>
              <w:contextualSpacing/>
              <w:jc w:val="center"/>
              <w:rPr>
                <w:iCs/>
                <w:noProof/>
                <w:sz w:val="16"/>
                <w:szCs w:val="16"/>
              </w:rPr>
            </w:pPr>
            <w:r w:rsidRPr="00132D91">
              <w:rPr>
                <w:iCs/>
                <w:noProof/>
                <w:sz w:val="16"/>
                <w:szCs w:val="16"/>
              </w:rPr>
              <w:t>5</w:t>
            </w:r>
          </w:p>
        </w:tc>
        <w:tc>
          <w:tcPr>
            <w:tcW w:w="566" w:type="dxa"/>
            <w:tcBorders>
              <w:top w:val="single" w:sz="4" w:space="0" w:color="auto"/>
              <w:left w:val="single" w:sz="4" w:space="0" w:color="auto"/>
              <w:bottom w:val="single" w:sz="4" w:space="0" w:color="auto"/>
              <w:right w:val="single" w:sz="4" w:space="0" w:color="auto"/>
            </w:tcBorders>
          </w:tcPr>
          <w:p w:rsidR="004D7EF9" w:rsidRPr="00132D91" w:rsidRDefault="004D7EF9" w:rsidP="004D7EF9">
            <w:pPr>
              <w:tabs>
                <w:tab w:val="left" w:pos="0"/>
              </w:tabs>
              <w:contextualSpacing/>
              <w:jc w:val="center"/>
              <w:rPr>
                <w:iCs/>
                <w:noProof/>
                <w:sz w:val="16"/>
                <w:szCs w:val="16"/>
              </w:rPr>
            </w:pPr>
            <w:r w:rsidRPr="00132D91">
              <w:rPr>
                <w:iCs/>
                <w:noProof/>
                <w:sz w:val="16"/>
                <w:szCs w:val="16"/>
              </w:rPr>
              <w:t>4</w:t>
            </w:r>
          </w:p>
        </w:tc>
        <w:tc>
          <w:tcPr>
            <w:tcW w:w="850" w:type="dxa"/>
            <w:tcBorders>
              <w:top w:val="single" w:sz="4" w:space="0" w:color="auto"/>
              <w:left w:val="single" w:sz="4" w:space="0" w:color="auto"/>
              <w:bottom w:val="single" w:sz="4" w:space="0" w:color="auto"/>
              <w:right w:val="single" w:sz="4" w:space="0" w:color="auto"/>
            </w:tcBorders>
          </w:tcPr>
          <w:p w:rsidR="004D7EF9" w:rsidRPr="004D7EF9" w:rsidRDefault="004D7EF9" w:rsidP="004D7EF9">
            <w:pPr>
              <w:tabs>
                <w:tab w:val="left" w:pos="0"/>
              </w:tabs>
              <w:contextualSpacing/>
              <w:jc w:val="center"/>
              <w:rPr>
                <w:b/>
                <w:iCs/>
                <w:noProof/>
                <w:sz w:val="16"/>
                <w:szCs w:val="16"/>
              </w:rPr>
            </w:pPr>
            <w:r>
              <w:rPr>
                <w:b/>
                <w:iCs/>
                <w:noProof/>
                <w:sz w:val="16"/>
                <w:szCs w:val="16"/>
              </w:rPr>
              <w:t>-50</w:t>
            </w:r>
            <w:r w:rsidRPr="004D7EF9">
              <w:rPr>
                <w:b/>
                <w:iCs/>
                <w:noProof/>
                <w:sz w:val="16"/>
                <w:szCs w:val="16"/>
              </w:rPr>
              <w:t>%</w:t>
            </w:r>
          </w:p>
        </w:tc>
        <w:tc>
          <w:tcPr>
            <w:tcW w:w="849" w:type="dxa"/>
            <w:tcBorders>
              <w:top w:val="single" w:sz="4" w:space="0" w:color="auto"/>
              <w:left w:val="single" w:sz="4" w:space="0" w:color="auto"/>
              <w:bottom w:val="single" w:sz="4" w:space="0" w:color="auto"/>
              <w:right w:val="single" w:sz="4" w:space="0" w:color="auto"/>
            </w:tcBorders>
          </w:tcPr>
          <w:p w:rsidR="004D7EF9" w:rsidRPr="004D7EF9" w:rsidRDefault="00C6755F" w:rsidP="004D7EF9">
            <w:pPr>
              <w:tabs>
                <w:tab w:val="left" w:pos="0"/>
              </w:tabs>
              <w:contextualSpacing/>
              <w:jc w:val="center"/>
              <w:rPr>
                <w:b/>
                <w:iCs/>
                <w:noProof/>
                <w:sz w:val="16"/>
                <w:szCs w:val="16"/>
              </w:rPr>
            </w:pPr>
            <w:r>
              <w:rPr>
                <w:b/>
                <w:iCs/>
                <w:noProof/>
                <w:sz w:val="16"/>
                <w:szCs w:val="16"/>
              </w:rPr>
              <w:t>0</w:t>
            </w:r>
            <w:r w:rsidR="004D7EF9" w:rsidRPr="004D7EF9">
              <w:rPr>
                <w:b/>
                <w:iCs/>
                <w:noProof/>
                <w:sz w:val="16"/>
                <w:szCs w:val="16"/>
              </w:rPr>
              <w:t>%</w:t>
            </w:r>
          </w:p>
        </w:tc>
        <w:tc>
          <w:tcPr>
            <w:tcW w:w="710" w:type="dxa"/>
            <w:tcBorders>
              <w:top w:val="single" w:sz="4" w:space="0" w:color="auto"/>
              <w:left w:val="single" w:sz="4" w:space="0" w:color="auto"/>
              <w:bottom w:val="single" w:sz="4" w:space="0" w:color="auto"/>
              <w:right w:val="single" w:sz="4" w:space="0" w:color="auto"/>
            </w:tcBorders>
          </w:tcPr>
          <w:p w:rsidR="004D7EF9" w:rsidRPr="004D7EF9" w:rsidRDefault="00957FFE" w:rsidP="004D7EF9">
            <w:pPr>
              <w:tabs>
                <w:tab w:val="left" w:pos="0"/>
              </w:tabs>
              <w:contextualSpacing/>
              <w:jc w:val="center"/>
              <w:rPr>
                <w:b/>
                <w:iCs/>
                <w:noProof/>
                <w:sz w:val="16"/>
                <w:szCs w:val="16"/>
              </w:rPr>
            </w:pPr>
            <w:r>
              <w:rPr>
                <w:b/>
                <w:iCs/>
                <w:noProof/>
                <w:sz w:val="16"/>
                <w:szCs w:val="16"/>
              </w:rPr>
              <w:t>25</w:t>
            </w:r>
            <w:r w:rsidR="004D7EF9" w:rsidRPr="004D7EF9">
              <w:rPr>
                <w:b/>
                <w:iCs/>
                <w:noProof/>
                <w:sz w:val="16"/>
                <w:szCs w:val="16"/>
              </w:rPr>
              <w:t>%</w:t>
            </w:r>
          </w:p>
        </w:tc>
      </w:tr>
      <w:tr w:rsidR="004D7EF9" w:rsidRPr="007768FA" w:rsidTr="00735FAF">
        <w:trPr>
          <w:trHeight w:val="611"/>
        </w:trPr>
        <w:tc>
          <w:tcPr>
            <w:tcW w:w="1969" w:type="dxa"/>
            <w:tcBorders>
              <w:top w:val="single" w:sz="4" w:space="0" w:color="auto"/>
              <w:left w:val="single" w:sz="4" w:space="0" w:color="auto"/>
              <w:bottom w:val="single" w:sz="4" w:space="0" w:color="auto"/>
              <w:right w:val="single" w:sz="4" w:space="0" w:color="auto"/>
            </w:tcBorders>
          </w:tcPr>
          <w:p w:rsidR="004D7EF9" w:rsidRPr="007768FA" w:rsidRDefault="004D7EF9" w:rsidP="004D7EF9">
            <w:pPr>
              <w:tabs>
                <w:tab w:val="left" w:pos="0"/>
              </w:tabs>
              <w:contextualSpacing/>
              <w:rPr>
                <w:iCs/>
                <w:noProof/>
                <w:sz w:val="12"/>
                <w:szCs w:val="12"/>
              </w:rPr>
            </w:pPr>
            <w:r w:rsidRPr="007768FA">
              <w:rPr>
                <w:iCs/>
                <w:noProof/>
                <w:sz w:val="12"/>
                <w:szCs w:val="12"/>
              </w:rPr>
              <w:t>справи щодо примусового виконання судових рішень і рішень інших органів</w:t>
            </w:r>
          </w:p>
        </w:tc>
        <w:tc>
          <w:tcPr>
            <w:tcW w:w="723" w:type="dxa"/>
            <w:tcBorders>
              <w:top w:val="single" w:sz="4" w:space="0" w:color="auto"/>
              <w:left w:val="single" w:sz="4" w:space="0" w:color="auto"/>
              <w:bottom w:val="single" w:sz="4" w:space="0" w:color="auto"/>
              <w:right w:val="single" w:sz="4" w:space="0" w:color="auto"/>
            </w:tcBorders>
          </w:tcPr>
          <w:p w:rsidR="004D7EF9" w:rsidRPr="007768FA" w:rsidRDefault="004D7EF9" w:rsidP="004D7EF9">
            <w:pPr>
              <w:tabs>
                <w:tab w:val="left" w:pos="0"/>
              </w:tabs>
              <w:contextualSpacing/>
              <w:jc w:val="center"/>
              <w:rPr>
                <w:iCs/>
                <w:noProof/>
                <w:sz w:val="16"/>
                <w:szCs w:val="16"/>
              </w:rPr>
            </w:pPr>
            <w:r w:rsidRPr="007768FA">
              <w:rPr>
                <w:iCs/>
                <w:noProof/>
                <w:sz w:val="16"/>
                <w:szCs w:val="16"/>
              </w:rPr>
              <w:t>154</w:t>
            </w:r>
          </w:p>
        </w:tc>
        <w:tc>
          <w:tcPr>
            <w:tcW w:w="729" w:type="dxa"/>
            <w:tcBorders>
              <w:top w:val="single" w:sz="4" w:space="0" w:color="auto"/>
              <w:left w:val="single" w:sz="4" w:space="0" w:color="auto"/>
              <w:bottom w:val="single" w:sz="4" w:space="0" w:color="auto"/>
              <w:right w:val="single" w:sz="4" w:space="0" w:color="auto"/>
            </w:tcBorders>
          </w:tcPr>
          <w:p w:rsidR="004D7EF9" w:rsidRPr="007768FA" w:rsidRDefault="004D7EF9" w:rsidP="004D7EF9">
            <w:pPr>
              <w:tabs>
                <w:tab w:val="left" w:pos="0"/>
              </w:tabs>
              <w:contextualSpacing/>
              <w:jc w:val="center"/>
              <w:rPr>
                <w:iCs/>
                <w:noProof/>
                <w:sz w:val="16"/>
                <w:szCs w:val="16"/>
              </w:rPr>
            </w:pPr>
            <w:r>
              <w:rPr>
                <w:iCs/>
                <w:noProof/>
                <w:sz w:val="16"/>
                <w:szCs w:val="16"/>
              </w:rPr>
              <w:t>152</w:t>
            </w:r>
          </w:p>
        </w:tc>
        <w:tc>
          <w:tcPr>
            <w:tcW w:w="545" w:type="dxa"/>
            <w:tcBorders>
              <w:top w:val="single" w:sz="4" w:space="0" w:color="auto"/>
              <w:left w:val="single" w:sz="4" w:space="0" w:color="auto"/>
              <w:bottom w:val="single" w:sz="4" w:space="0" w:color="auto"/>
              <w:right w:val="single" w:sz="4" w:space="0" w:color="auto"/>
            </w:tcBorders>
          </w:tcPr>
          <w:p w:rsidR="004D7EF9" w:rsidRPr="00164579" w:rsidRDefault="004D7EF9" w:rsidP="004D7EF9">
            <w:pPr>
              <w:tabs>
                <w:tab w:val="left" w:pos="0"/>
              </w:tabs>
              <w:contextualSpacing/>
              <w:jc w:val="center"/>
              <w:rPr>
                <w:iCs/>
                <w:noProof/>
                <w:sz w:val="16"/>
                <w:szCs w:val="16"/>
              </w:rPr>
            </w:pPr>
            <w:r w:rsidRPr="00164579">
              <w:rPr>
                <w:iCs/>
                <w:noProof/>
                <w:sz w:val="16"/>
                <w:szCs w:val="16"/>
              </w:rPr>
              <w:t>111</w:t>
            </w:r>
          </w:p>
        </w:tc>
        <w:tc>
          <w:tcPr>
            <w:tcW w:w="708" w:type="dxa"/>
            <w:tcBorders>
              <w:top w:val="single" w:sz="4" w:space="0" w:color="auto"/>
              <w:left w:val="single" w:sz="4" w:space="0" w:color="auto"/>
              <w:bottom w:val="single" w:sz="4" w:space="0" w:color="auto"/>
              <w:right w:val="single" w:sz="4" w:space="0" w:color="auto"/>
            </w:tcBorders>
          </w:tcPr>
          <w:p w:rsidR="004D7EF9" w:rsidRPr="00164579" w:rsidRDefault="004D7EF9" w:rsidP="004D7EF9">
            <w:pPr>
              <w:tabs>
                <w:tab w:val="left" w:pos="0"/>
              </w:tabs>
              <w:contextualSpacing/>
              <w:jc w:val="center"/>
              <w:rPr>
                <w:iCs/>
                <w:noProof/>
                <w:sz w:val="16"/>
                <w:szCs w:val="16"/>
              </w:rPr>
            </w:pPr>
            <w:r w:rsidRPr="00164579">
              <w:rPr>
                <w:iCs/>
                <w:noProof/>
                <w:sz w:val="16"/>
                <w:szCs w:val="16"/>
              </w:rPr>
              <w:t>124</w:t>
            </w:r>
          </w:p>
        </w:tc>
        <w:tc>
          <w:tcPr>
            <w:tcW w:w="566" w:type="dxa"/>
            <w:tcBorders>
              <w:top w:val="single" w:sz="4" w:space="0" w:color="auto"/>
              <w:left w:val="single" w:sz="4" w:space="0" w:color="auto"/>
              <w:bottom w:val="single" w:sz="4" w:space="0" w:color="auto"/>
              <w:right w:val="single" w:sz="4" w:space="0" w:color="auto"/>
            </w:tcBorders>
          </w:tcPr>
          <w:p w:rsidR="004D7EF9" w:rsidRPr="0066038D" w:rsidRDefault="004D7EF9" w:rsidP="004D7EF9">
            <w:pPr>
              <w:tabs>
                <w:tab w:val="left" w:pos="0"/>
              </w:tabs>
              <w:contextualSpacing/>
              <w:jc w:val="center"/>
              <w:rPr>
                <w:iCs/>
                <w:noProof/>
                <w:sz w:val="16"/>
                <w:szCs w:val="16"/>
              </w:rPr>
            </w:pPr>
            <w:r w:rsidRPr="0066038D">
              <w:rPr>
                <w:iCs/>
                <w:noProof/>
                <w:sz w:val="16"/>
                <w:szCs w:val="16"/>
              </w:rPr>
              <w:t>3</w:t>
            </w:r>
          </w:p>
        </w:tc>
        <w:tc>
          <w:tcPr>
            <w:tcW w:w="566" w:type="dxa"/>
            <w:tcBorders>
              <w:top w:val="single" w:sz="4" w:space="0" w:color="auto"/>
              <w:left w:val="single" w:sz="4" w:space="0" w:color="auto"/>
              <w:bottom w:val="single" w:sz="4" w:space="0" w:color="auto"/>
              <w:right w:val="single" w:sz="4" w:space="0" w:color="auto"/>
            </w:tcBorders>
          </w:tcPr>
          <w:p w:rsidR="004D7EF9" w:rsidRPr="0066038D" w:rsidRDefault="004D7EF9" w:rsidP="004D7EF9">
            <w:pPr>
              <w:tabs>
                <w:tab w:val="left" w:pos="0"/>
              </w:tabs>
              <w:contextualSpacing/>
              <w:jc w:val="center"/>
              <w:rPr>
                <w:iCs/>
                <w:noProof/>
                <w:sz w:val="16"/>
                <w:szCs w:val="16"/>
              </w:rPr>
            </w:pPr>
            <w:r w:rsidRPr="0066038D">
              <w:rPr>
                <w:iCs/>
                <w:noProof/>
                <w:sz w:val="16"/>
                <w:szCs w:val="16"/>
              </w:rPr>
              <w:t>0</w:t>
            </w:r>
          </w:p>
        </w:tc>
        <w:tc>
          <w:tcPr>
            <w:tcW w:w="566" w:type="dxa"/>
            <w:tcBorders>
              <w:top w:val="single" w:sz="4" w:space="0" w:color="auto"/>
              <w:left w:val="single" w:sz="4" w:space="0" w:color="auto"/>
              <w:bottom w:val="single" w:sz="4" w:space="0" w:color="auto"/>
              <w:right w:val="single" w:sz="4" w:space="0" w:color="auto"/>
            </w:tcBorders>
          </w:tcPr>
          <w:p w:rsidR="004D7EF9" w:rsidRPr="00132D91" w:rsidRDefault="004D7EF9" w:rsidP="004D7EF9">
            <w:pPr>
              <w:tabs>
                <w:tab w:val="left" w:pos="0"/>
              </w:tabs>
              <w:contextualSpacing/>
              <w:jc w:val="center"/>
              <w:rPr>
                <w:iCs/>
                <w:noProof/>
                <w:sz w:val="16"/>
                <w:szCs w:val="16"/>
              </w:rPr>
            </w:pPr>
            <w:r w:rsidRPr="00132D91">
              <w:rPr>
                <w:iCs/>
                <w:noProof/>
                <w:sz w:val="16"/>
                <w:szCs w:val="16"/>
              </w:rPr>
              <w:t>40</w:t>
            </w:r>
          </w:p>
        </w:tc>
        <w:tc>
          <w:tcPr>
            <w:tcW w:w="566" w:type="dxa"/>
            <w:tcBorders>
              <w:top w:val="single" w:sz="4" w:space="0" w:color="auto"/>
              <w:left w:val="single" w:sz="4" w:space="0" w:color="auto"/>
              <w:bottom w:val="single" w:sz="4" w:space="0" w:color="auto"/>
              <w:right w:val="single" w:sz="4" w:space="0" w:color="auto"/>
            </w:tcBorders>
          </w:tcPr>
          <w:p w:rsidR="004D7EF9" w:rsidRPr="00132D91" w:rsidRDefault="004D7EF9" w:rsidP="004D7EF9">
            <w:pPr>
              <w:tabs>
                <w:tab w:val="left" w:pos="0"/>
              </w:tabs>
              <w:contextualSpacing/>
              <w:jc w:val="center"/>
              <w:rPr>
                <w:iCs/>
                <w:noProof/>
                <w:sz w:val="16"/>
                <w:szCs w:val="16"/>
              </w:rPr>
            </w:pPr>
            <w:r w:rsidRPr="00132D91">
              <w:rPr>
                <w:iCs/>
                <w:noProof/>
                <w:sz w:val="16"/>
                <w:szCs w:val="16"/>
              </w:rPr>
              <w:t>28</w:t>
            </w:r>
          </w:p>
        </w:tc>
        <w:tc>
          <w:tcPr>
            <w:tcW w:w="850" w:type="dxa"/>
            <w:tcBorders>
              <w:top w:val="single" w:sz="4" w:space="0" w:color="auto"/>
              <w:left w:val="single" w:sz="4" w:space="0" w:color="auto"/>
              <w:bottom w:val="single" w:sz="4" w:space="0" w:color="auto"/>
              <w:right w:val="single" w:sz="4" w:space="0" w:color="auto"/>
            </w:tcBorders>
          </w:tcPr>
          <w:p w:rsidR="004D7EF9" w:rsidRPr="004D7EF9" w:rsidRDefault="004D7EF9" w:rsidP="004D7EF9">
            <w:pPr>
              <w:tabs>
                <w:tab w:val="left" w:pos="0"/>
              </w:tabs>
              <w:contextualSpacing/>
              <w:jc w:val="center"/>
              <w:rPr>
                <w:b/>
                <w:iCs/>
                <w:noProof/>
                <w:sz w:val="16"/>
                <w:szCs w:val="16"/>
              </w:rPr>
            </w:pPr>
            <w:r>
              <w:rPr>
                <w:b/>
                <w:iCs/>
                <w:noProof/>
                <w:sz w:val="16"/>
                <w:szCs w:val="16"/>
              </w:rPr>
              <w:t>-10,5</w:t>
            </w:r>
            <w:r w:rsidRPr="004D7EF9">
              <w:rPr>
                <w:b/>
                <w:iCs/>
                <w:noProof/>
                <w:sz w:val="16"/>
                <w:szCs w:val="16"/>
              </w:rPr>
              <w:t>%</w:t>
            </w:r>
          </w:p>
        </w:tc>
        <w:tc>
          <w:tcPr>
            <w:tcW w:w="849" w:type="dxa"/>
            <w:tcBorders>
              <w:top w:val="single" w:sz="4" w:space="0" w:color="auto"/>
              <w:left w:val="single" w:sz="4" w:space="0" w:color="auto"/>
              <w:bottom w:val="single" w:sz="4" w:space="0" w:color="auto"/>
              <w:right w:val="single" w:sz="4" w:space="0" w:color="auto"/>
            </w:tcBorders>
          </w:tcPr>
          <w:p w:rsidR="004D7EF9" w:rsidRPr="004D7EF9" w:rsidRDefault="002818C3" w:rsidP="004D7EF9">
            <w:pPr>
              <w:tabs>
                <w:tab w:val="left" w:pos="0"/>
              </w:tabs>
              <w:contextualSpacing/>
              <w:jc w:val="center"/>
              <w:rPr>
                <w:b/>
                <w:iCs/>
                <w:noProof/>
                <w:sz w:val="16"/>
                <w:szCs w:val="16"/>
              </w:rPr>
            </w:pPr>
            <w:r>
              <w:rPr>
                <w:b/>
                <w:iCs/>
                <w:noProof/>
                <w:sz w:val="16"/>
                <w:szCs w:val="16"/>
              </w:rPr>
              <w:t>0</w:t>
            </w:r>
            <w:r w:rsidR="004D7EF9" w:rsidRPr="004D7EF9">
              <w:rPr>
                <w:b/>
                <w:iCs/>
                <w:noProof/>
                <w:sz w:val="16"/>
                <w:szCs w:val="16"/>
              </w:rPr>
              <w:t>%</w:t>
            </w:r>
          </w:p>
        </w:tc>
        <w:tc>
          <w:tcPr>
            <w:tcW w:w="710" w:type="dxa"/>
            <w:tcBorders>
              <w:top w:val="single" w:sz="4" w:space="0" w:color="auto"/>
              <w:left w:val="single" w:sz="4" w:space="0" w:color="auto"/>
              <w:bottom w:val="single" w:sz="4" w:space="0" w:color="auto"/>
              <w:right w:val="single" w:sz="4" w:space="0" w:color="auto"/>
            </w:tcBorders>
          </w:tcPr>
          <w:p w:rsidR="004D7EF9" w:rsidRPr="004D7EF9" w:rsidRDefault="00957FFE" w:rsidP="004D7EF9">
            <w:pPr>
              <w:tabs>
                <w:tab w:val="left" w:pos="0"/>
              </w:tabs>
              <w:contextualSpacing/>
              <w:jc w:val="center"/>
              <w:rPr>
                <w:b/>
                <w:iCs/>
                <w:noProof/>
                <w:sz w:val="16"/>
                <w:szCs w:val="16"/>
              </w:rPr>
            </w:pPr>
            <w:r>
              <w:rPr>
                <w:b/>
                <w:iCs/>
                <w:noProof/>
                <w:sz w:val="16"/>
                <w:szCs w:val="16"/>
              </w:rPr>
              <w:t>43</w:t>
            </w:r>
            <w:r w:rsidR="004D7EF9" w:rsidRPr="004D7EF9">
              <w:rPr>
                <w:b/>
                <w:iCs/>
                <w:noProof/>
                <w:sz w:val="16"/>
                <w:szCs w:val="16"/>
              </w:rPr>
              <w:t>%</w:t>
            </w:r>
          </w:p>
        </w:tc>
      </w:tr>
      <w:tr w:rsidR="004D7EF9" w:rsidRPr="007768FA" w:rsidTr="00735FAF">
        <w:trPr>
          <w:trHeight w:val="497"/>
        </w:trPr>
        <w:tc>
          <w:tcPr>
            <w:tcW w:w="1969" w:type="dxa"/>
            <w:tcBorders>
              <w:top w:val="single" w:sz="4" w:space="0" w:color="auto"/>
              <w:left w:val="single" w:sz="4" w:space="0" w:color="auto"/>
              <w:bottom w:val="single" w:sz="4" w:space="0" w:color="auto"/>
              <w:right w:val="single" w:sz="4" w:space="0" w:color="auto"/>
            </w:tcBorders>
          </w:tcPr>
          <w:p w:rsidR="004D7EF9" w:rsidRPr="007768FA" w:rsidRDefault="004D7EF9" w:rsidP="004D7EF9">
            <w:pPr>
              <w:tabs>
                <w:tab w:val="left" w:pos="0"/>
              </w:tabs>
              <w:contextualSpacing/>
              <w:rPr>
                <w:iCs/>
                <w:noProof/>
                <w:sz w:val="12"/>
                <w:szCs w:val="12"/>
              </w:rPr>
            </w:pPr>
            <w:r w:rsidRPr="007768FA">
              <w:rPr>
                <w:iCs/>
                <w:noProof/>
                <w:sz w:val="12"/>
                <w:szCs w:val="12"/>
              </w:rPr>
              <w:t>справи, що виникають з відносин публічної служби</w:t>
            </w:r>
          </w:p>
        </w:tc>
        <w:tc>
          <w:tcPr>
            <w:tcW w:w="723" w:type="dxa"/>
            <w:tcBorders>
              <w:top w:val="single" w:sz="4" w:space="0" w:color="auto"/>
              <w:left w:val="single" w:sz="4" w:space="0" w:color="auto"/>
              <w:bottom w:val="single" w:sz="4" w:space="0" w:color="auto"/>
              <w:right w:val="single" w:sz="4" w:space="0" w:color="auto"/>
            </w:tcBorders>
          </w:tcPr>
          <w:p w:rsidR="004D7EF9" w:rsidRPr="007768FA" w:rsidRDefault="004D7EF9" w:rsidP="004D7EF9">
            <w:pPr>
              <w:tabs>
                <w:tab w:val="left" w:pos="0"/>
              </w:tabs>
              <w:contextualSpacing/>
              <w:jc w:val="center"/>
              <w:rPr>
                <w:iCs/>
                <w:noProof/>
                <w:sz w:val="16"/>
                <w:szCs w:val="16"/>
              </w:rPr>
            </w:pPr>
            <w:r w:rsidRPr="007768FA">
              <w:rPr>
                <w:iCs/>
                <w:noProof/>
                <w:sz w:val="16"/>
                <w:szCs w:val="16"/>
              </w:rPr>
              <w:t>2251</w:t>
            </w:r>
          </w:p>
        </w:tc>
        <w:tc>
          <w:tcPr>
            <w:tcW w:w="729" w:type="dxa"/>
            <w:tcBorders>
              <w:top w:val="single" w:sz="4" w:space="0" w:color="auto"/>
              <w:left w:val="single" w:sz="4" w:space="0" w:color="auto"/>
              <w:bottom w:val="single" w:sz="4" w:space="0" w:color="auto"/>
              <w:right w:val="single" w:sz="4" w:space="0" w:color="auto"/>
            </w:tcBorders>
          </w:tcPr>
          <w:p w:rsidR="004D7EF9" w:rsidRPr="007768FA" w:rsidRDefault="004D7EF9" w:rsidP="004D7EF9">
            <w:pPr>
              <w:tabs>
                <w:tab w:val="left" w:pos="0"/>
              </w:tabs>
              <w:contextualSpacing/>
              <w:jc w:val="center"/>
              <w:rPr>
                <w:iCs/>
                <w:noProof/>
                <w:sz w:val="16"/>
                <w:szCs w:val="16"/>
              </w:rPr>
            </w:pPr>
            <w:r>
              <w:rPr>
                <w:iCs/>
                <w:noProof/>
                <w:sz w:val="16"/>
                <w:szCs w:val="16"/>
              </w:rPr>
              <w:t>2301</w:t>
            </w:r>
          </w:p>
        </w:tc>
        <w:tc>
          <w:tcPr>
            <w:tcW w:w="545" w:type="dxa"/>
            <w:tcBorders>
              <w:top w:val="single" w:sz="4" w:space="0" w:color="auto"/>
              <w:left w:val="single" w:sz="4" w:space="0" w:color="auto"/>
              <w:bottom w:val="single" w:sz="4" w:space="0" w:color="auto"/>
              <w:right w:val="single" w:sz="4" w:space="0" w:color="auto"/>
            </w:tcBorders>
          </w:tcPr>
          <w:p w:rsidR="004D7EF9" w:rsidRPr="00164579" w:rsidRDefault="004D7EF9" w:rsidP="004D7EF9">
            <w:pPr>
              <w:tabs>
                <w:tab w:val="left" w:pos="0"/>
              </w:tabs>
              <w:contextualSpacing/>
              <w:jc w:val="center"/>
              <w:rPr>
                <w:iCs/>
                <w:noProof/>
                <w:sz w:val="16"/>
                <w:szCs w:val="16"/>
              </w:rPr>
            </w:pPr>
            <w:r w:rsidRPr="00164579">
              <w:rPr>
                <w:iCs/>
                <w:noProof/>
                <w:sz w:val="16"/>
                <w:szCs w:val="16"/>
              </w:rPr>
              <w:t>1717</w:t>
            </w:r>
          </w:p>
        </w:tc>
        <w:tc>
          <w:tcPr>
            <w:tcW w:w="708" w:type="dxa"/>
            <w:tcBorders>
              <w:top w:val="single" w:sz="4" w:space="0" w:color="auto"/>
              <w:left w:val="single" w:sz="4" w:space="0" w:color="auto"/>
              <w:bottom w:val="single" w:sz="4" w:space="0" w:color="auto"/>
              <w:right w:val="single" w:sz="4" w:space="0" w:color="auto"/>
            </w:tcBorders>
          </w:tcPr>
          <w:p w:rsidR="004D7EF9" w:rsidRPr="00164579" w:rsidRDefault="004D7EF9" w:rsidP="004D7EF9">
            <w:pPr>
              <w:tabs>
                <w:tab w:val="left" w:pos="0"/>
              </w:tabs>
              <w:contextualSpacing/>
              <w:jc w:val="center"/>
              <w:rPr>
                <w:iCs/>
                <w:noProof/>
                <w:sz w:val="16"/>
                <w:szCs w:val="16"/>
              </w:rPr>
            </w:pPr>
            <w:r w:rsidRPr="00164579">
              <w:rPr>
                <w:iCs/>
                <w:noProof/>
                <w:sz w:val="16"/>
                <w:szCs w:val="16"/>
              </w:rPr>
              <w:t>1826</w:t>
            </w:r>
          </w:p>
        </w:tc>
        <w:tc>
          <w:tcPr>
            <w:tcW w:w="566" w:type="dxa"/>
            <w:tcBorders>
              <w:top w:val="single" w:sz="4" w:space="0" w:color="auto"/>
              <w:left w:val="single" w:sz="4" w:space="0" w:color="auto"/>
              <w:bottom w:val="single" w:sz="4" w:space="0" w:color="auto"/>
              <w:right w:val="single" w:sz="4" w:space="0" w:color="auto"/>
            </w:tcBorders>
          </w:tcPr>
          <w:p w:rsidR="004D7EF9" w:rsidRPr="0066038D" w:rsidRDefault="004D7EF9" w:rsidP="004D7EF9">
            <w:pPr>
              <w:tabs>
                <w:tab w:val="left" w:pos="0"/>
              </w:tabs>
              <w:contextualSpacing/>
              <w:jc w:val="center"/>
              <w:rPr>
                <w:iCs/>
                <w:noProof/>
                <w:sz w:val="16"/>
                <w:szCs w:val="16"/>
              </w:rPr>
            </w:pPr>
            <w:r w:rsidRPr="0066038D">
              <w:rPr>
                <w:iCs/>
                <w:noProof/>
                <w:sz w:val="16"/>
                <w:szCs w:val="16"/>
              </w:rPr>
              <w:t>75</w:t>
            </w:r>
          </w:p>
        </w:tc>
        <w:tc>
          <w:tcPr>
            <w:tcW w:w="566" w:type="dxa"/>
            <w:tcBorders>
              <w:top w:val="single" w:sz="4" w:space="0" w:color="auto"/>
              <w:left w:val="single" w:sz="4" w:space="0" w:color="auto"/>
              <w:bottom w:val="single" w:sz="4" w:space="0" w:color="auto"/>
              <w:right w:val="single" w:sz="4" w:space="0" w:color="auto"/>
            </w:tcBorders>
          </w:tcPr>
          <w:p w:rsidR="004D7EF9" w:rsidRPr="0066038D" w:rsidRDefault="004D7EF9" w:rsidP="004D7EF9">
            <w:pPr>
              <w:tabs>
                <w:tab w:val="left" w:pos="0"/>
              </w:tabs>
              <w:contextualSpacing/>
              <w:jc w:val="center"/>
              <w:rPr>
                <w:iCs/>
                <w:noProof/>
                <w:sz w:val="16"/>
                <w:szCs w:val="16"/>
              </w:rPr>
            </w:pPr>
            <w:r w:rsidRPr="0066038D">
              <w:rPr>
                <w:iCs/>
                <w:noProof/>
                <w:sz w:val="16"/>
                <w:szCs w:val="16"/>
              </w:rPr>
              <w:t>63</w:t>
            </w:r>
          </w:p>
        </w:tc>
        <w:tc>
          <w:tcPr>
            <w:tcW w:w="566" w:type="dxa"/>
            <w:tcBorders>
              <w:top w:val="single" w:sz="4" w:space="0" w:color="auto"/>
              <w:left w:val="single" w:sz="4" w:space="0" w:color="auto"/>
              <w:bottom w:val="single" w:sz="4" w:space="0" w:color="auto"/>
              <w:right w:val="single" w:sz="4" w:space="0" w:color="auto"/>
            </w:tcBorders>
          </w:tcPr>
          <w:p w:rsidR="004D7EF9" w:rsidRPr="00132D91" w:rsidRDefault="004D7EF9" w:rsidP="004D7EF9">
            <w:pPr>
              <w:tabs>
                <w:tab w:val="left" w:pos="0"/>
              </w:tabs>
              <w:contextualSpacing/>
              <w:jc w:val="center"/>
              <w:rPr>
                <w:iCs/>
                <w:noProof/>
                <w:sz w:val="16"/>
                <w:szCs w:val="16"/>
              </w:rPr>
            </w:pPr>
            <w:r w:rsidRPr="00132D91">
              <w:rPr>
                <w:iCs/>
                <w:noProof/>
                <w:sz w:val="16"/>
                <w:szCs w:val="16"/>
              </w:rPr>
              <w:t>459</w:t>
            </w:r>
          </w:p>
        </w:tc>
        <w:tc>
          <w:tcPr>
            <w:tcW w:w="566" w:type="dxa"/>
            <w:tcBorders>
              <w:top w:val="single" w:sz="4" w:space="0" w:color="auto"/>
              <w:left w:val="single" w:sz="4" w:space="0" w:color="auto"/>
              <w:bottom w:val="single" w:sz="4" w:space="0" w:color="auto"/>
              <w:right w:val="single" w:sz="4" w:space="0" w:color="auto"/>
            </w:tcBorders>
          </w:tcPr>
          <w:p w:rsidR="004D7EF9" w:rsidRPr="00132D91" w:rsidRDefault="004D7EF9" w:rsidP="004D7EF9">
            <w:pPr>
              <w:tabs>
                <w:tab w:val="left" w:pos="0"/>
              </w:tabs>
              <w:contextualSpacing/>
              <w:jc w:val="center"/>
              <w:rPr>
                <w:iCs/>
                <w:noProof/>
                <w:sz w:val="16"/>
                <w:szCs w:val="16"/>
              </w:rPr>
            </w:pPr>
            <w:r w:rsidRPr="00132D91">
              <w:rPr>
                <w:iCs/>
                <w:noProof/>
                <w:sz w:val="16"/>
                <w:szCs w:val="16"/>
              </w:rPr>
              <w:t>409</w:t>
            </w:r>
          </w:p>
        </w:tc>
        <w:tc>
          <w:tcPr>
            <w:tcW w:w="850" w:type="dxa"/>
            <w:tcBorders>
              <w:top w:val="single" w:sz="4" w:space="0" w:color="auto"/>
              <w:left w:val="single" w:sz="4" w:space="0" w:color="auto"/>
              <w:bottom w:val="single" w:sz="4" w:space="0" w:color="auto"/>
              <w:right w:val="single" w:sz="4" w:space="0" w:color="auto"/>
            </w:tcBorders>
          </w:tcPr>
          <w:p w:rsidR="004D7EF9" w:rsidRPr="004D7EF9" w:rsidRDefault="004D7EF9" w:rsidP="004D7EF9">
            <w:pPr>
              <w:tabs>
                <w:tab w:val="left" w:pos="0"/>
              </w:tabs>
              <w:contextualSpacing/>
              <w:jc w:val="center"/>
              <w:rPr>
                <w:b/>
                <w:iCs/>
                <w:noProof/>
                <w:sz w:val="16"/>
                <w:szCs w:val="16"/>
              </w:rPr>
            </w:pPr>
            <w:r>
              <w:rPr>
                <w:b/>
                <w:iCs/>
                <w:noProof/>
                <w:sz w:val="16"/>
                <w:szCs w:val="16"/>
              </w:rPr>
              <w:t>-6</w:t>
            </w:r>
            <w:r w:rsidRPr="004D7EF9">
              <w:rPr>
                <w:b/>
                <w:iCs/>
                <w:noProof/>
                <w:sz w:val="16"/>
                <w:szCs w:val="16"/>
              </w:rPr>
              <w:t>%</w:t>
            </w:r>
          </w:p>
        </w:tc>
        <w:tc>
          <w:tcPr>
            <w:tcW w:w="849" w:type="dxa"/>
            <w:tcBorders>
              <w:top w:val="single" w:sz="4" w:space="0" w:color="auto"/>
              <w:left w:val="single" w:sz="4" w:space="0" w:color="auto"/>
              <w:bottom w:val="single" w:sz="4" w:space="0" w:color="auto"/>
              <w:right w:val="single" w:sz="4" w:space="0" w:color="auto"/>
            </w:tcBorders>
          </w:tcPr>
          <w:p w:rsidR="004D7EF9" w:rsidRPr="004D7EF9" w:rsidRDefault="002818C3" w:rsidP="004D7EF9">
            <w:pPr>
              <w:tabs>
                <w:tab w:val="left" w:pos="0"/>
              </w:tabs>
              <w:contextualSpacing/>
              <w:jc w:val="center"/>
              <w:rPr>
                <w:b/>
                <w:iCs/>
                <w:noProof/>
                <w:sz w:val="16"/>
                <w:szCs w:val="16"/>
              </w:rPr>
            </w:pPr>
            <w:r>
              <w:rPr>
                <w:b/>
                <w:iCs/>
                <w:noProof/>
                <w:sz w:val="16"/>
                <w:szCs w:val="16"/>
              </w:rPr>
              <w:t>19</w:t>
            </w:r>
            <w:r w:rsidR="004D7EF9" w:rsidRPr="004D7EF9">
              <w:rPr>
                <w:b/>
                <w:iCs/>
                <w:noProof/>
                <w:sz w:val="16"/>
                <w:szCs w:val="16"/>
              </w:rPr>
              <w:t>%</w:t>
            </w:r>
          </w:p>
        </w:tc>
        <w:tc>
          <w:tcPr>
            <w:tcW w:w="710" w:type="dxa"/>
            <w:tcBorders>
              <w:top w:val="single" w:sz="4" w:space="0" w:color="auto"/>
              <w:left w:val="single" w:sz="4" w:space="0" w:color="auto"/>
              <w:bottom w:val="single" w:sz="4" w:space="0" w:color="auto"/>
              <w:right w:val="single" w:sz="4" w:space="0" w:color="auto"/>
            </w:tcBorders>
          </w:tcPr>
          <w:p w:rsidR="004D7EF9" w:rsidRPr="004D7EF9" w:rsidRDefault="00957FFE" w:rsidP="004D7EF9">
            <w:pPr>
              <w:tabs>
                <w:tab w:val="left" w:pos="0"/>
              </w:tabs>
              <w:contextualSpacing/>
              <w:jc w:val="center"/>
              <w:rPr>
                <w:b/>
                <w:iCs/>
                <w:noProof/>
                <w:sz w:val="16"/>
                <w:szCs w:val="16"/>
              </w:rPr>
            </w:pPr>
            <w:r>
              <w:rPr>
                <w:b/>
                <w:iCs/>
                <w:noProof/>
                <w:sz w:val="16"/>
                <w:szCs w:val="16"/>
              </w:rPr>
              <w:t>12,2</w:t>
            </w:r>
            <w:r w:rsidR="004D7EF9" w:rsidRPr="004D7EF9">
              <w:rPr>
                <w:b/>
                <w:iCs/>
                <w:noProof/>
                <w:sz w:val="16"/>
                <w:szCs w:val="16"/>
              </w:rPr>
              <w:t>%</w:t>
            </w:r>
          </w:p>
        </w:tc>
      </w:tr>
      <w:tr w:rsidR="004D7EF9" w:rsidRPr="007768FA" w:rsidTr="00735FAF">
        <w:trPr>
          <w:trHeight w:val="611"/>
        </w:trPr>
        <w:tc>
          <w:tcPr>
            <w:tcW w:w="1969" w:type="dxa"/>
            <w:tcBorders>
              <w:top w:val="single" w:sz="4" w:space="0" w:color="auto"/>
              <w:left w:val="single" w:sz="4" w:space="0" w:color="auto"/>
              <w:bottom w:val="single" w:sz="4" w:space="0" w:color="auto"/>
              <w:right w:val="single" w:sz="4" w:space="0" w:color="auto"/>
            </w:tcBorders>
          </w:tcPr>
          <w:p w:rsidR="004D7EF9" w:rsidRPr="007768FA" w:rsidRDefault="004D7EF9" w:rsidP="004D7EF9">
            <w:pPr>
              <w:tabs>
                <w:tab w:val="left" w:pos="0"/>
              </w:tabs>
              <w:contextualSpacing/>
              <w:rPr>
                <w:iCs/>
                <w:noProof/>
                <w:sz w:val="12"/>
                <w:szCs w:val="12"/>
              </w:rPr>
            </w:pPr>
            <w:r w:rsidRPr="007768FA">
              <w:rPr>
                <w:iCs/>
                <w:noProof/>
                <w:sz w:val="12"/>
                <w:szCs w:val="12"/>
              </w:rPr>
              <w:t>справи з приводу реалізації державної політики у сфері економіки та публічної фінансової політики</w:t>
            </w:r>
          </w:p>
        </w:tc>
        <w:tc>
          <w:tcPr>
            <w:tcW w:w="723" w:type="dxa"/>
            <w:tcBorders>
              <w:top w:val="single" w:sz="4" w:space="0" w:color="auto"/>
              <w:left w:val="single" w:sz="4" w:space="0" w:color="auto"/>
              <w:bottom w:val="single" w:sz="4" w:space="0" w:color="auto"/>
              <w:right w:val="single" w:sz="4" w:space="0" w:color="auto"/>
            </w:tcBorders>
          </w:tcPr>
          <w:p w:rsidR="004D7EF9" w:rsidRPr="007768FA" w:rsidRDefault="004D7EF9" w:rsidP="004D7EF9">
            <w:pPr>
              <w:tabs>
                <w:tab w:val="left" w:pos="0"/>
              </w:tabs>
              <w:contextualSpacing/>
              <w:jc w:val="center"/>
              <w:rPr>
                <w:iCs/>
                <w:noProof/>
                <w:sz w:val="16"/>
                <w:szCs w:val="16"/>
              </w:rPr>
            </w:pPr>
            <w:r w:rsidRPr="007768FA">
              <w:rPr>
                <w:iCs/>
                <w:noProof/>
                <w:sz w:val="16"/>
                <w:szCs w:val="16"/>
              </w:rPr>
              <w:t>736</w:t>
            </w:r>
          </w:p>
        </w:tc>
        <w:tc>
          <w:tcPr>
            <w:tcW w:w="729" w:type="dxa"/>
            <w:tcBorders>
              <w:top w:val="single" w:sz="4" w:space="0" w:color="auto"/>
              <w:left w:val="single" w:sz="4" w:space="0" w:color="auto"/>
              <w:bottom w:val="single" w:sz="4" w:space="0" w:color="auto"/>
              <w:right w:val="single" w:sz="4" w:space="0" w:color="auto"/>
            </w:tcBorders>
          </w:tcPr>
          <w:p w:rsidR="004D7EF9" w:rsidRPr="007768FA" w:rsidRDefault="004D7EF9" w:rsidP="004D7EF9">
            <w:pPr>
              <w:tabs>
                <w:tab w:val="left" w:pos="0"/>
              </w:tabs>
              <w:contextualSpacing/>
              <w:jc w:val="center"/>
              <w:rPr>
                <w:iCs/>
                <w:noProof/>
                <w:sz w:val="16"/>
                <w:szCs w:val="16"/>
              </w:rPr>
            </w:pPr>
            <w:r>
              <w:rPr>
                <w:iCs/>
                <w:noProof/>
                <w:sz w:val="16"/>
                <w:szCs w:val="16"/>
              </w:rPr>
              <w:t>712</w:t>
            </w:r>
          </w:p>
        </w:tc>
        <w:tc>
          <w:tcPr>
            <w:tcW w:w="545" w:type="dxa"/>
            <w:tcBorders>
              <w:top w:val="single" w:sz="4" w:space="0" w:color="auto"/>
              <w:left w:val="single" w:sz="4" w:space="0" w:color="auto"/>
              <w:bottom w:val="single" w:sz="4" w:space="0" w:color="auto"/>
              <w:right w:val="single" w:sz="4" w:space="0" w:color="auto"/>
            </w:tcBorders>
          </w:tcPr>
          <w:p w:rsidR="004D7EF9" w:rsidRPr="00164579" w:rsidRDefault="004D7EF9" w:rsidP="004D7EF9">
            <w:pPr>
              <w:tabs>
                <w:tab w:val="left" w:pos="0"/>
              </w:tabs>
              <w:contextualSpacing/>
              <w:jc w:val="center"/>
              <w:rPr>
                <w:iCs/>
                <w:noProof/>
                <w:sz w:val="16"/>
                <w:szCs w:val="16"/>
              </w:rPr>
            </w:pPr>
            <w:r w:rsidRPr="00164579">
              <w:rPr>
                <w:iCs/>
                <w:noProof/>
                <w:sz w:val="16"/>
                <w:szCs w:val="16"/>
              </w:rPr>
              <w:t>601</w:t>
            </w:r>
          </w:p>
        </w:tc>
        <w:tc>
          <w:tcPr>
            <w:tcW w:w="708" w:type="dxa"/>
            <w:tcBorders>
              <w:top w:val="single" w:sz="4" w:space="0" w:color="auto"/>
              <w:left w:val="single" w:sz="4" w:space="0" w:color="auto"/>
              <w:bottom w:val="single" w:sz="4" w:space="0" w:color="auto"/>
              <w:right w:val="single" w:sz="4" w:space="0" w:color="auto"/>
            </w:tcBorders>
          </w:tcPr>
          <w:p w:rsidR="004D7EF9" w:rsidRPr="00164579" w:rsidRDefault="004D7EF9" w:rsidP="004D7EF9">
            <w:pPr>
              <w:tabs>
                <w:tab w:val="left" w:pos="0"/>
              </w:tabs>
              <w:contextualSpacing/>
              <w:jc w:val="center"/>
              <w:rPr>
                <w:iCs/>
                <w:noProof/>
                <w:sz w:val="16"/>
                <w:szCs w:val="16"/>
              </w:rPr>
            </w:pPr>
            <w:r w:rsidRPr="00164579">
              <w:rPr>
                <w:iCs/>
                <w:noProof/>
                <w:sz w:val="16"/>
                <w:szCs w:val="16"/>
              </w:rPr>
              <w:t>619</w:t>
            </w:r>
          </w:p>
        </w:tc>
        <w:tc>
          <w:tcPr>
            <w:tcW w:w="566" w:type="dxa"/>
            <w:tcBorders>
              <w:top w:val="single" w:sz="4" w:space="0" w:color="auto"/>
              <w:left w:val="single" w:sz="4" w:space="0" w:color="auto"/>
              <w:bottom w:val="single" w:sz="4" w:space="0" w:color="auto"/>
              <w:right w:val="single" w:sz="4" w:space="0" w:color="auto"/>
            </w:tcBorders>
          </w:tcPr>
          <w:p w:rsidR="004D7EF9" w:rsidRPr="0066038D" w:rsidRDefault="004D7EF9" w:rsidP="004D7EF9">
            <w:pPr>
              <w:tabs>
                <w:tab w:val="left" w:pos="0"/>
              </w:tabs>
              <w:contextualSpacing/>
              <w:jc w:val="center"/>
              <w:rPr>
                <w:iCs/>
                <w:noProof/>
                <w:sz w:val="16"/>
                <w:szCs w:val="16"/>
              </w:rPr>
            </w:pPr>
            <w:r w:rsidRPr="0066038D">
              <w:rPr>
                <w:iCs/>
                <w:noProof/>
                <w:sz w:val="16"/>
                <w:szCs w:val="16"/>
              </w:rPr>
              <w:t>13</w:t>
            </w:r>
          </w:p>
        </w:tc>
        <w:tc>
          <w:tcPr>
            <w:tcW w:w="566" w:type="dxa"/>
            <w:tcBorders>
              <w:top w:val="single" w:sz="4" w:space="0" w:color="auto"/>
              <w:left w:val="single" w:sz="4" w:space="0" w:color="auto"/>
              <w:bottom w:val="single" w:sz="4" w:space="0" w:color="auto"/>
              <w:right w:val="single" w:sz="4" w:space="0" w:color="auto"/>
            </w:tcBorders>
          </w:tcPr>
          <w:p w:rsidR="004D7EF9" w:rsidRPr="0066038D" w:rsidRDefault="004D7EF9" w:rsidP="004D7EF9">
            <w:pPr>
              <w:tabs>
                <w:tab w:val="left" w:pos="0"/>
              </w:tabs>
              <w:contextualSpacing/>
              <w:jc w:val="center"/>
              <w:rPr>
                <w:iCs/>
                <w:noProof/>
                <w:sz w:val="16"/>
                <w:szCs w:val="16"/>
              </w:rPr>
            </w:pPr>
            <w:r w:rsidRPr="0066038D">
              <w:rPr>
                <w:iCs/>
                <w:noProof/>
                <w:sz w:val="16"/>
                <w:szCs w:val="16"/>
              </w:rPr>
              <w:t>15</w:t>
            </w:r>
          </w:p>
        </w:tc>
        <w:tc>
          <w:tcPr>
            <w:tcW w:w="566" w:type="dxa"/>
            <w:tcBorders>
              <w:top w:val="single" w:sz="4" w:space="0" w:color="auto"/>
              <w:left w:val="single" w:sz="4" w:space="0" w:color="auto"/>
              <w:bottom w:val="single" w:sz="4" w:space="0" w:color="auto"/>
              <w:right w:val="single" w:sz="4" w:space="0" w:color="auto"/>
            </w:tcBorders>
          </w:tcPr>
          <w:p w:rsidR="004D7EF9" w:rsidRPr="00132D91" w:rsidRDefault="004D7EF9" w:rsidP="004D7EF9">
            <w:pPr>
              <w:tabs>
                <w:tab w:val="left" w:pos="0"/>
              </w:tabs>
              <w:contextualSpacing/>
              <w:jc w:val="center"/>
              <w:rPr>
                <w:iCs/>
                <w:noProof/>
                <w:sz w:val="16"/>
                <w:szCs w:val="16"/>
              </w:rPr>
            </w:pPr>
            <w:r w:rsidRPr="00132D91">
              <w:rPr>
                <w:iCs/>
                <w:noProof/>
                <w:sz w:val="16"/>
                <w:szCs w:val="16"/>
              </w:rPr>
              <w:t>122</w:t>
            </w:r>
          </w:p>
        </w:tc>
        <w:tc>
          <w:tcPr>
            <w:tcW w:w="566" w:type="dxa"/>
            <w:tcBorders>
              <w:top w:val="single" w:sz="4" w:space="0" w:color="auto"/>
              <w:left w:val="single" w:sz="4" w:space="0" w:color="auto"/>
              <w:bottom w:val="single" w:sz="4" w:space="0" w:color="auto"/>
              <w:right w:val="single" w:sz="4" w:space="0" w:color="auto"/>
            </w:tcBorders>
          </w:tcPr>
          <w:p w:rsidR="004D7EF9" w:rsidRPr="00132D91" w:rsidRDefault="004D7EF9" w:rsidP="004D7EF9">
            <w:pPr>
              <w:tabs>
                <w:tab w:val="left" w:pos="0"/>
              </w:tabs>
              <w:contextualSpacing/>
              <w:jc w:val="center"/>
              <w:rPr>
                <w:iCs/>
                <w:noProof/>
                <w:sz w:val="16"/>
                <w:szCs w:val="16"/>
              </w:rPr>
            </w:pPr>
            <w:r w:rsidRPr="00132D91">
              <w:rPr>
                <w:iCs/>
                <w:noProof/>
                <w:sz w:val="16"/>
                <w:szCs w:val="16"/>
              </w:rPr>
              <w:t>77</w:t>
            </w:r>
          </w:p>
        </w:tc>
        <w:tc>
          <w:tcPr>
            <w:tcW w:w="850" w:type="dxa"/>
            <w:tcBorders>
              <w:top w:val="single" w:sz="4" w:space="0" w:color="auto"/>
              <w:left w:val="single" w:sz="4" w:space="0" w:color="auto"/>
              <w:bottom w:val="single" w:sz="4" w:space="0" w:color="auto"/>
              <w:right w:val="single" w:sz="4" w:space="0" w:color="auto"/>
            </w:tcBorders>
          </w:tcPr>
          <w:p w:rsidR="004D7EF9" w:rsidRPr="004D7EF9" w:rsidRDefault="004D7EF9" w:rsidP="004D7EF9">
            <w:pPr>
              <w:tabs>
                <w:tab w:val="left" w:pos="0"/>
              </w:tabs>
              <w:contextualSpacing/>
              <w:jc w:val="center"/>
              <w:rPr>
                <w:b/>
                <w:iCs/>
                <w:noProof/>
                <w:sz w:val="16"/>
                <w:szCs w:val="16"/>
              </w:rPr>
            </w:pPr>
            <w:r>
              <w:rPr>
                <w:b/>
                <w:iCs/>
                <w:noProof/>
                <w:sz w:val="16"/>
                <w:szCs w:val="16"/>
              </w:rPr>
              <w:t>-3</w:t>
            </w:r>
            <w:r w:rsidRPr="004D7EF9">
              <w:rPr>
                <w:b/>
                <w:iCs/>
                <w:noProof/>
                <w:sz w:val="16"/>
                <w:szCs w:val="16"/>
              </w:rPr>
              <w:t>%</w:t>
            </w:r>
          </w:p>
        </w:tc>
        <w:tc>
          <w:tcPr>
            <w:tcW w:w="849" w:type="dxa"/>
            <w:tcBorders>
              <w:top w:val="single" w:sz="4" w:space="0" w:color="auto"/>
              <w:left w:val="single" w:sz="4" w:space="0" w:color="auto"/>
              <w:bottom w:val="single" w:sz="4" w:space="0" w:color="auto"/>
              <w:right w:val="single" w:sz="4" w:space="0" w:color="auto"/>
            </w:tcBorders>
          </w:tcPr>
          <w:p w:rsidR="004D7EF9" w:rsidRPr="004D7EF9" w:rsidRDefault="002818C3" w:rsidP="004D7EF9">
            <w:pPr>
              <w:tabs>
                <w:tab w:val="left" w:pos="0"/>
              </w:tabs>
              <w:contextualSpacing/>
              <w:jc w:val="center"/>
              <w:rPr>
                <w:b/>
                <w:iCs/>
                <w:noProof/>
                <w:sz w:val="16"/>
                <w:szCs w:val="16"/>
              </w:rPr>
            </w:pPr>
            <w:r>
              <w:rPr>
                <w:b/>
                <w:iCs/>
                <w:noProof/>
                <w:sz w:val="16"/>
                <w:szCs w:val="16"/>
              </w:rPr>
              <w:t>-13</w:t>
            </w:r>
            <w:r w:rsidR="004D7EF9" w:rsidRPr="004D7EF9">
              <w:rPr>
                <w:b/>
                <w:iCs/>
                <w:noProof/>
                <w:sz w:val="16"/>
                <w:szCs w:val="16"/>
              </w:rPr>
              <w:t>%</w:t>
            </w:r>
          </w:p>
        </w:tc>
        <w:tc>
          <w:tcPr>
            <w:tcW w:w="710" w:type="dxa"/>
            <w:tcBorders>
              <w:top w:val="single" w:sz="4" w:space="0" w:color="auto"/>
              <w:left w:val="single" w:sz="4" w:space="0" w:color="auto"/>
              <w:bottom w:val="single" w:sz="4" w:space="0" w:color="auto"/>
              <w:right w:val="single" w:sz="4" w:space="0" w:color="auto"/>
            </w:tcBorders>
          </w:tcPr>
          <w:p w:rsidR="004D7EF9" w:rsidRPr="004D7EF9" w:rsidRDefault="00957FFE" w:rsidP="004D7EF9">
            <w:pPr>
              <w:tabs>
                <w:tab w:val="left" w:pos="0"/>
              </w:tabs>
              <w:contextualSpacing/>
              <w:jc w:val="center"/>
              <w:rPr>
                <w:b/>
                <w:iCs/>
                <w:noProof/>
                <w:sz w:val="16"/>
                <w:szCs w:val="16"/>
              </w:rPr>
            </w:pPr>
            <w:r>
              <w:rPr>
                <w:b/>
                <w:iCs/>
                <w:noProof/>
                <w:sz w:val="16"/>
                <w:szCs w:val="16"/>
              </w:rPr>
              <w:t>58,4</w:t>
            </w:r>
            <w:r w:rsidR="004D7EF9" w:rsidRPr="004D7EF9">
              <w:rPr>
                <w:b/>
                <w:iCs/>
                <w:noProof/>
                <w:sz w:val="16"/>
                <w:szCs w:val="16"/>
              </w:rPr>
              <w:t>%</w:t>
            </w:r>
          </w:p>
        </w:tc>
      </w:tr>
      <w:tr w:rsidR="004D7EF9" w:rsidRPr="007768FA" w:rsidTr="00735FAF">
        <w:trPr>
          <w:trHeight w:val="611"/>
        </w:trPr>
        <w:tc>
          <w:tcPr>
            <w:tcW w:w="1969" w:type="dxa"/>
            <w:tcBorders>
              <w:top w:val="single" w:sz="4" w:space="0" w:color="auto"/>
              <w:left w:val="single" w:sz="4" w:space="0" w:color="auto"/>
              <w:bottom w:val="single" w:sz="4" w:space="0" w:color="auto"/>
              <w:right w:val="single" w:sz="4" w:space="0" w:color="auto"/>
            </w:tcBorders>
          </w:tcPr>
          <w:p w:rsidR="004D7EF9" w:rsidRPr="007768FA" w:rsidRDefault="004D7EF9" w:rsidP="004D7EF9">
            <w:pPr>
              <w:tabs>
                <w:tab w:val="left" w:pos="0"/>
              </w:tabs>
              <w:contextualSpacing/>
              <w:rPr>
                <w:iCs/>
                <w:noProof/>
                <w:sz w:val="12"/>
                <w:szCs w:val="12"/>
              </w:rPr>
            </w:pPr>
            <w:r w:rsidRPr="007768FA">
              <w:rPr>
                <w:iCs/>
                <w:noProof/>
                <w:sz w:val="12"/>
                <w:szCs w:val="12"/>
              </w:rPr>
              <w:t>справи з приводу регулюванню містобудівної діяльності та землекористування</w:t>
            </w:r>
          </w:p>
        </w:tc>
        <w:tc>
          <w:tcPr>
            <w:tcW w:w="723" w:type="dxa"/>
            <w:tcBorders>
              <w:top w:val="single" w:sz="4" w:space="0" w:color="auto"/>
              <w:left w:val="single" w:sz="4" w:space="0" w:color="auto"/>
              <w:bottom w:val="single" w:sz="4" w:space="0" w:color="auto"/>
              <w:right w:val="single" w:sz="4" w:space="0" w:color="auto"/>
            </w:tcBorders>
          </w:tcPr>
          <w:p w:rsidR="004D7EF9" w:rsidRPr="007768FA" w:rsidRDefault="004D7EF9" w:rsidP="004D7EF9">
            <w:pPr>
              <w:tabs>
                <w:tab w:val="left" w:pos="0"/>
              </w:tabs>
              <w:contextualSpacing/>
              <w:jc w:val="center"/>
              <w:rPr>
                <w:iCs/>
                <w:noProof/>
                <w:sz w:val="16"/>
                <w:szCs w:val="16"/>
              </w:rPr>
            </w:pPr>
            <w:r w:rsidRPr="007768FA">
              <w:rPr>
                <w:iCs/>
                <w:noProof/>
                <w:sz w:val="16"/>
                <w:szCs w:val="16"/>
              </w:rPr>
              <w:t>149</w:t>
            </w:r>
          </w:p>
        </w:tc>
        <w:tc>
          <w:tcPr>
            <w:tcW w:w="729" w:type="dxa"/>
            <w:tcBorders>
              <w:top w:val="single" w:sz="4" w:space="0" w:color="auto"/>
              <w:left w:val="single" w:sz="4" w:space="0" w:color="auto"/>
              <w:bottom w:val="single" w:sz="4" w:space="0" w:color="auto"/>
              <w:right w:val="single" w:sz="4" w:space="0" w:color="auto"/>
            </w:tcBorders>
          </w:tcPr>
          <w:p w:rsidR="004D7EF9" w:rsidRPr="007768FA" w:rsidRDefault="004D7EF9" w:rsidP="004D7EF9">
            <w:pPr>
              <w:tabs>
                <w:tab w:val="left" w:pos="0"/>
              </w:tabs>
              <w:contextualSpacing/>
              <w:jc w:val="center"/>
              <w:rPr>
                <w:iCs/>
                <w:noProof/>
                <w:sz w:val="16"/>
                <w:szCs w:val="16"/>
              </w:rPr>
            </w:pPr>
            <w:r>
              <w:rPr>
                <w:iCs/>
                <w:noProof/>
                <w:sz w:val="16"/>
                <w:szCs w:val="16"/>
              </w:rPr>
              <w:t>106</w:t>
            </w:r>
          </w:p>
        </w:tc>
        <w:tc>
          <w:tcPr>
            <w:tcW w:w="545" w:type="dxa"/>
            <w:tcBorders>
              <w:top w:val="single" w:sz="4" w:space="0" w:color="auto"/>
              <w:left w:val="single" w:sz="4" w:space="0" w:color="auto"/>
              <w:bottom w:val="single" w:sz="4" w:space="0" w:color="auto"/>
              <w:right w:val="single" w:sz="4" w:space="0" w:color="auto"/>
            </w:tcBorders>
          </w:tcPr>
          <w:p w:rsidR="004D7EF9" w:rsidRPr="00164579" w:rsidRDefault="004D7EF9" w:rsidP="004D7EF9">
            <w:pPr>
              <w:tabs>
                <w:tab w:val="left" w:pos="0"/>
              </w:tabs>
              <w:contextualSpacing/>
              <w:jc w:val="center"/>
              <w:rPr>
                <w:iCs/>
                <w:noProof/>
                <w:sz w:val="16"/>
                <w:szCs w:val="16"/>
              </w:rPr>
            </w:pPr>
            <w:r w:rsidRPr="00164579">
              <w:rPr>
                <w:iCs/>
                <w:noProof/>
                <w:sz w:val="16"/>
                <w:szCs w:val="16"/>
              </w:rPr>
              <w:t>108</w:t>
            </w:r>
          </w:p>
        </w:tc>
        <w:tc>
          <w:tcPr>
            <w:tcW w:w="708" w:type="dxa"/>
            <w:tcBorders>
              <w:top w:val="single" w:sz="4" w:space="0" w:color="auto"/>
              <w:left w:val="single" w:sz="4" w:space="0" w:color="auto"/>
              <w:bottom w:val="single" w:sz="4" w:space="0" w:color="auto"/>
              <w:right w:val="single" w:sz="4" w:space="0" w:color="auto"/>
            </w:tcBorders>
          </w:tcPr>
          <w:p w:rsidR="004D7EF9" w:rsidRPr="00164579" w:rsidRDefault="004D7EF9" w:rsidP="004D7EF9">
            <w:pPr>
              <w:tabs>
                <w:tab w:val="left" w:pos="0"/>
              </w:tabs>
              <w:contextualSpacing/>
              <w:jc w:val="center"/>
              <w:rPr>
                <w:iCs/>
                <w:noProof/>
                <w:sz w:val="16"/>
                <w:szCs w:val="16"/>
              </w:rPr>
            </w:pPr>
            <w:r w:rsidRPr="00164579">
              <w:rPr>
                <w:iCs/>
                <w:noProof/>
                <w:sz w:val="16"/>
                <w:szCs w:val="16"/>
              </w:rPr>
              <w:t>78</w:t>
            </w:r>
          </w:p>
        </w:tc>
        <w:tc>
          <w:tcPr>
            <w:tcW w:w="566" w:type="dxa"/>
            <w:tcBorders>
              <w:top w:val="single" w:sz="4" w:space="0" w:color="auto"/>
              <w:left w:val="single" w:sz="4" w:space="0" w:color="auto"/>
              <w:bottom w:val="single" w:sz="4" w:space="0" w:color="auto"/>
              <w:right w:val="single" w:sz="4" w:space="0" w:color="auto"/>
            </w:tcBorders>
          </w:tcPr>
          <w:p w:rsidR="004D7EF9" w:rsidRPr="0066038D" w:rsidRDefault="004D7EF9" w:rsidP="004D7EF9">
            <w:pPr>
              <w:tabs>
                <w:tab w:val="left" w:pos="0"/>
              </w:tabs>
              <w:contextualSpacing/>
              <w:jc w:val="center"/>
              <w:rPr>
                <w:iCs/>
                <w:noProof/>
                <w:sz w:val="16"/>
                <w:szCs w:val="16"/>
              </w:rPr>
            </w:pPr>
            <w:r w:rsidRPr="0066038D">
              <w:rPr>
                <w:iCs/>
                <w:noProof/>
                <w:sz w:val="16"/>
                <w:szCs w:val="16"/>
              </w:rPr>
              <w:t>3</w:t>
            </w:r>
          </w:p>
        </w:tc>
        <w:tc>
          <w:tcPr>
            <w:tcW w:w="566" w:type="dxa"/>
            <w:tcBorders>
              <w:top w:val="single" w:sz="4" w:space="0" w:color="auto"/>
              <w:left w:val="single" w:sz="4" w:space="0" w:color="auto"/>
              <w:bottom w:val="single" w:sz="4" w:space="0" w:color="auto"/>
              <w:right w:val="single" w:sz="4" w:space="0" w:color="auto"/>
            </w:tcBorders>
          </w:tcPr>
          <w:p w:rsidR="004D7EF9" w:rsidRPr="0066038D" w:rsidRDefault="004D7EF9" w:rsidP="004D7EF9">
            <w:pPr>
              <w:tabs>
                <w:tab w:val="left" w:pos="0"/>
              </w:tabs>
              <w:contextualSpacing/>
              <w:jc w:val="center"/>
              <w:rPr>
                <w:iCs/>
                <w:noProof/>
                <w:sz w:val="16"/>
                <w:szCs w:val="16"/>
              </w:rPr>
            </w:pPr>
            <w:r w:rsidRPr="0066038D">
              <w:rPr>
                <w:iCs/>
                <w:noProof/>
                <w:sz w:val="16"/>
                <w:szCs w:val="16"/>
              </w:rPr>
              <w:t>4</w:t>
            </w:r>
          </w:p>
        </w:tc>
        <w:tc>
          <w:tcPr>
            <w:tcW w:w="566" w:type="dxa"/>
            <w:tcBorders>
              <w:top w:val="single" w:sz="4" w:space="0" w:color="auto"/>
              <w:left w:val="single" w:sz="4" w:space="0" w:color="auto"/>
              <w:bottom w:val="single" w:sz="4" w:space="0" w:color="auto"/>
              <w:right w:val="single" w:sz="4" w:space="0" w:color="auto"/>
            </w:tcBorders>
          </w:tcPr>
          <w:p w:rsidR="004D7EF9" w:rsidRPr="00132D91" w:rsidRDefault="004D7EF9" w:rsidP="004D7EF9">
            <w:pPr>
              <w:tabs>
                <w:tab w:val="left" w:pos="0"/>
              </w:tabs>
              <w:contextualSpacing/>
              <w:jc w:val="center"/>
              <w:rPr>
                <w:iCs/>
                <w:noProof/>
                <w:sz w:val="16"/>
                <w:szCs w:val="16"/>
              </w:rPr>
            </w:pPr>
            <w:r w:rsidRPr="00132D91">
              <w:rPr>
                <w:iCs/>
                <w:noProof/>
                <w:sz w:val="16"/>
                <w:szCs w:val="16"/>
              </w:rPr>
              <w:t>38</w:t>
            </w:r>
          </w:p>
        </w:tc>
        <w:tc>
          <w:tcPr>
            <w:tcW w:w="566" w:type="dxa"/>
            <w:tcBorders>
              <w:top w:val="single" w:sz="4" w:space="0" w:color="auto"/>
              <w:left w:val="single" w:sz="4" w:space="0" w:color="auto"/>
              <w:bottom w:val="single" w:sz="4" w:space="0" w:color="auto"/>
              <w:right w:val="single" w:sz="4" w:space="0" w:color="auto"/>
            </w:tcBorders>
          </w:tcPr>
          <w:p w:rsidR="004D7EF9" w:rsidRPr="00132D91" w:rsidRDefault="004D7EF9" w:rsidP="004D7EF9">
            <w:pPr>
              <w:tabs>
                <w:tab w:val="left" w:pos="0"/>
              </w:tabs>
              <w:contextualSpacing/>
              <w:jc w:val="center"/>
              <w:rPr>
                <w:iCs/>
                <w:noProof/>
                <w:sz w:val="16"/>
                <w:szCs w:val="16"/>
              </w:rPr>
            </w:pPr>
            <w:r w:rsidRPr="00132D91">
              <w:rPr>
                <w:iCs/>
                <w:noProof/>
                <w:sz w:val="16"/>
                <w:szCs w:val="16"/>
              </w:rPr>
              <w:t>23</w:t>
            </w:r>
          </w:p>
        </w:tc>
        <w:tc>
          <w:tcPr>
            <w:tcW w:w="850" w:type="dxa"/>
            <w:tcBorders>
              <w:top w:val="single" w:sz="4" w:space="0" w:color="auto"/>
              <w:left w:val="single" w:sz="4" w:space="0" w:color="auto"/>
              <w:bottom w:val="single" w:sz="4" w:space="0" w:color="auto"/>
              <w:right w:val="single" w:sz="4" w:space="0" w:color="auto"/>
            </w:tcBorders>
          </w:tcPr>
          <w:p w:rsidR="004D7EF9" w:rsidRPr="004D7EF9" w:rsidRDefault="004D7EF9" w:rsidP="004D7EF9">
            <w:pPr>
              <w:tabs>
                <w:tab w:val="left" w:pos="0"/>
              </w:tabs>
              <w:contextualSpacing/>
              <w:jc w:val="center"/>
              <w:rPr>
                <w:b/>
                <w:iCs/>
                <w:noProof/>
                <w:sz w:val="16"/>
                <w:szCs w:val="16"/>
              </w:rPr>
            </w:pPr>
            <w:r>
              <w:rPr>
                <w:b/>
                <w:iCs/>
                <w:noProof/>
                <w:sz w:val="16"/>
                <w:szCs w:val="16"/>
              </w:rPr>
              <w:t>38,5</w:t>
            </w:r>
            <w:r w:rsidRPr="004D7EF9">
              <w:rPr>
                <w:b/>
                <w:iCs/>
                <w:noProof/>
                <w:sz w:val="16"/>
                <w:szCs w:val="16"/>
              </w:rPr>
              <w:t>%</w:t>
            </w:r>
          </w:p>
        </w:tc>
        <w:tc>
          <w:tcPr>
            <w:tcW w:w="849" w:type="dxa"/>
            <w:tcBorders>
              <w:top w:val="single" w:sz="4" w:space="0" w:color="auto"/>
              <w:left w:val="single" w:sz="4" w:space="0" w:color="auto"/>
              <w:bottom w:val="single" w:sz="4" w:space="0" w:color="auto"/>
              <w:right w:val="single" w:sz="4" w:space="0" w:color="auto"/>
            </w:tcBorders>
          </w:tcPr>
          <w:p w:rsidR="004D7EF9" w:rsidRPr="004D7EF9" w:rsidRDefault="002818C3" w:rsidP="004D7EF9">
            <w:pPr>
              <w:tabs>
                <w:tab w:val="left" w:pos="0"/>
              </w:tabs>
              <w:contextualSpacing/>
              <w:jc w:val="center"/>
              <w:rPr>
                <w:b/>
                <w:iCs/>
                <w:noProof/>
                <w:sz w:val="16"/>
                <w:szCs w:val="16"/>
              </w:rPr>
            </w:pPr>
            <w:r>
              <w:rPr>
                <w:b/>
                <w:iCs/>
                <w:noProof/>
                <w:sz w:val="16"/>
                <w:szCs w:val="16"/>
              </w:rPr>
              <w:t>-25</w:t>
            </w:r>
            <w:r w:rsidR="004D7EF9" w:rsidRPr="004D7EF9">
              <w:rPr>
                <w:b/>
                <w:iCs/>
                <w:noProof/>
                <w:sz w:val="16"/>
                <w:szCs w:val="16"/>
              </w:rPr>
              <w:t>%</w:t>
            </w:r>
          </w:p>
        </w:tc>
        <w:tc>
          <w:tcPr>
            <w:tcW w:w="710" w:type="dxa"/>
            <w:tcBorders>
              <w:top w:val="single" w:sz="4" w:space="0" w:color="auto"/>
              <w:left w:val="single" w:sz="4" w:space="0" w:color="auto"/>
              <w:bottom w:val="single" w:sz="4" w:space="0" w:color="auto"/>
              <w:right w:val="single" w:sz="4" w:space="0" w:color="auto"/>
            </w:tcBorders>
          </w:tcPr>
          <w:p w:rsidR="004D7EF9" w:rsidRPr="004D7EF9" w:rsidRDefault="00957FFE" w:rsidP="004D7EF9">
            <w:pPr>
              <w:tabs>
                <w:tab w:val="left" w:pos="0"/>
              </w:tabs>
              <w:contextualSpacing/>
              <w:jc w:val="center"/>
              <w:rPr>
                <w:b/>
                <w:iCs/>
                <w:noProof/>
                <w:sz w:val="16"/>
                <w:szCs w:val="16"/>
              </w:rPr>
            </w:pPr>
            <w:r>
              <w:rPr>
                <w:b/>
                <w:iCs/>
                <w:noProof/>
                <w:sz w:val="16"/>
                <w:szCs w:val="16"/>
              </w:rPr>
              <w:t>65,2</w:t>
            </w:r>
            <w:r w:rsidR="004D7EF9" w:rsidRPr="004D7EF9">
              <w:rPr>
                <w:b/>
                <w:iCs/>
                <w:noProof/>
                <w:sz w:val="16"/>
                <w:szCs w:val="16"/>
              </w:rPr>
              <w:t>%</w:t>
            </w:r>
          </w:p>
        </w:tc>
      </w:tr>
      <w:tr w:rsidR="004D7EF9" w:rsidRPr="007768FA" w:rsidTr="00735FAF">
        <w:trPr>
          <w:trHeight w:val="331"/>
        </w:trPr>
        <w:tc>
          <w:tcPr>
            <w:tcW w:w="1969" w:type="dxa"/>
            <w:tcBorders>
              <w:top w:val="single" w:sz="4" w:space="0" w:color="auto"/>
              <w:left w:val="single" w:sz="4" w:space="0" w:color="auto"/>
              <w:bottom w:val="single" w:sz="4" w:space="0" w:color="auto"/>
              <w:right w:val="single" w:sz="4" w:space="0" w:color="auto"/>
            </w:tcBorders>
          </w:tcPr>
          <w:p w:rsidR="004D7EF9" w:rsidRPr="007768FA" w:rsidRDefault="004D7EF9" w:rsidP="004D7EF9">
            <w:pPr>
              <w:tabs>
                <w:tab w:val="left" w:pos="0"/>
              </w:tabs>
              <w:contextualSpacing/>
              <w:rPr>
                <w:iCs/>
                <w:noProof/>
                <w:sz w:val="12"/>
                <w:szCs w:val="12"/>
              </w:rPr>
            </w:pPr>
            <w:r w:rsidRPr="007768FA">
              <w:rPr>
                <w:iCs/>
                <w:noProof/>
                <w:sz w:val="12"/>
                <w:szCs w:val="12"/>
              </w:rPr>
              <w:t>справи з приводу охорони навколишнього природного середовища</w:t>
            </w:r>
          </w:p>
        </w:tc>
        <w:tc>
          <w:tcPr>
            <w:tcW w:w="723" w:type="dxa"/>
            <w:tcBorders>
              <w:top w:val="single" w:sz="4" w:space="0" w:color="auto"/>
              <w:left w:val="single" w:sz="4" w:space="0" w:color="auto"/>
              <w:bottom w:val="single" w:sz="4" w:space="0" w:color="auto"/>
              <w:right w:val="single" w:sz="4" w:space="0" w:color="auto"/>
            </w:tcBorders>
          </w:tcPr>
          <w:p w:rsidR="004D7EF9" w:rsidRPr="007768FA" w:rsidRDefault="004D7EF9" w:rsidP="004D7EF9">
            <w:pPr>
              <w:tabs>
                <w:tab w:val="left" w:pos="0"/>
              </w:tabs>
              <w:contextualSpacing/>
              <w:jc w:val="center"/>
              <w:rPr>
                <w:iCs/>
                <w:noProof/>
                <w:sz w:val="16"/>
                <w:szCs w:val="16"/>
              </w:rPr>
            </w:pPr>
            <w:r w:rsidRPr="007768FA">
              <w:rPr>
                <w:iCs/>
                <w:noProof/>
                <w:sz w:val="16"/>
                <w:szCs w:val="16"/>
              </w:rPr>
              <w:t>20</w:t>
            </w:r>
          </w:p>
        </w:tc>
        <w:tc>
          <w:tcPr>
            <w:tcW w:w="729" w:type="dxa"/>
            <w:tcBorders>
              <w:top w:val="single" w:sz="4" w:space="0" w:color="auto"/>
              <w:left w:val="single" w:sz="4" w:space="0" w:color="auto"/>
              <w:bottom w:val="single" w:sz="4" w:space="0" w:color="auto"/>
              <w:right w:val="single" w:sz="4" w:space="0" w:color="auto"/>
            </w:tcBorders>
          </w:tcPr>
          <w:p w:rsidR="004D7EF9" w:rsidRPr="007768FA" w:rsidRDefault="004D7EF9" w:rsidP="004D7EF9">
            <w:pPr>
              <w:tabs>
                <w:tab w:val="left" w:pos="0"/>
              </w:tabs>
              <w:contextualSpacing/>
              <w:jc w:val="center"/>
              <w:rPr>
                <w:iCs/>
                <w:noProof/>
                <w:sz w:val="16"/>
                <w:szCs w:val="16"/>
              </w:rPr>
            </w:pPr>
            <w:r>
              <w:rPr>
                <w:iCs/>
                <w:noProof/>
                <w:sz w:val="16"/>
                <w:szCs w:val="16"/>
              </w:rPr>
              <w:t>15</w:t>
            </w:r>
          </w:p>
        </w:tc>
        <w:tc>
          <w:tcPr>
            <w:tcW w:w="545" w:type="dxa"/>
            <w:tcBorders>
              <w:top w:val="single" w:sz="4" w:space="0" w:color="auto"/>
              <w:left w:val="single" w:sz="4" w:space="0" w:color="auto"/>
              <w:bottom w:val="single" w:sz="4" w:space="0" w:color="auto"/>
              <w:right w:val="single" w:sz="4" w:space="0" w:color="auto"/>
            </w:tcBorders>
          </w:tcPr>
          <w:p w:rsidR="004D7EF9" w:rsidRPr="00164579" w:rsidRDefault="004D7EF9" w:rsidP="004D7EF9">
            <w:pPr>
              <w:tabs>
                <w:tab w:val="left" w:pos="0"/>
              </w:tabs>
              <w:contextualSpacing/>
              <w:jc w:val="center"/>
              <w:rPr>
                <w:iCs/>
                <w:noProof/>
                <w:sz w:val="16"/>
                <w:szCs w:val="16"/>
              </w:rPr>
            </w:pPr>
            <w:r w:rsidRPr="00164579">
              <w:rPr>
                <w:iCs/>
                <w:noProof/>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4D7EF9" w:rsidRPr="00164579" w:rsidRDefault="004D7EF9" w:rsidP="004D7EF9">
            <w:pPr>
              <w:tabs>
                <w:tab w:val="left" w:pos="0"/>
              </w:tabs>
              <w:contextualSpacing/>
              <w:jc w:val="center"/>
              <w:rPr>
                <w:iCs/>
                <w:noProof/>
                <w:sz w:val="16"/>
                <w:szCs w:val="16"/>
              </w:rPr>
            </w:pPr>
            <w:r w:rsidRPr="00164579">
              <w:rPr>
                <w:iCs/>
                <w:noProof/>
                <w:sz w:val="16"/>
                <w:szCs w:val="16"/>
              </w:rPr>
              <w:t>9</w:t>
            </w:r>
          </w:p>
        </w:tc>
        <w:tc>
          <w:tcPr>
            <w:tcW w:w="566" w:type="dxa"/>
            <w:tcBorders>
              <w:top w:val="single" w:sz="4" w:space="0" w:color="auto"/>
              <w:left w:val="single" w:sz="4" w:space="0" w:color="auto"/>
              <w:bottom w:val="single" w:sz="4" w:space="0" w:color="auto"/>
              <w:right w:val="single" w:sz="4" w:space="0" w:color="auto"/>
            </w:tcBorders>
          </w:tcPr>
          <w:p w:rsidR="004D7EF9" w:rsidRPr="0066038D" w:rsidRDefault="004D7EF9" w:rsidP="004D7EF9">
            <w:pPr>
              <w:tabs>
                <w:tab w:val="left" w:pos="0"/>
              </w:tabs>
              <w:contextualSpacing/>
              <w:jc w:val="center"/>
              <w:rPr>
                <w:iCs/>
                <w:noProof/>
                <w:sz w:val="16"/>
                <w:szCs w:val="16"/>
              </w:rPr>
            </w:pPr>
            <w:r w:rsidRPr="0066038D">
              <w:rPr>
                <w:iCs/>
                <w:noProof/>
                <w:sz w:val="16"/>
                <w:szCs w:val="16"/>
              </w:rPr>
              <w:t>1</w:t>
            </w:r>
          </w:p>
        </w:tc>
        <w:tc>
          <w:tcPr>
            <w:tcW w:w="566" w:type="dxa"/>
            <w:tcBorders>
              <w:top w:val="single" w:sz="4" w:space="0" w:color="auto"/>
              <w:left w:val="single" w:sz="4" w:space="0" w:color="auto"/>
              <w:bottom w:val="single" w:sz="4" w:space="0" w:color="auto"/>
              <w:right w:val="single" w:sz="4" w:space="0" w:color="auto"/>
            </w:tcBorders>
          </w:tcPr>
          <w:p w:rsidR="004D7EF9" w:rsidRPr="0066038D" w:rsidRDefault="004D7EF9" w:rsidP="004D7EF9">
            <w:pPr>
              <w:tabs>
                <w:tab w:val="left" w:pos="0"/>
              </w:tabs>
              <w:contextualSpacing/>
              <w:jc w:val="center"/>
              <w:rPr>
                <w:iCs/>
                <w:noProof/>
                <w:sz w:val="16"/>
                <w:szCs w:val="16"/>
              </w:rPr>
            </w:pPr>
            <w:r w:rsidRPr="0066038D">
              <w:rPr>
                <w:iCs/>
                <w:noProof/>
                <w:sz w:val="16"/>
                <w:szCs w:val="16"/>
              </w:rPr>
              <w:t>0</w:t>
            </w:r>
          </w:p>
        </w:tc>
        <w:tc>
          <w:tcPr>
            <w:tcW w:w="566" w:type="dxa"/>
            <w:tcBorders>
              <w:top w:val="single" w:sz="4" w:space="0" w:color="auto"/>
              <w:left w:val="single" w:sz="4" w:space="0" w:color="auto"/>
              <w:bottom w:val="single" w:sz="4" w:space="0" w:color="auto"/>
              <w:right w:val="single" w:sz="4" w:space="0" w:color="auto"/>
            </w:tcBorders>
          </w:tcPr>
          <w:p w:rsidR="004D7EF9" w:rsidRPr="00132D91" w:rsidRDefault="004D7EF9" w:rsidP="004D7EF9">
            <w:pPr>
              <w:tabs>
                <w:tab w:val="left" w:pos="0"/>
              </w:tabs>
              <w:contextualSpacing/>
              <w:jc w:val="center"/>
              <w:rPr>
                <w:iCs/>
                <w:noProof/>
                <w:sz w:val="16"/>
                <w:szCs w:val="16"/>
              </w:rPr>
            </w:pPr>
            <w:r w:rsidRPr="00132D91">
              <w:rPr>
                <w:iCs/>
                <w:noProof/>
                <w:sz w:val="16"/>
                <w:szCs w:val="16"/>
              </w:rPr>
              <w:t>9</w:t>
            </w:r>
          </w:p>
        </w:tc>
        <w:tc>
          <w:tcPr>
            <w:tcW w:w="566" w:type="dxa"/>
            <w:tcBorders>
              <w:top w:val="single" w:sz="4" w:space="0" w:color="auto"/>
              <w:left w:val="single" w:sz="4" w:space="0" w:color="auto"/>
              <w:bottom w:val="single" w:sz="4" w:space="0" w:color="auto"/>
              <w:right w:val="single" w:sz="4" w:space="0" w:color="auto"/>
            </w:tcBorders>
          </w:tcPr>
          <w:p w:rsidR="004D7EF9" w:rsidRPr="00132D91" w:rsidRDefault="004D7EF9" w:rsidP="004D7EF9">
            <w:pPr>
              <w:tabs>
                <w:tab w:val="left" w:pos="0"/>
              </w:tabs>
              <w:contextualSpacing/>
              <w:jc w:val="center"/>
              <w:rPr>
                <w:iCs/>
                <w:noProof/>
                <w:sz w:val="16"/>
                <w:szCs w:val="16"/>
              </w:rPr>
            </w:pPr>
            <w:r w:rsidRPr="00132D91">
              <w:rPr>
                <w:iCs/>
                <w:noProof/>
                <w:sz w:val="16"/>
                <w:szCs w:val="16"/>
              </w:rPr>
              <w:t>6</w:t>
            </w:r>
          </w:p>
        </w:tc>
        <w:tc>
          <w:tcPr>
            <w:tcW w:w="850" w:type="dxa"/>
            <w:tcBorders>
              <w:top w:val="single" w:sz="4" w:space="0" w:color="auto"/>
              <w:left w:val="single" w:sz="4" w:space="0" w:color="auto"/>
              <w:bottom w:val="single" w:sz="4" w:space="0" w:color="auto"/>
              <w:right w:val="single" w:sz="4" w:space="0" w:color="auto"/>
            </w:tcBorders>
          </w:tcPr>
          <w:p w:rsidR="004D7EF9" w:rsidRPr="004D7EF9" w:rsidRDefault="004D7EF9" w:rsidP="004D7EF9">
            <w:pPr>
              <w:tabs>
                <w:tab w:val="left" w:pos="0"/>
              </w:tabs>
              <w:contextualSpacing/>
              <w:jc w:val="center"/>
              <w:rPr>
                <w:b/>
                <w:iCs/>
                <w:noProof/>
                <w:sz w:val="16"/>
                <w:szCs w:val="16"/>
              </w:rPr>
            </w:pPr>
            <w:r>
              <w:rPr>
                <w:b/>
                <w:iCs/>
                <w:noProof/>
                <w:sz w:val="16"/>
                <w:szCs w:val="16"/>
              </w:rPr>
              <w:t>11,1</w:t>
            </w:r>
            <w:r w:rsidRPr="004D7EF9">
              <w:rPr>
                <w:b/>
                <w:iCs/>
                <w:noProof/>
                <w:sz w:val="16"/>
                <w:szCs w:val="16"/>
              </w:rPr>
              <w:t>%</w:t>
            </w:r>
          </w:p>
        </w:tc>
        <w:tc>
          <w:tcPr>
            <w:tcW w:w="849" w:type="dxa"/>
            <w:tcBorders>
              <w:top w:val="single" w:sz="4" w:space="0" w:color="auto"/>
              <w:left w:val="single" w:sz="4" w:space="0" w:color="auto"/>
              <w:bottom w:val="single" w:sz="4" w:space="0" w:color="auto"/>
              <w:right w:val="single" w:sz="4" w:space="0" w:color="auto"/>
            </w:tcBorders>
          </w:tcPr>
          <w:p w:rsidR="004D7EF9" w:rsidRPr="004D7EF9" w:rsidRDefault="002818C3" w:rsidP="004D7EF9">
            <w:pPr>
              <w:tabs>
                <w:tab w:val="left" w:pos="0"/>
              </w:tabs>
              <w:contextualSpacing/>
              <w:jc w:val="center"/>
              <w:rPr>
                <w:b/>
                <w:iCs/>
                <w:noProof/>
                <w:sz w:val="16"/>
                <w:szCs w:val="16"/>
              </w:rPr>
            </w:pPr>
            <w:r>
              <w:rPr>
                <w:b/>
                <w:iCs/>
                <w:noProof/>
                <w:sz w:val="16"/>
                <w:szCs w:val="16"/>
              </w:rPr>
              <w:t>0</w:t>
            </w:r>
            <w:r w:rsidR="004D7EF9" w:rsidRPr="004D7EF9">
              <w:rPr>
                <w:b/>
                <w:iCs/>
                <w:noProof/>
                <w:sz w:val="16"/>
                <w:szCs w:val="16"/>
              </w:rPr>
              <w:t>%</w:t>
            </w:r>
          </w:p>
        </w:tc>
        <w:tc>
          <w:tcPr>
            <w:tcW w:w="710" w:type="dxa"/>
            <w:tcBorders>
              <w:top w:val="single" w:sz="4" w:space="0" w:color="auto"/>
              <w:left w:val="single" w:sz="4" w:space="0" w:color="auto"/>
              <w:bottom w:val="single" w:sz="4" w:space="0" w:color="auto"/>
              <w:right w:val="single" w:sz="4" w:space="0" w:color="auto"/>
            </w:tcBorders>
          </w:tcPr>
          <w:p w:rsidR="004D7EF9" w:rsidRPr="004D7EF9" w:rsidRDefault="00957FFE" w:rsidP="004D7EF9">
            <w:pPr>
              <w:tabs>
                <w:tab w:val="left" w:pos="0"/>
              </w:tabs>
              <w:contextualSpacing/>
              <w:jc w:val="center"/>
              <w:rPr>
                <w:b/>
                <w:iCs/>
                <w:noProof/>
                <w:sz w:val="16"/>
                <w:szCs w:val="16"/>
              </w:rPr>
            </w:pPr>
            <w:r>
              <w:rPr>
                <w:b/>
                <w:iCs/>
                <w:noProof/>
                <w:sz w:val="16"/>
                <w:szCs w:val="16"/>
              </w:rPr>
              <w:t>50</w:t>
            </w:r>
            <w:r w:rsidR="004D7EF9" w:rsidRPr="004D7EF9">
              <w:rPr>
                <w:b/>
                <w:iCs/>
                <w:noProof/>
                <w:sz w:val="16"/>
                <w:szCs w:val="16"/>
              </w:rPr>
              <w:t>%</w:t>
            </w:r>
          </w:p>
        </w:tc>
      </w:tr>
      <w:tr w:rsidR="004D7EF9" w:rsidRPr="007768FA" w:rsidTr="00735FAF">
        <w:trPr>
          <w:trHeight w:val="611"/>
        </w:trPr>
        <w:tc>
          <w:tcPr>
            <w:tcW w:w="1969" w:type="dxa"/>
            <w:tcBorders>
              <w:top w:val="single" w:sz="4" w:space="0" w:color="auto"/>
              <w:left w:val="single" w:sz="4" w:space="0" w:color="auto"/>
              <w:bottom w:val="single" w:sz="4" w:space="0" w:color="auto"/>
              <w:right w:val="single" w:sz="4" w:space="0" w:color="auto"/>
            </w:tcBorders>
            <w:shd w:val="clear" w:color="auto" w:fill="FFFFFF" w:themeFill="background1"/>
          </w:tcPr>
          <w:p w:rsidR="004D7EF9" w:rsidRPr="007768FA" w:rsidRDefault="004D7EF9" w:rsidP="004D7EF9">
            <w:pPr>
              <w:tabs>
                <w:tab w:val="left" w:pos="0"/>
              </w:tabs>
              <w:contextualSpacing/>
              <w:rPr>
                <w:iCs/>
                <w:noProof/>
                <w:sz w:val="12"/>
                <w:szCs w:val="12"/>
              </w:rPr>
            </w:pPr>
            <w:r w:rsidRPr="007768FA">
              <w:rPr>
                <w:iCs/>
                <w:noProof/>
                <w:sz w:val="12"/>
                <w:szCs w:val="12"/>
              </w:rPr>
              <w:t>справи з приводу адміністрування податків, зборів, платежів, а також контролю за дотриманням вимог податкового законодавства</w:t>
            </w:r>
          </w:p>
        </w:tc>
        <w:tc>
          <w:tcPr>
            <w:tcW w:w="723" w:type="dxa"/>
            <w:tcBorders>
              <w:top w:val="single" w:sz="4" w:space="0" w:color="auto"/>
              <w:left w:val="single" w:sz="4" w:space="0" w:color="auto"/>
              <w:bottom w:val="single" w:sz="4" w:space="0" w:color="auto"/>
              <w:right w:val="single" w:sz="4" w:space="0" w:color="auto"/>
            </w:tcBorders>
            <w:shd w:val="clear" w:color="auto" w:fill="FFFFFF" w:themeFill="background1"/>
          </w:tcPr>
          <w:p w:rsidR="004D7EF9" w:rsidRPr="001C010B" w:rsidRDefault="004D7EF9" w:rsidP="004D7EF9">
            <w:pPr>
              <w:tabs>
                <w:tab w:val="left" w:pos="0"/>
              </w:tabs>
              <w:contextualSpacing/>
              <w:jc w:val="center"/>
              <w:rPr>
                <w:iCs/>
                <w:noProof/>
                <w:sz w:val="16"/>
                <w:szCs w:val="16"/>
              </w:rPr>
            </w:pPr>
            <w:r w:rsidRPr="001C010B">
              <w:rPr>
                <w:iCs/>
                <w:noProof/>
                <w:sz w:val="16"/>
                <w:szCs w:val="16"/>
              </w:rPr>
              <w:t>2672</w:t>
            </w:r>
          </w:p>
        </w:tc>
        <w:tc>
          <w:tcPr>
            <w:tcW w:w="729" w:type="dxa"/>
            <w:tcBorders>
              <w:top w:val="single" w:sz="4" w:space="0" w:color="auto"/>
              <w:left w:val="single" w:sz="4" w:space="0" w:color="auto"/>
              <w:bottom w:val="single" w:sz="4" w:space="0" w:color="auto"/>
              <w:right w:val="single" w:sz="4" w:space="0" w:color="auto"/>
            </w:tcBorders>
            <w:shd w:val="clear" w:color="auto" w:fill="FFFFFF" w:themeFill="background1"/>
          </w:tcPr>
          <w:p w:rsidR="004D7EF9" w:rsidRPr="001C010B" w:rsidRDefault="004D7EF9" w:rsidP="004D7EF9">
            <w:pPr>
              <w:tabs>
                <w:tab w:val="left" w:pos="0"/>
              </w:tabs>
              <w:contextualSpacing/>
              <w:jc w:val="center"/>
              <w:rPr>
                <w:iCs/>
                <w:noProof/>
                <w:sz w:val="16"/>
                <w:szCs w:val="16"/>
              </w:rPr>
            </w:pPr>
            <w:r w:rsidRPr="001C010B">
              <w:rPr>
                <w:iCs/>
                <w:noProof/>
                <w:sz w:val="16"/>
                <w:szCs w:val="16"/>
              </w:rPr>
              <w:t>2743</w:t>
            </w:r>
          </w:p>
        </w:tc>
        <w:tc>
          <w:tcPr>
            <w:tcW w:w="545" w:type="dxa"/>
            <w:tcBorders>
              <w:top w:val="single" w:sz="4" w:space="0" w:color="auto"/>
              <w:left w:val="single" w:sz="4" w:space="0" w:color="auto"/>
              <w:bottom w:val="single" w:sz="4" w:space="0" w:color="auto"/>
              <w:right w:val="single" w:sz="4" w:space="0" w:color="auto"/>
            </w:tcBorders>
            <w:shd w:val="clear" w:color="auto" w:fill="FFFFFF" w:themeFill="background1"/>
          </w:tcPr>
          <w:p w:rsidR="004D7EF9" w:rsidRPr="00164579" w:rsidRDefault="004D7EF9" w:rsidP="004D7EF9">
            <w:pPr>
              <w:tabs>
                <w:tab w:val="left" w:pos="0"/>
              </w:tabs>
              <w:contextualSpacing/>
              <w:jc w:val="center"/>
              <w:rPr>
                <w:iCs/>
                <w:noProof/>
                <w:sz w:val="16"/>
                <w:szCs w:val="16"/>
              </w:rPr>
            </w:pPr>
            <w:r w:rsidRPr="00164579">
              <w:rPr>
                <w:iCs/>
                <w:noProof/>
                <w:sz w:val="16"/>
                <w:szCs w:val="16"/>
              </w:rPr>
              <w:t>2204</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4D7EF9" w:rsidRPr="00164579" w:rsidRDefault="004D7EF9" w:rsidP="004D7EF9">
            <w:pPr>
              <w:tabs>
                <w:tab w:val="left" w:pos="0"/>
              </w:tabs>
              <w:contextualSpacing/>
              <w:jc w:val="center"/>
              <w:rPr>
                <w:iCs/>
                <w:noProof/>
                <w:sz w:val="16"/>
                <w:szCs w:val="16"/>
              </w:rPr>
            </w:pPr>
            <w:r w:rsidRPr="00164579">
              <w:rPr>
                <w:iCs/>
                <w:noProof/>
                <w:sz w:val="16"/>
                <w:szCs w:val="16"/>
              </w:rPr>
              <w:t>2342</w:t>
            </w:r>
          </w:p>
        </w:tc>
        <w:tc>
          <w:tcPr>
            <w:tcW w:w="566" w:type="dxa"/>
            <w:tcBorders>
              <w:top w:val="single" w:sz="4" w:space="0" w:color="auto"/>
              <w:left w:val="single" w:sz="4" w:space="0" w:color="auto"/>
              <w:bottom w:val="single" w:sz="4" w:space="0" w:color="auto"/>
              <w:right w:val="single" w:sz="4" w:space="0" w:color="auto"/>
            </w:tcBorders>
            <w:shd w:val="clear" w:color="auto" w:fill="FFFFFF" w:themeFill="background1"/>
          </w:tcPr>
          <w:p w:rsidR="004D7EF9" w:rsidRPr="0066038D" w:rsidRDefault="004D7EF9" w:rsidP="004D7EF9">
            <w:pPr>
              <w:tabs>
                <w:tab w:val="left" w:pos="0"/>
              </w:tabs>
              <w:contextualSpacing/>
              <w:jc w:val="center"/>
              <w:rPr>
                <w:iCs/>
                <w:noProof/>
                <w:sz w:val="16"/>
                <w:szCs w:val="16"/>
              </w:rPr>
            </w:pPr>
            <w:r w:rsidRPr="0066038D">
              <w:rPr>
                <w:iCs/>
                <w:noProof/>
                <w:sz w:val="16"/>
                <w:szCs w:val="16"/>
              </w:rPr>
              <w:t>51</w:t>
            </w:r>
          </w:p>
        </w:tc>
        <w:tc>
          <w:tcPr>
            <w:tcW w:w="566" w:type="dxa"/>
            <w:tcBorders>
              <w:top w:val="single" w:sz="4" w:space="0" w:color="auto"/>
              <w:left w:val="single" w:sz="4" w:space="0" w:color="auto"/>
              <w:bottom w:val="single" w:sz="4" w:space="0" w:color="auto"/>
              <w:right w:val="single" w:sz="4" w:space="0" w:color="auto"/>
            </w:tcBorders>
            <w:shd w:val="clear" w:color="auto" w:fill="FFFFFF" w:themeFill="background1"/>
          </w:tcPr>
          <w:p w:rsidR="004D7EF9" w:rsidRPr="0066038D" w:rsidRDefault="004D7EF9" w:rsidP="004D7EF9">
            <w:pPr>
              <w:tabs>
                <w:tab w:val="left" w:pos="0"/>
              </w:tabs>
              <w:contextualSpacing/>
              <w:jc w:val="center"/>
              <w:rPr>
                <w:iCs/>
                <w:noProof/>
                <w:sz w:val="16"/>
                <w:szCs w:val="16"/>
              </w:rPr>
            </w:pPr>
            <w:r w:rsidRPr="0066038D">
              <w:rPr>
                <w:iCs/>
                <w:noProof/>
                <w:sz w:val="16"/>
                <w:szCs w:val="16"/>
              </w:rPr>
              <w:t>35</w:t>
            </w:r>
          </w:p>
        </w:tc>
        <w:tc>
          <w:tcPr>
            <w:tcW w:w="566" w:type="dxa"/>
            <w:tcBorders>
              <w:top w:val="single" w:sz="4" w:space="0" w:color="auto"/>
              <w:left w:val="single" w:sz="4" w:space="0" w:color="auto"/>
              <w:bottom w:val="single" w:sz="4" w:space="0" w:color="auto"/>
              <w:right w:val="single" w:sz="4" w:space="0" w:color="auto"/>
            </w:tcBorders>
            <w:shd w:val="clear" w:color="auto" w:fill="FFFFFF" w:themeFill="background1"/>
          </w:tcPr>
          <w:p w:rsidR="004D7EF9" w:rsidRPr="00132D91" w:rsidRDefault="004D7EF9" w:rsidP="004D7EF9">
            <w:pPr>
              <w:tabs>
                <w:tab w:val="left" w:pos="0"/>
              </w:tabs>
              <w:contextualSpacing/>
              <w:jc w:val="center"/>
              <w:rPr>
                <w:iCs/>
                <w:noProof/>
                <w:sz w:val="16"/>
                <w:szCs w:val="16"/>
              </w:rPr>
            </w:pPr>
            <w:r w:rsidRPr="00132D91">
              <w:rPr>
                <w:iCs/>
                <w:noProof/>
                <w:sz w:val="16"/>
                <w:szCs w:val="16"/>
              </w:rPr>
              <w:t>417</w:t>
            </w:r>
          </w:p>
        </w:tc>
        <w:tc>
          <w:tcPr>
            <w:tcW w:w="566" w:type="dxa"/>
            <w:tcBorders>
              <w:top w:val="single" w:sz="4" w:space="0" w:color="auto"/>
              <w:left w:val="single" w:sz="4" w:space="0" w:color="auto"/>
              <w:bottom w:val="single" w:sz="4" w:space="0" w:color="auto"/>
              <w:right w:val="single" w:sz="4" w:space="0" w:color="auto"/>
            </w:tcBorders>
            <w:shd w:val="clear" w:color="auto" w:fill="FFFFFF" w:themeFill="background1"/>
          </w:tcPr>
          <w:p w:rsidR="004D7EF9" w:rsidRPr="00132D91" w:rsidRDefault="004D7EF9" w:rsidP="004D7EF9">
            <w:pPr>
              <w:tabs>
                <w:tab w:val="left" w:pos="0"/>
              </w:tabs>
              <w:contextualSpacing/>
              <w:jc w:val="center"/>
              <w:rPr>
                <w:iCs/>
                <w:noProof/>
                <w:sz w:val="16"/>
                <w:szCs w:val="16"/>
              </w:rPr>
            </w:pPr>
            <w:r w:rsidRPr="00132D91">
              <w:rPr>
                <w:iCs/>
                <w:noProof/>
                <w:sz w:val="16"/>
                <w:szCs w:val="16"/>
              </w:rPr>
              <w:t>360</w:t>
            </w:r>
          </w:p>
        </w:tc>
        <w:tc>
          <w:tcPr>
            <w:tcW w:w="850" w:type="dxa"/>
            <w:tcBorders>
              <w:top w:val="single" w:sz="4" w:space="0" w:color="auto"/>
              <w:left w:val="single" w:sz="4" w:space="0" w:color="auto"/>
              <w:bottom w:val="single" w:sz="4" w:space="0" w:color="auto"/>
              <w:right w:val="single" w:sz="4" w:space="0" w:color="auto"/>
            </w:tcBorders>
          </w:tcPr>
          <w:p w:rsidR="004D7EF9" w:rsidRPr="004D7EF9" w:rsidRDefault="004D7EF9" w:rsidP="004D7EF9">
            <w:pPr>
              <w:tabs>
                <w:tab w:val="left" w:pos="0"/>
              </w:tabs>
              <w:contextualSpacing/>
              <w:jc w:val="center"/>
              <w:rPr>
                <w:b/>
                <w:iCs/>
                <w:noProof/>
                <w:sz w:val="16"/>
                <w:szCs w:val="16"/>
              </w:rPr>
            </w:pPr>
            <w:r>
              <w:rPr>
                <w:b/>
                <w:iCs/>
                <w:noProof/>
                <w:sz w:val="16"/>
                <w:szCs w:val="16"/>
              </w:rPr>
              <w:t>-6</w:t>
            </w:r>
            <w:r w:rsidRPr="004D7EF9">
              <w:rPr>
                <w:b/>
                <w:iCs/>
                <w:noProof/>
                <w:sz w:val="16"/>
                <w:szCs w:val="16"/>
              </w:rPr>
              <w:t>%</w:t>
            </w:r>
          </w:p>
        </w:tc>
        <w:tc>
          <w:tcPr>
            <w:tcW w:w="849" w:type="dxa"/>
            <w:tcBorders>
              <w:top w:val="single" w:sz="4" w:space="0" w:color="auto"/>
              <w:left w:val="single" w:sz="4" w:space="0" w:color="auto"/>
              <w:bottom w:val="single" w:sz="4" w:space="0" w:color="auto"/>
              <w:right w:val="single" w:sz="4" w:space="0" w:color="auto"/>
            </w:tcBorders>
          </w:tcPr>
          <w:p w:rsidR="004D7EF9" w:rsidRPr="004D7EF9" w:rsidRDefault="002818C3" w:rsidP="004D7EF9">
            <w:pPr>
              <w:tabs>
                <w:tab w:val="left" w:pos="0"/>
              </w:tabs>
              <w:contextualSpacing/>
              <w:jc w:val="center"/>
              <w:rPr>
                <w:b/>
                <w:iCs/>
                <w:noProof/>
                <w:sz w:val="16"/>
                <w:szCs w:val="16"/>
              </w:rPr>
            </w:pPr>
            <w:r>
              <w:rPr>
                <w:b/>
                <w:iCs/>
                <w:noProof/>
                <w:sz w:val="16"/>
                <w:szCs w:val="16"/>
              </w:rPr>
              <w:t>45,7</w:t>
            </w:r>
            <w:r w:rsidR="004D7EF9" w:rsidRPr="004D7EF9">
              <w:rPr>
                <w:b/>
                <w:iCs/>
                <w:noProof/>
                <w:sz w:val="16"/>
                <w:szCs w:val="16"/>
              </w:rPr>
              <w:t>%</w:t>
            </w:r>
          </w:p>
        </w:tc>
        <w:tc>
          <w:tcPr>
            <w:tcW w:w="710" w:type="dxa"/>
            <w:tcBorders>
              <w:top w:val="single" w:sz="4" w:space="0" w:color="auto"/>
              <w:left w:val="single" w:sz="4" w:space="0" w:color="auto"/>
              <w:bottom w:val="single" w:sz="4" w:space="0" w:color="auto"/>
              <w:right w:val="single" w:sz="4" w:space="0" w:color="auto"/>
            </w:tcBorders>
          </w:tcPr>
          <w:p w:rsidR="004D7EF9" w:rsidRPr="004D7EF9" w:rsidRDefault="00957FFE" w:rsidP="004D7EF9">
            <w:pPr>
              <w:tabs>
                <w:tab w:val="left" w:pos="0"/>
              </w:tabs>
              <w:contextualSpacing/>
              <w:jc w:val="center"/>
              <w:rPr>
                <w:b/>
                <w:iCs/>
                <w:noProof/>
                <w:sz w:val="16"/>
                <w:szCs w:val="16"/>
              </w:rPr>
            </w:pPr>
            <w:r>
              <w:rPr>
                <w:b/>
                <w:iCs/>
                <w:noProof/>
                <w:sz w:val="16"/>
                <w:szCs w:val="16"/>
              </w:rPr>
              <w:t>15,8</w:t>
            </w:r>
            <w:r w:rsidR="004D7EF9" w:rsidRPr="004D7EF9">
              <w:rPr>
                <w:b/>
                <w:iCs/>
                <w:noProof/>
                <w:sz w:val="16"/>
                <w:szCs w:val="16"/>
              </w:rPr>
              <w:t>%</w:t>
            </w:r>
          </w:p>
        </w:tc>
      </w:tr>
      <w:tr w:rsidR="004D7EF9" w:rsidRPr="007768FA" w:rsidTr="00735FAF">
        <w:trPr>
          <w:trHeight w:val="611"/>
        </w:trPr>
        <w:tc>
          <w:tcPr>
            <w:tcW w:w="1969" w:type="dxa"/>
            <w:tcBorders>
              <w:top w:val="single" w:sz="4" w:space="0" w:color="auto"/>
              <w:left w:val="single" w:sz="4" w:space="0" w:color="auto"/>
              <w:bottom w:val="single" w:sz="4" w:space="0" w:color="auto"/>
              <w:right w:val="single" w:sz="4" w:space="0" w:color="auto"/>
            </w:tcBorders>
            <w:shd w:val="clear" w:color="auto" w:fill="FFFFFF" w:themeFill="background1"/>
          </w:tcPr>
          <w:p w:rsidR="004D7EF9" w:rsidRPr="00164579" w:rsidRDefault="004D7EF9" w:rsidP="004D7EF9">
            <w:pPr>
              <w:tabs>
                <w:tab w:val="left" w:pos="0"/>
              </w:tabs>
              <w:contextualSpacing/>
              <w:rPr>
                <w:iCs/>
                <w:noProof/>
                <w:sz w:val="12"/>
                <w:szCs w:val="12"/>
              </w:rPr>
            </w:pPr>
            <w:r w:rsidRPr="00164579">
              <w:rPr>
                <w:iCs/>
                <w:noProof/>
                <w:sz w:val="12"/>
                <w:szCs w:val="12"/>
              </w:rPr>
              <w:t>справи зі спорів з приводу реалізації публічної політики у сферах праці, зайнятості населення та соціального захисту громадян та публічної житлової політики</w:t>
            </w:r>
          </w:p>
        </w:tc>
        <w:tc>
          <w:tcPr>
            <w:tcW w:w="723" w:type="dxa"/>
            <w:tcBorders>
              <w:top w:val="single" w:sz="4" w:space="0" w:color="auto"/>
              <w:left w:val="single" w:sz="4" w:space="0" w:color="auto"/>
              <w:bottom w:val="single" w:sz="4" w:space="0" w:color="auto"/>
              <w:right w:val="single" w:sz="4" w:space="0" w:color="auto"/>
            </w:tcBorders>
            <w:shd w:val="clear" w:color="auto" w:fill="FFFFFF" w:themeFill="background1"/>
          </w:tcPr>
          <w:p w:rsidR="004D7EF9" w:rsidRPr="001C010B" w:rsidRDefault="004D7EF9" w:rsidP="004D7EF9">
            <w:pPr>
              <w:tabs>
                <w:tab w:val="left" w:pos="0"/>
              </w:tabs>
              <w:contextualSpacing/>
              <w:jc w:val="center"/>
              <w:rPr>
                <w:iCs/>
                <w:noProof/>
                <w:sz w:val="16"/>
                <w:szCs w:val="16"/>
              </w:rPr>
            </w:pPr>
            <w:r w:rsidRPr="001C010B">
              <w:rPr>
                <w:iCs/>
                <w:noProof/>
                <w:sz w:val="16"/>
                <w:szCs w:val="16"/>
              </w:rPr>
              <w:t>3250</w:t>
            </w:r>
          </w:p>
        </w:tc>
        <w:tc>
          <w:tcPr>
            <w:tcW w:w="729" w:type="dxa"/>
            <w:tcBorders>
              <w:top w:val="single" w:sz="4" w:space="0" w:color="auto"/>
              <w:left w:val="single" w:sz="4" w:space="0" w:color="auto"/>
              <w:bottom w:val="single" w:sz="4" w:space="0" w:color="auto"/>
              <w:right w:val="single" w:sz="4" w:space="0" w:color="auto"/>
            </w:tcBorders>
            <w:shd w:val="clear" w:color="auto" w:fill="FFFFFF" w:themeFill="background1"/>
          </w:tcPr>
          <w:p w:rsidR="004D7EF9" w:rsidRPr="001C010B" w:rsidRDefault="004D7EF9" w:rsidP="004D7EF9">
            <w:pPr>
              <w:tabs>
                <w:tab w:val="left" w:pos="0"/>
              </w:tabs>
              <w:contextualSpacing/>
              <w:jc w:val="center"/>
              <w:rPr>
                <w:iCs/>
                <w:noProof/>
                <w:sz w:val="16"/>
                <w:szCs w:val="16"/>
              </w:rPr>
            </w:pPr>
            <w:r w:rsidRPr="001C010B">
              <w:rPr>
                <w:iCs/>
                <w:noProof/>
                <w:sz w:val="16"/>
                <w:szCs w:val="16"/>
              </w:rPr>
              <w:t>11804</w:t>
            </w:r>
          </w:p>
        </w:tc>
        <w:tc>
          <w:tcPr>
            <w:tcW w:w="545" w:type="dxa"/>
            <w:tcBorders>
              <w:top w:val="single" w:sz="4" w:space="0" w:color="auto"/>
              <w:left w:val="single" w:sz="4" w:space="0" w:color="auto"/>
              <w:bottom w:val="single" w:sz="4" w:space="0" w:color="auto"/>
              <w:right w:val="single" w:sz="4" w:space="0" w:color="auto"/>
            </w:tcBorders>
            <w:shd w:val="clear" w:color="auto" w:fill="FFFFFF" w:themeFill="background1"/>
          </w:tcPr>
          <w:p w:rsidR="004D7EF9" w:rsidRPr="00164579" w:rsidRDefault="004D7EF9" w:rsidP="004D7EF9">
            <w:pPr>
              <w:tabs>
                <w:tab w:val="left" w:pos="0"/>
              </w:tabs>
              <w:contextualSpacing/>
              <w:jc w:val="center"/>
              <w:rPr>
                <w:iCs/>
                <w:noProof/>
                <w:sz w:val="16"/>
                <w:szCs w:val="16"/>
              </w:rPr>
            </w:pPr>
            <w:r w:rsidRPr="00164579">
              <w:rPr>
                <w:iCs/>
                <w:noProof/>
                <w:sz w:val="16"/>
                <w:szCs w:val="16"/>
              </w:rPr>
              <w:t>2499</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4D7EF9" w:rsidRPr="00164579" w:rsidRDefault="004D7EF9" w:rsidP="004D7EF9">
            <w:pPr>
              <w:tabs>
                <w:tab w:val="left" w:pos="0"/>
              </w:tabs>
              <w:contextualSpacing/>
              <w:jc w:val="center"/>
              <w:rPr>
                <w:iCs/>
                <w:noProof/>
                <w:sz w:val="16"/>
                <w:szCs w:val="16"/>
              </w:rPr>
            </w:pPr>
            <w:r w:rsidRPr="00164579">
              <w:rPr>
                <w:iCs/>
                <w:noProof/>
                <w:sz w:val="16"/>
                <w:szCs w:val="16"/>
              </w:rPr>
              <w:t>10180</w:t>
            </w:r>
          </w:p>
        </w:tc>
        <w:tc>
          <w:tcPr>
            <w:tcW w:w="566" w:type="dxa"/>
            <w:tcBorders>
              <w:top w:val="single" w:sz="4" w:space="0" w:color="auto"/>
              <w:left w:val="single" w:sz="4" w:space="0" w:color="auto"/>
              <w:bottom w:val="single" w:sz="4" w:space="0" w:color="auto"/>
              <w:right w:val="single" w:sz="4" w:space="0" w:color="auto"/>
            </w:tcBorders>
            <w:shd w:val="clear" w:color="auto" w:fill="FFFFFF" w:themeFill="background1"/>
          </w:tcPr>
          <w:p w:rsidR="004D7EF9" w:rsidRPr="0066038D" w:rsidRDefault="004D7EF9" w:rsidP="004D7EF9">
            <w:pPr>
              <w:tabs>
                <w:tab w:val="left" w:pos="0"/>
              </w:tabs>
              <w:contextualSpacing/>
              <w:jc w:val="center"/>
              <w:rPr>
                <w:iCs/>
                <w:noProof/>
                <w:sz w:val="16"/>
                <w:szCs w:val="16"/>
              </w:rPr>
            </w:pPr>
            <w:r w:rsidRPr="0066038D">
              <w:rPr>
                <w:iCs/>
                <w:noProof/>
                <w:sz w:val="16"/>
                <w:szCs w:val="16"/>
              </w:rPr>
              <w:t>75</w:t>
            </w:r>
          </w:p>
        </w:tc>
        <w:tc>
          <w:tcPr>
            <w:tcW w:w="566" w:type="dxa"/>
            <w:tcBorders>
              <w:top w:val="single" w:sz="4" w:space="0" w:color="auto"/>
              <w:left w:val="single" w:sz="4" w:space="0" w:color="auto"/>
              <w:bottom w:val="single" w:sz="4" w:space="0" w:color="auto"/>
              <w:right w:val="single" w:sz="4" w:space="0" w:color="auto"/>
            </w:tcBorders>
            <w:shd w:val="clear" w:color="auto" w:fill="FFFFFF" w:themeFill="background1"/>
          </w:tcPr>
          <w:p w:rsidR="004D7EF9" w:rsidRPr="0066038D" w:rsidRDefault="004D7EF9" w:rsidP="004D7EF9">
            <w:pPr>
              <w:tabs>
                <w:tab w:val="left" w:pos="0"/>
              </w:tabs>
              <w:contextualSpacing/>
              <w:jc w:val="center"/>
              <w:rPr>
                <w:iCs/>
                <w:noProof/>
                <w:sz w:val="16"/>
                <w:szCs w:val="16"/>
              </w:rPr>
            </w:pPr>
            <w:r w:rsidRPr="0066038D">
              <w:rPr>
                <w:iCs/>
                <w:noProof/>
                <w:sz w:val="16"/>
                <w:szCs w:val="16"/>
              </w:rPr>
              <w:t>281</w:t>
            </w:r>
          </w:p>
        </w:tc>
        <w:tc>
          <w:tcPr>
            <w:tcW w:w="566" w:type="dxa"/>
            <w:tcBorders>
              <w:top w:val="single" w:sz="4" w:space="0" w:color="auto"/>
              <w:left w:val="single" w:sz="4" w:space="0" w:color="auto"/>
              <w:bottom w:val="single" w:sz="4" w:space="0" w:color="auto"/>
              <w:right w:val="single" w:sz="4" w:space="0" w:color="auto"/>
            </w:tcBorders>
            <w:shd w:val="clear" w:color="auto" w:fill="FFFFFF" w:themeFill="background1"/>
          </w:tcPr>
          <w:p w:rsidR="004D7EF9" w:rsidRPr="00132D91" w:rsidRDefault="004D7EF9" w:rsidP="004D7EF9">
            <w:pPr>
              <w:tabs>
                <w:tab w:val="left" w:pos="0"/>
              </w:tabs>
              <w:contextualSpacing/>
              <w:jc w:val="center"/>
              <w:rPr>
                <w:iCs/>
                <w:noProof/>
                <w:sz w:val="16"/>
                <w:szCs w:val="16"/>
              </w:rPr>
            </w:pPr>
            <w:r w:rsidRPr="00132D91">
              <w:rPr>
                <w:iCs/>
                <w:noProof/>
                <w:sz w:val="16"/>
                <w:szCs w:val="16"/>
              </w:rPr>
              <w:t>676</w:t>
            </w:r>
          </w:p>
        </w:tc>
        <w:tc>
          <w:tcPr>
            <w:tcW w:w="566" w:type="dxa"/>
            <w:tcBorders>
              <w:top w:val="single" w:sz="4" w:space="0" w:color="auto"/>
              <w:left w:val="single" w:sz="4" w:space="0" w:color="auto"/>
              <w:bottom w:val="single" w:sz="4" w:space="0" w:color="auto"/>
              <w:right w:val="single" w:sz="4" w:space="0" w:color="auto"/>
            </w:tcBorders>
            <w:shd w:val="clear" w:color="auto" w:fill="FFFFFF" w:themeFill="background1"/>
          </w:tcPr>
          <w:p w:rsidR="004D7EF9" w:rsidRPr="00132D91" w:rsidRDefault="004D7EF9" w:rsidP="004D7EF9">
            <w:pPr>
              <w:tabs>
                <w:tab w:val="left" w:pos="0"/>
              </w:tabs>
              <w:contextualSpacing/>
              <w:jc w:val="center"/>
              <w:rPr>
                <w:iCs/>
                <w:noProof/>
                <w:sz w:val="16"/>
                <w:szCs w:val="16"/>
              </w:rPr>
            </w:pPr>
            <w:r w:rsidRPr="00132D91">
              <w:rPr>
                <w:iCs/>
                <w:noProof/>
                <w:sz w:val="16"/>
                <w:szCs w:val="16"/>
              </w:rPr>
              <w:t>1338</w:t>
            </w:r>
          </w:p>
        </w:tc>
        <w:tc>
          <w:tcPr>
            <w:tcW w:w="850" w:type="dxa"/>
            <w:tcBorders>
              <w:top w:val="single" w:sz="4" w:space="0" w:color="auto"/>
              <w:left w:val="single" w:sz="4" w:space="0" w:color="auto"/>
              <w:bottom w:val="single" w:sz="4" w:space="0" w:color="auto"/>
              <w:right w:val="single" w:sz="4" w:space="0" w:color="auto"/>
            </w:tcBorders>
          </w:tcPr>
          <w:p w:rsidR="004D7EF9" w:rsidRPr="004D7EF9" w:rsidRDefault="004D7EF9" w:rsidP="004D7EF9">
            <w:pPr>
              <w:tabs>
                <w:tab w:val="left" w:pos="0"/>
              </w:tabs>
              <w:contextualSpacing/>
              <w:jc w:val="center"/>
              <w:rPr>
                <w:b/>
                <w:iCs/>
                <w:noProof/>
                <w:sz w:val="16"/>
                <w:szCs w:val="16"/>
              </w:rPr>
            </w:pPr>
            <w:r>
              <w:rPr>
                <w:b/>
                <w:iCs/>
                <w:noProof/>
                <w:sz w:val="16"/>
                <w:szCs w:val="16"/>
              </w:rPr>
              <w:t>-75,5</w:t>
            </w:r>
            <w:r w:rsidRPr="004D7EF9">
              <w:rPr>
                <w:b/>
                <w:iCs/>
                <w:noProof/>
                <w:sz w:val="16"/>
                <w:szCs w:val="16"/>
              </w:rPr>
              <w:t>%</w:t>
            </w:r>
          </w:p>
        </w:tc>
        <w:tc>
          <w:tcPr>
            <w:tcW w:w="849" w:type="dxa"/>
            <w:tcBorders>
              <w:top w:val="single" w:sz="4" w:space="0" w:color="auto"/>
              <w:left w:val="single" w:sz="4" w:space="0" w:color="auto"/>
              <w:bottom w:val="single" w:sz="4" w:space="0" w:color="auto"/>
              <w:right w:val="single" w:sz="4" w:space="0" w:color="auto"/>
            </w:tcBorders>
          </w:tcPr>
          <w:p w:rsidR="004D7EF9" w:rsidRPr="004D7EF9" w:rsidRDefault="002818C3" w:rsidP="004D7EF9">
            <w:pPr>
              <w:tabs>
                <w:tab w:val="left" w:pos="0"/>
              </w:tabs>
              <w:contextualSpacing/>
              <w:jc w:val="center"/>
              <w:rPr>
                <w:b/>
                <w:iCs/>
                <w:noProof/>
                <w:sz w:val="16"/>
                <w:szCs w:val="16"/>
              </w:rPr>
            </w:pPr>
            <w:r>
              <w:rPr>
                <w:b/>
                <w:iCs/>
                <w:noProof/>
                <w:sz w:val="16"/>
                <w:szCs w:val="16"/>
              </w:rPr>
              <w:t>-73,3</w:t>
            </w:r>
            <w:r w:rsidR="004D7EF9" w:rsidRPr="004D7EF9">
              <w:rPr>
                <w:b/>
                <w:iCs/>
                <w:noProof/>
                <w:sz w:val="16"/>
                <w:szCs w:val="16"/>
              </w:rPr>
              <w:t>%</w:t>
            </w:r>
          </w:p>
        </w:tc>
        <w:tc>
          <w:tcPr>
            <w:tcW w:w="710" w:type="dxa"/>
            <w:tcBorders>
              <w:top w:val="single" w:sz="4" w:space="0" w:color="auto"/>
              <w:left w:val="single" w:sz="4" w:space="0" w:color="auto"/>
              <w:bottom w:val="single" w:sz="4" w:space="0" w:color="auto"/>
              <w:right w:val="single" w:sz="4" w:space="0" w:color="auto"/>
            </w:tcBorders>
          </w:tcPr>
          <w:p w:rsidR="004D7EF9" w:rsidRPr="004D7EF9" w:rsidRDefault="00132D91" w:rsidP="004D7EF9">
            <w:pPr>
              <w:tabs>
                <w:tab w:val="left" w:pos="0"/>
              </w:tabs>
              <w:contextualSpacing/>
              <w:jc w:val="center"/>
              <w:rPr>
                <w:b/>
                <w:iCs/>
                <w:noProof/>
                <w:sz w:val="16"/>
                <w:szCs w:val="16"/>
              </w:rPr>
            </w:pPr>
            <w:r>
              <w:rPr>
                <w:b/>
                <w:iCs/>
                <w:noProof/>
                <w:sz w:val="16"/>
                <w:szCs w:val="16"/>
              </w:rPr>
              <w:t>-50</w:t>
            </w:r>
            <w:r w:rsidR="004D7EF9" w:rsidRPr="004D7EF9">
              <w:rPr>
                <w:b/>
                <w:iCs/>
                <w:noProof/>
                <w:sz w:val="16"/>
                <w:szCs w:val="16"/>
              </w:rPr>
              <w:t>%</w:t>
            </w:r>
          </w:p>
        </w:tc>
      </w:tr>
      <w:tr w:rsidR="004D7EF9" w:rsidRPr="007768FA" w:rsidTr="00735FAF">
        <w:trPr>
          <w:trHeight w:val="639"/>
        </w:trPr>
        <w:tc>
          <w:tcPr>
            <w:tcW w:w="1969" w:type="dxa"/>
            <w:tcBorders>
              <w:top w:val="single" w:sz="4" w:space="0" w:color="auto"/>
              <w:left w:val="single" w:sz="4" w:space="0" w:color="auto"/>
              <w:bottom w:val="single" w:sz="4" w:space="0" w:color="auto"/>
              <w:right w:val="single" w:sz="4" w:space="0" w:color="auto"/>
            </w:tcBorders>
          </w:tcPr>
          <w:p w:rsidR="004D7EF9" w:rsidRPr="007768FA" w:rsidRDefault="004D7EF9" w:rsidP="004D7EF9">
            <w:pPr>
              <w:tabs>
                <w:tab w:val="left" w:pos="0"/>
              </w:tabs>
              <w:contextualSpacing/>
              <w:rPr>
                <w:iCs/>
                <w:noProof/>
                <w:sz w:val="12"/>
                <w:szCs w:val="12"/>
              </w:rPr>
            </w:pPr>
            <w:r w:rsidRPr="007768FA">
              <w:rPr>
                <w:iCs/>
                <w:noProof/>
                <w:sz w:val="12"/>
                <w:szCs w:val="12"/>
              </w:rPr>
              <w:t>справи щодо забезпечення громадського порядку та безпеки, національної безпеки та оборони України</w:t>
            </w:r>
          </w:p>
        </w:tc>
        <w:tc>
          <w:tcPr>
            <w:tcW w:w="723" w:type="dxa"/>
            <w:tcBorders>
              <w:top w:val="single" w:sz="4" w:space="0" w:color="auto"/>
              <w:left w:val="single" w:sz="4" w:space="0" w:color="auto"/>
              <w:bottom w:val="single" w:sz="4" w:space="0" w:color="auto"/>
              <w:right w:val="single" w:sz="4" w:space="0" w:color="auto"/>
            </w:tcBorders>
          </w:tcPr>
          <w:p w:rsidR="004D7EF9" w:rsidRPr="007768FA" w:rsidRDefault="004D7EF9" w:rsidP="004D7EF9">
            <w:pPr>
              <w:tabs>
                <w:tab w:val="left" w:pos="0"/>
              </w:tabs>
              <w:contextualSpacing/>
              <w:jc w:val="center"/>
              <w:rPr>
                <w:iCs/>
                <w:noProof/>
                <w:sz w:val="16"/>
                <w:szCs w:val="16"/>
              </w:rPr>
            </w:pPr>
            <w:r w:rsidRPr="007768FA">
              <w:rPr>
                <w:iCs/>
                <w:noProof/>
                <w:sz w:val="16"/>
                <w:szCs w:val="16"/>
              </w:rPr>
              <w:t>1042</w:t>
            </w:r>
          </w:p>
        </w:tc>
        <w:tc>
          <w:tcPr>
            <w:tcW w:w="729" w:type="dxa"/>
            <w:tcBorders>
              <w:top w:val="single" w:sz="4" w:space="0" w:color="auto"/>
              <w:left w:val="single" w:sz="4" w:space="0" w:color="auto"/>
              <w:bottom w:val="single" w:sz="4" w:space="0" w:color="auto"/>
              <w:right w:val="single" w:sz="4" w:space="0" w:color="auto"/>
            </w:tcBorders>
          </w:tcPr>
          <w:p w:rsidR="004D7EF9" w:rsidRPr="007768FA" w:rsidRDefault="004D7EF9" w:rsidP="004D7EF9">
            <w:pPr>
              <w:tabs>
                <w:tab w:val="left" w:pos="0"/>
              </w:tabs>
              <w:contextualSpacing/>
              <w:jc w:val="center"/>
              <w:rPr>
                <w:iCs/>
                <w:noProof/>
                <w:sz w:val="16"/>
                <w:szCs w:val="16"/>
              </w:rPr>
            </w:pPr>
            <w:r>
              <w:rPr>
                <w:iCs/>
                <w:noProof/>
                <w:sz w:val="16"/>
                <w:szCs w:val="16"/>
              </w:rPr>
              <w:t>1187</w:t>
            </w:r>
          </w:p>
        </w:tc>
        <w:tc>
          <w:tcPr>
            <w:tcW w:w="545" w:type="dxa"/>
            <w:tcBorders>
              <w:top w:val="single" w:sz="4" w:space="0" w:color="auto"/>
              <w:left w:val="single" w:sz="4" w:space="0" w:color="auto"/>
              <w:bottom w:val="single" w:sz="4" w:space="0" w:color="auto"/>
              <w:right w:val="single" w:sz="4" w:space="0" w:color="auto"/>
            </w:tcBorders>
          </w:tcPr>
          <w:p w:rsidR="004D7EF9" w:rsidRPr="00164579" w:rsidRDefault="004D7EF9" w:rsidP="004D7EF9">
            <w:pPr>
              <w:tabs>
                <w:tab w:val="left" w:pos="0"/>
              </w:tabs>
              <w:contextualSpacing/>
              <w:jc w:val="center"/>
              <w:rPr>
                <w:iCs/>
                <w:noProof/>
                <w:sz w:val="16"/>
                <w:szCs w:val="16"/>
              </w:rPr>
            </w:pPr>
            <w:r w:rsidRPr="00164579">
              <w:rPr>
                <w:iCs/>
                <w:noProof/>
                <w:sz w:val="16"/>
                <w:szCs w:val="16"/>
              </w:rPr>
              <w:t>706</w:t>
            </w:r>
          </w:p>
        </w:tc>
        <w:tc>
          <w:tcPr>
            <w:tcW w:w="708" w:type="dxa"/>
            <w:tcBorders>
              <w:top w:val="single" w:sz="4" w:space="0" w:color="auto"/>
              <w:left w:val="single" w:sz="4" w:space="0" w:color="auto"/>
              <w:bottom w:val="single" w:sz="4" w:space="0" w:color="auto"/>
              <w:right w:val="single" w:sz="4" w:space="0" w:color="auto"/>
            </w:tcBorders>
          </w:tcPr>
          <w:p w:rsidR="004D7EF9" w:rsidRPr="00164579" w:rsidRDefault="004D7EF9" w:rsidP="004D7EF9">
            <w:pPr>
              <w:tabs>
                <w:tab w:val="left" w:pos="0"/>
              </w:tabs>
              <w:contextualSpacing/>
              <w:jc w:val="center"/>
              <w:rPr>
                <w:iCs/>
                <w:noProof/>
                <w:sz w:val="16"/>
                <w:szCs w:val="16"/>
              </w:rPr>
            </w:pPr>
            <w:r w:rsidRPr="00164579">
              <w:rPr>
                <w:iCs/>
                <w:noProof/>
                <w:sz w:val="16"/>
                <w:szCs w:val="16"/>
              </w:rPr>
              <w:t>847</w:t>
            </w:r>
          </w:p>
        </w:tc>
        <w:tc>
          <w:tcPr>
            <w:tcW w:w="566" w:type="dxa"/>
            <w:tcBorders>
              <w:top w:val="single" w:sz="4" w:space="0" w:color="auto"/>
              <w:left w:val="single" w:sz="4" w:space="0" w:color="auto"/>
              <w:bottom w:val="single" w:sz="4" w:space="0" w:color="auto"/>
              <w:right w:val="single" w:sz="4" w:space="0" w:color="auto"/>
            </w:tcBorders>
          </w:tcPr>
          <w:p w:rsidR="004D7EF9" w:rsidRPr="0066038D" w:rsidRDefault="004D7EF9" w:rsidP="004D7EF9">
            <w:pPr>
              <w:tabs>
                <w:tab w:val="left" w:pos="0"/>
              </w:tabs>
              <w:contextualSpacing/>
              <w:jc w:val="center"/>
              <w:rPr>
                <w:iCs/>
                <w:noProof/>
                <w:sz w:val="16"/>
                <w:szCs w:val="16"/>
              </w:rPr>
            </w:pPr>
            <w:r w:rsidRPr="0066038D">
              <w:rPr>
                <w:iCs/>
                <w:noProof/>
                <w:sz w:val="16"/>
                <w:szCs w:val="16"/>
              </w:rPr>
              <w:t>30</w:t>
            </w:r>
          </w:p>
        </w:tc>
        <w:tc>
          <w:tcPr>
            <w:tcW w:w="566" w:type="dxa"/>
            <w:tcBorders>
              <w:top w:val="single" w:sz="4" w:space="0" w:color="auto"/>
              <w:left w:val="single" w:sz="4" w:space="0" w:color="auto"/>
              <w:bottom w:val="single" w:sz="4" w:space="0" w:color="auto"/>
              <w:right w:val="single" w:sz="4" w:space="0" w:color="auto"/>
            </w:tcBorders>
          </w:tcPr>
          <w:p w:rsidR="004D7EF9" w:rsidRPr="0066038D" w:rsidRDefault="004D7EF9" w:rsidP="004D7EF9">
            <w:pPr>
              <w:tabs>
                <w:tab w:val="left" w:pos="0"/>
              </w:tabs>
              <w:contextualSpacing/>
              <w:jc w:val="center"/>
              <w:rPr>
                <w:iCs/>
                <w:noProof/>
                <w:sz w:val="16"/>
                <w:szCs w:val="16"/>
              </w:rPr>
            </w:pPr>
            <w:r w:rsidRPr="0066038D">
              <w:rPr>
                <w:iCs/>
                <w:noProof/>
                <w:sz w:val="16"/>
                <w:szCs w:val="16"/>
              </w:rPr>
              <w:t>26</w:t>
            </w:r>
          </w:p>
        </w:tc>
        <w:tc>
          <w:tcPr>
            <w:tcW w:w="566" w:type="dxa"/>
            <w:tcBorders>
              <w:top w:val="single" w:sz="4" w:space="0" w:color="auto"/>
              <w:left w:val="single" w:sz="4" w:space="0" w:color="auto"/>
              <w:bottom w:val="single" w:sz="4" w:space="0" w:color="auto"/>
              <w:right w:val="single" w:sz="4" w:space="0" w:color="auto"/>
            </w:tcBorders>
          </w:tcPr>
          <w:p w:rsidR="004D7EF9" w:rsidRPr="00132D91" w:rsidRDefault="004D7EF9" w:rsidP="004D7EF9">
            <w:pPr>
              <w:tabs>
                <w:tab w:val="left" w:pos="0"/>
              </w:tabs>
              <w:contextualSpacing/>
              <w:jc w:val="center"/>
              <w:rPr>
                <w:iCs/>
                <w:noProof/>
                <w:sz w:val="16"/>
                <w:szCs w:val="16"/>
              </w:rPr>
            </w:pPr>
            <w:r w:rsidRPr="00132D91">
              <w:rPr>
                <w:iCs/>
                <w:noProof/>
                <w:sz w:val="16"/>
                <w:szCs w:val="16"/>
              </w:rPr>
              <w:t>306</w:t>
            </w:r>
          </w:p>
        </w:tc>
        <w:tc>
          <w:tcPr>
            <w:tcW w:w="566" w:type="dxa"/>
            <w:tcBorders>
              <w:top w:val="single" w:sz="4" w:space="0" w:color="auto"/>
              <w:left w:val="single" w:sz="4" w:space="0" w:color="auto"/>
              <w:bottom w:val="single" w:sz="4" w:space="0" w:color="auto"/>
              <w:right w:val="single" w:sz="4" w:space="0" w:color="auto"/>
            </w:tcBorders>
          </w:tcPr>
          <w:p w:rsidR="004D7EF9" w:rsidRPr="00132D91" w:rsidRDefault="004D7EF9" w:rsidP="004D7EF9">
            <w:pPr>
              <w:tabs>
                <w:tab w:val="left" w:pos="0"/>
              </w:tabs>
              <w:contextualSpacing/>
              <w:jc w:val="center"/>
              <w:rPr>
                <w:iCs/>
                <w:noProof/>
                <w:sz w:val="16"/>
                <w:szCs w:val="16"/>
              </w:rPr>
            </w:pPr>
            <w:r w:rsidRPr="00132D91">
              <w:rPr>
                <w:iCs/>
                <w:noProof/>
                <w:sz w:val="16"/>
                <w:szCs w:val="16"/>
              </w:rPr>
              <w:t>312</w:t>
            </w:r>
          </w:p>
        </w:tc>
        <w:tc>
          <w:tcPr>
            <w:tcW w:w="850" w:type="dxa"/>
            <w:tcBorders>
              <w:top w:val="single" w:sz="4" w:space="0" w:color="auto"/>
              <w:left w:val="single" w:sz="4" w:space="0" w:color="auto"/>
              <w:bottom w:val="single" w:sz="4" w:space="0" w:color="auto"/>
              <w:right w:val="single" w:sz="4" w:space="0" w:color="auto"/>
            </w:tcBorders>
          </w:tcPr>
          <w:p w:rsidR="004D7EF9" w:rsidRPr="004D7EF9" w:rsidRDefault="00CC2B7A" w:rsidP="004D7EF9">
            <w:pPr>
              <w:tabs>
                <w:tab w:val="left" w:pos="0"/>
              </w:tabs>
              <w:contextualSpacing/>
              <w:jc w:val="center"/>
              <w:rPr>
                <w:b/>
                <w:iCs/>
                <w:noProof/>
                <w:sz w:val="16"/>
                <w:szCs w:val="16"/>
              </w:rPr>
            </w:pPr>
            <w:r>
              <w:rPr>
                <w:b/>
                <w:iCs/>
                <w:noProof/>
                <w:sz w:val="16"/>
                <w:szCs w:val="16"/>
              </w:rPr>
              <w:t>-16,6</w:t>
            </w:r>
            <w:r w:rsidR="004D7EF9" w:rsidRPr="004D7EF9">
              <w:rPr>
                <w:b/>
                <w:iCs/>
                <w:noProof/>
                <w:sz w:val="16"/>
                <w:szCs w:val="16"/>
              </w:rPr>
              <w:t>%</w:t>
            </w:r>
          </w:p>
        </w:tc>
        <w:tc>
          <w:tcPr>
            <w:tcW w:w="849" w:type="dxa"/>
            <w:tcBorders>
              <w:top w:val="single" w:sz="4" w:space="0" w:color="auto"/>
              <w:left w:val="single" w:sz="4" w:space="0" w:color="auto"/>
              <w:bottom w:val="single" w:sz="4" w:space="0" w:color="auto"/>
              <w:right w:val="single" w:sz="4" w:space="0" w:color="auto"/>
            </w:tcBorders>
          </w:tcPr>
          <w:p w:rsidR="004D7EF9" w:rsidRPr="004D7EF9" w:rsidRDefault="002818C3" w:rsidP="004D7EF9">
            <w:pPr>
              <w:tabs>
                <w:tab w:val="left" w:pos="0"/>
              </w:tabs>
              <w:contextualSpacing/>
              <w:jc w:val="center"/>
              <w:rPr>
                <w:b/>
                <w:iCs/>
                <w:noProof/>
                <w:sz w:val="16"/>
                <w:szCs w:val="16"/>
              </w:rPr>
            </w:pPr>
            <w:r>
              <w:rPr>
                <w:b/>
                <w:iCs/>
                <w:noProof/>
                <w:sz w:val="16"/>
                <w:szCs w:val="16"/>
              </w:rPr>
              <w:t>15,4</w:t>
            </w:r>
            <w:r w:rsidR="004D7EF9" w:rsidRPr="004D7EF9">
              <w:rPr>
                <w:b/>
                <w:iCs/>
                <w:noProof/>
                <w:sz w:val="16"/>
                <w:szCs w:val="16"/>
              </w:rPr>
              <w:t>%</w:t>
            </w:r>
          </w:p>
        </w:tc>
        <w:tc>
          <w:tcPr>
            <w:tcW w:w="710" w:type="dxa"/>
            <w:tcBorders>
              <w:top w:val="single" w:sz="4" w:space="0" w:color="auto"/>
              <w:left w:val="single" w:sz="4" w:space="0" w:color="auto"/>
              <w:bottom w:val="single" w:sz="4" w:space="0" w:color="auto"/>
              <w:right w:val="single" w:sz="4" w:space="0" w:color="auto"/>
            </w:tcBorders>
          </w:tcPr>
          <w:p w:rsidR="004D7EF9" w:rsidRPr="004D7EF9" w:rsidRDefault="00132D91" w:rsidP="004D7EF9">
            <w:pPr>
              <w:tabs>
                <w:tab w:val="left" w:pos="0"/>
              </w:tabs>
              <w:contextualSpacing/>
              <w:jc w:val="center"/>
              <w:rPr>
                <w:b/>
                <w:iCs/>
                <w:noProof/>
                <w:sz w:val="16"/>
                <w:szCs w:val="16"/>
              </w:rPr>
            </w:pPr>
            <w:r>
              <w:rPr>
                <w:b/>
                <w:iCs/>
                <w:noProof/>
                <w:sz w:val="16"/>
                <w:szCs w:val="16"/>
              </w:rPr>
              <w:t>-2</w:t>
            </w:r>
            <w:r w:rsidR="004D7EF9" w:rsidRPr="004D7EF9">
              <w:rPr>
                <w:b/>
                <w:iCs/>
                <w:noProof/>
                <w:sz w:val="16"/>
                <w:szCs w:val="16"/>
              </w:rPr>
              <w:t>%</w:t>
            </w:r>
          </w:p>
        </w:tc>
      </w:tr>
      <w:tr w:rsidR="004D7EF9" w:rsidRPr="007768FA" w:rsidTr="00735FAF">
        <w:trPr>
          <w:trHeight w:val="331"/>
        </w:trPr>
        <w:tc>
          <w:tcPr>
            <w:tcW w:w="1969" w:type="dxa"/>
            <w:tcBorders>
              <w:top w:val="single" w:sz="4" w:space="0" w:color="auto"/>
              <w:left w:val="single" w:sz="4" w:space="0" w:color="auto"/>
              <w:bottom w:val="single" w:sz="4" w:space="0" w:color="auto"/>
              <w:right w:val="single" w:sz="4" w:space="0" w:color="auto"/>
            </w:tcBorders>
          </w:tcPr>
          <w:p w:rsidR="004D7EF9" w:rsidRPr="007768FA" w:rsidRDefault="004D7EF9" w:rsidP="004D7EF9">
            <w:pPr>
              <w:tabs>
                <w:tab w:val="left" w:pos="0"/>
              </w:tabs>
              <w:contextualSpacing/>
              <w:rPr>
                <w:iCs/>
                <w:noProof/>
                <w:sz w:val="12"/>
                <w:szCs w:val="12"/>
              </w:rPr>
            </w:pPr>
            <w:r w:rsidRPr="007768FA">
              <w:rPr>
                <w:iCs/>
                <w:noProof/>
                <w:sz w:val="12"/>
                <w:szCs w:val="12"/>
              </w:rPr>
              <w:t>справи зі спорів з приводу реалізації державної політики у сфері освіти, науки, культури та спорту</w:t>
            </w:r>
          </w:p>
        </w:tc>
        <w:tc>
          <w:tcPr>
            <w:tcW w:w="723" w:type="dxa"/>
            <w:tcBorders>
              <w:top w:val="single" w:sz="4" w:space="0" w:color="auto"/>
              <w:left w:val="single" w:sz="4" w:space="0" w:color="auto"/>
              <w:bottom w:val="single" w:sz="4" w:space="0" w:color="auto"/>
              <w:right w:val="single" w:sz="4" w:space="0" w:color="auto"/>
            </w:tcBorders>
          </w:tcPr>
          <w:p w:rsidR="004D7EF9" w:rsidRPr="007768FA" w:rsidRDefault="004D7EF9" w:rsidP="004D7EF9">
            <w:pPr>
              <w:tabs>
                <w:tab w:val="left" w:pos="0"/>
              </w:tabs>
              <w:contextualSpacing/>
              <w:jc w:val="center"/>
              <w:rPr>
                <w:iCs/>
                <w:noProof/>
                <w:sz w:val="16"/>
                <w:szCs w:val="16"/>
              </w:rPr>
            </w:pPr>
            <w:r w:rsidRPr="007768FA">
              <w:rPr>
                <w:iCs/>
                <w:noProof/>
                <w:sz w:val="16"/>
                <w:szCs w:val="16"/>
              </w:rPr>
              <w:t>15</w:t>
            </w:r>
          </w:p>
        </w:tc>
        <w:tc>
          <w:tcPr>
            <w:tcW w:w="729" w:type="dxa"/>
            <w:tcBorders>
              <w:top w:val="single" w:sz="4" w:space="0" w:color="auto"/>
              <w:left w:val="single" w:sz="4" w:space="0" w:color="auto"/>
              <w:bottom w:val="single" w:sz="4" w:space="0" w:color="auto"/>
              <w:right w:val="single" w:sz="4" w:space="0" w:color="auto"/>
            </w:tcBorders>
          </w:tcPr>
          <w:p w:rsidR="004D7EF9" w:rsidRPr="007768FA" w:rsidRDefault="004D7EF9" w:rsidP="004D7EF9">
            <w:pPr>
              <w:tabs>
                <w:tab w:val="left" w:pos="0"/>
              </w:tabs>
              <w:contextualSpacing/>
              <w:jc w:val="center"/>
              <w:rPr>
                <w:iCs/>
                <w:noProof/>
                <w:sz w:val="16"/>
                <w:szCs w:val="16"/>
              </w:rPr>
            </w:pPr>
            <w:r>
              <w:rPr>
                <w:iCs/>
                <w:noProof/>
                <w:sz w:val="16"/>
                <w:szCs w:val="16"/>
              </w:rPr>
              <w:t>110</w:t>
            </w:r>
          </w:p>
        </w:tc>
        <w:tc>
          <w:tcPr>
            <w:tcW w:w="545" w:type="dxa"/>
            <w:tcBorders>
              <w:top w:val="single" w:sz="4" w:space="0" w:color="auto"/>
              <w:left w:val="single" w:sz="4" w:space="0" w:color="auto"/>
              <w:bottom w:val="single" w:sz="4" w:space="0" w:color="auto"/>
              <w:right w:val="single" w:sz="4" w:space="0" w:color="auto"/>
            </w:tcBorders>
          </w:tcPr>
          <w:p w:rsidR="004D7EF9" w:rsidRPr="00164579" w:rsidRDefault="004D7EF9" w:rsidP="004D7EF9">
            <w:pPr>
              <w:tabs>
                <w:tab w:val="left" w:pos="0"/>
              </w:tabs>
              <w:contextualSpacing/>
              <w:jc w:val="center"/>
              <w:rPr>
                <w:iCs/>
                <w:noProof/>
                <w:sz w:val="16"/>
                <w:szCs w:val="16"/>
              </w:rPr>
            </w:pPr>
            <w:r w:rsidRPr="00164579">
              <w:rPr>
                <w:iCs/>
                <w:noProof/>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4D7EF9" w:rsidRPr="00164579" w:rsidRDefault="004D7EF9" w:rsidP="004D7EF9">
            <w:pPr>
              <w:tabs>
                <w:tab w:val="left" w:pos="0"/>
              </w:tabs>
              <w:contextualSpacing/>
              <w:jc w:val="center"/>
              <w:rPr>
                <w:iCs/>
                <w:noProof/>
                <w:sz w:val="16"/>
                <w:szCs w:val="16"/>
              </w:rPr>
            </w:pPr>
            <w:r w:rsidRPr="00164579">
              <w:rPr>
                <w:iCs/>
                <w:noProof/>
                <w:sz w:val="16"/>
                <w:szCs w:val="16"/>
              </w:rPr>
              <w:t>76</w:t>
            </w:r>
          </w:p>
        </w:tc>
        <w:tc>
          <w:tcPr>
            <w:tcW w:w="566" w:type="dxa"/>
            <w:tcBorders>
              <w:top w:val="single" w:sz="4" w:space="0" w:color="auto"/>
              <w:left w:val="single" w:sz="4" w:space="0" w:color="auto"/>
              <w:bottom w:val="single" w:sz="4" w:space="0" w:color="auto"/>
              <w:right w:val="single" w:sz="4" w:space="0" w:color="auto"/>
            </w:tcBorders>
          </w:tcPr>
          <w:p w:rsidR="004D7EF9" w:rsidRPr="0066038D" w:rsidRDefault="004D7EF9" w:rsidP="004D7EF9">
            <w:pPr>
              <w:tabs>
                <w:tab w:val="left" w:pos="0"/>
              </w:tabs>
              <w:contextualSpacing/>
              <w:jc w:val="center"/>
              <w:rPr>
                <w:iCs/>
                <w:noProof/>
                <w:sz w:val="16"/>
                <w:szCs w:val="16"/>
              </w:rPr>
            </w:pPr>
            <w:r w:rsidRPr="0066038D">
              <w:rPr>
                <w:iCs/>
                <w:noProof/>
                <w:sz w:val="16"/>
                <w:szCs w:val="16"/>
              </w:rPr>
              <w:t>0</w:t>
            </w:r>
          </w:p>
        </w:tc>
        <w:tc>
          <w:tcPr>
            <w:tcW w:w="566" w:type="dxa"/>
            <w:tcBorders>
              <w:top w:val="single" w:sz="4" w:space="0" w:color="auto"/>
              <w:left w:val="single" w:sz="4" w:space="0" w:color="auto"/>
              <w:bottom w:val="single" w:sz="4" w:space="0" w:color="auto"/>
              <w:right w:val="single" w:sz="4" w:space="0" w:color="auto"/>
            </w:tcBorders>
          </w:tcPr>
          <w:p w:rsidR="004D7EF9" w:rsidRPr="0066038D" w:rsidRDefault="004D7EF9" w:rsidP="004D7EF9">
            <w:pPr>
              <w:tabs>
                <w:tab w:val="left" w:pos="0"/>
              </w:tabs>
              <w:contextualSpacing/>
              <w:jc w:val="center"/>
              <w:rPr>
                <w:iCs/>
                <w:noProof/>
                <w:sz w:val="16"/>
                <w:szCs w:val="16"/>
              </w:rPr>
            </w:pPr>
            <w:r w:rsidRPr="0066038D">
              <w:rPr>
                <w:iCs/>
                <w:noProof/>
                <w:sz w:val="16"/>
                <w:szCs w:val="16"/>
              </w:rPr>
              <w:t>2</w:t>
            </w:r>
          </w:p>
        </w:tc>
        <w:tc>
          <w:tcPr>
            <w:tcW w:w="566" w:type="dxa"/>
            <w:tcBorders>
              <w:top w:val="single" w:sz="4" w:space="0" w:color="auto"/>
              <w:left w:val="single" w:sz="4" w:space="0" w:color="auto"/>
              <w:bottom w:val="single" w:sz="4" w:space="0" w:color="auto"/>
              <w:right w:val="single" w:sz="4" w:space="0" w:color="auto"/>
            </w:tcBorders>
          </w:tcPr>
          <w:p w:rsidR="004D7EF9" w:rsidRPr="00132D91" w:rsidRDefault="004D7EF9" w:rsidP="004D7EF9">
            <w:pPr>
              <w:tabs>
                <w:tab w:val="left" w:pos="0"/>
              </w:tabs>
              <w:contextualSpacing/>
              <w:jc w:val="center"/>
              <w:rPr>
                <w:iCs/>
                <w:noProof/>
                <w:sz w:val="16"/>
                <w:szCs w:val="16"/>
              </w:rPr>
            </w:pPr>
            <w:r w:rsidRPr="00132D91">
              <w:rPr>
                <w:iCs/>
                <w:noProof/>
                <w:sz w:val="16"/>
                <w:szCs w:val="16"/>
              </w:rPr>
              <w:t>5</w:t>
            </w:r>
          </w:p>
        </w:tc>
        <w:tc>
          <w:tcPr>
            <w:tcW w:w="566" w:type="dxa"/>
            <w:tcBorders>
              <w:top w:val="single" w:sz="4" w:space="0" w:color="auto"/>
              <w:left w:val="single" w:sz="4" w:space="0" w:color="auto"/>
              <w:bottom w:val="single" w:sz="4" w:space="0" w:color="auto"/>
              <w:right w:val="single" w:sz="4" w:space="0" w:color="auto"/>
            </w:tcBorders>
          </w:tcPr>
          <w:p w:rsidR="004D7EF9" w:rsidRPr="00132D91" w:rsidRDefault="004D7EF9" w:rsidP="004D7EF9">
            <w:pPr>
              <w:tabs>
                <w:tab w:val="left" w:pos="0"/>
              </w:tabs>
              <w:contextualSpacing/>
              <w:jc w:val="center"/>
              <w:rPr>
                <w:iCs/>
                <w:noProof/>
                <w:sz w:val="16"/>
                <w:szCs w:val="16"/>
              </w:rPr>
            </w:pPr>
            <w:r w:rsidRPr="00132D91">
              <w:rPr>
                <w:iCs/>
                <w:noProof/>
                <w:sz w:val="16"/>
                <w:szCs w:val="16"/>
              </w:rPr>
              <w:t>32</w:t>
            </w:r>
          </w:p>
        </w:tc>
        <w:tc>
          <w:tcPr>
            <w:tcW w:w="850" w:type="dxa"/>
            <w:tcBorders>
              <w:top w:val="single" w:sz="4" w:space="0" w:color="auto"/>
              <w:left w:val="single" w:sz="4" w:space="0" w:color="auto"/>
              <w:bottom w:val="single" w:sz="4" w:space="0" w:color="auto"/>
              <w:right w:val="single" w:sz="4" w:space="0" w:color="auto"/>
            </w:tcBorders>
          </w:tcPr>
          <w:p w:rsidR="004D7EF9" w:rsidRPr="004D7EF9" w:rsidRDefault="00CC2B7A" w:rsidP="004D7EF9">
            <w:pPr>
              <w:tabs>
                <w:tab w:val="left" w:pos="0"/>
              </w:tabs>
              <w:contextualSpacing/>
              <w:jc w:val="center"/>
              <w:rPr>
                <w:b/>
                <w:iCs/>
                <w:noProof/>
                <w:sz w:val="16"/>
                <w:szCs w:val="16"/>
              </w:rPr>
            </w:pPr>
            <w:r>
              <w:rPr>
                <w:b/>
                <w:iCs/>
                <w:noProof/>
                <w:sz w:val="16"/>
                <w:szCs w:val="16"/>
              </w:rPr>
              <w:t>-86,8</w:t>
            </w:r>
            <w:r w:rsidR="004D7EF9" w:rsidRPr="004D7EF9">
              <w:rPr>
                <w:b/>
                <w:iCs/>
                <w:noProof/>
                <w:sz w:val="16"/>
                <w:szCs w:val="16"/>
              </w:rPr>
              <w:t>%</w:t>
            </w:r>
          </w:p>
        </w:tc>
        <w:tc>
          <w:tcPr>
            <w:tcW w:w="849" w:type="dxa"/>
            <w:tcBorders>
              <w:top w:val="single" w:sz="4" w:space="0" w:color="auto"/>
              <w:left w:val="single" w:sz="4" w:space="0" w:color="auto"/>
              <w:bottom w:val="single" w:sz="4" w:space="0" w:color="auto"/>
              <w:right w:val="single" w:sz="4" w:space="0" w:color="auto"/>
            </w:tcBorders>
          </w:tcPr>
          <w:p w:rsidR="004D7EF9" w:rsidRPr="004D7EF9" w:rsidRDefault="002818C3" w:rsidP="004D7EF9">
            <w:pPr>
              <w:tabs>
                <w:tab w:val="left" w:pos="0"/>
              </w:tabs>
              <w:contextualSpacing/>
              <w:jc w:val="center"/>
              <w:rPr>
                <w:b/>
                <w:iCs/>
                <w:noProof/>
                <w:sz w:val="16"/>
                <w:szCs w:val="16"/>
              </w:rPr>
            </w:pPr>
            <w:r>
              <w:rPr>
                <w:b/>
                <w:iCs/>
                <w:noProof/>
                <w:sz w:val="16"/>
                <w:szCs w:val="16"/>
              </w:rPr>
              <w:t>0</w:t>
            </w:r>
            <w:r w:rsidR="004D7EF9" w:rsidRPr="004D7EF9">
              <w:rPr>
                <w:b/>
                <w:iCs/>
                <w:noProof/>
                <w:sz w:val="16"/>
                <w:szCs w:val="16"/>
              </w:rPr>
              <w:t>%</w:t>
            </w:r>
          </w:p>
        </w:tc>
        <w:tc>
          <w:tcPr>
            <w:tcW w:w="710" w:type="dxa"/>
            <w:tcBorders>
              <w:top w:val="single" w:sz="4" w:space="0" w:color="auto"/>
              <w:left w:val="single" w:sz="4" w:space="0" w:color="auto"/>
              <w:bottom w:val="single" w:sz="4" w:space="0" w:color="auto"/>
              <w:right w:val="single" w:sz="4" w:space="0" w:color="auto"/>
            </w:tcBorders>
          </w:tcPr>
          <w:p w:rsidR="004D7EF9" w:rsidRPr="004D7EF9" w:rsidRDefault="00132D91" w:rsidP="004D7EF9">
            <w:pPr>
              <w:tabs>
                <w:tab w:val="left" w:pos="0"/>
              </w:tabs>
              <w:contextualSpacing/>
              <w:jc w:val="center"/>
              <w:rPr>
                <w:b/>
                <w:iCs/>
                <w:noProof/>
                <w:sz w:val="16"/>
                <w:szCs w:val="16"/>
              </w:rPr>
            </w:pPr>
            <w:r>
              <w:rPr>
                <w:b/>
                <w:iCs/>
                <w:noProof/>
                <w:sz w:val="16"/>
                <w:szCs w:val="16"/>
              </w:rPr>
              <w:t>-84</w:t>
            </w:r>
            <w:r w:rsidR="004D7EF9" w:rsidRPr="004D7EF9">
              <w:rPr>
                <w:b/>
                <w:iCs/>
                <w:noProof/>
                <w:sz w:val="16"/>
                <w:szCs w:val="16"/>
              </w:rPr>
              <w:t>%</w:t>
            </w:r>
          </w:p>
        </w:tc>
      </w:tr>
      <w:tr w:rsidR="004D7EF9" w:rsidRPr="007768FA" w:rsidTr="00735FAF">
        <w:trPr>
          <w:trHeight w:val="307"/>
        </w:trPr>
        <w:tc>
          <w:tcPr>
            <w:tcW w:w="1969" w:type="dxa"/>
            <w:tcBorders>
              <w:top w:val="single" w:sz="4" w:space="0" w:color="auto"/>
              <w:left w:val="single" w:sz="4" w:space="0" w:color="auto"/>
              <w:bottom w:val="single" w:sz="4" w:space="0" w:color="auto"/>
              <w:right w:val="single" w:sz="4" w:space="0" w:color="auto"/>
            </w:tcBorders>
          </w:tcPr>
          <w:p w:rsidR="004D7EF9" w:rsidRPr="007768FA" w:rsidRDefault="004D7EF9" w:rsidP="004D7EF9">
            <w:pPr>
              <w:tabs>
                <w:tab w:val="left" w:pos="0"/>
              </w:tabs>
              <w:contextualSpacing/>
              <w:rPr>
                <w:iCs/>
                <w:noProof/>
                <w:sz w:val="12"/>
                <w:szCs w:val="12"/>
              </w:rPr>
            </w:pPr>
            <w:r w:rsidRPr="007768FA">
              <w:rPr>
                <w:iCs/>
                <w:noProof/>
                <w:sz w:val="12"/>
                <w:szCs w:val="12"/>
              </w:rPr>
              <w:t>інші справи</w:t>
            </w:r>
          </w:p>
        </w:tc>
        <w:tc>
          <w:tcPr>
            <w:tcW w:w="723" w:type="dxa"/>
            <w:tcBorders>
              <w:top w:val="single" w:sz="4" w:space="0" w:color="auto"/>
              <w:left w:val="single" w:sz="4" w:space="0" w:color="auto"/>
              <w:bottom w:val="single" w:sz="4" w:space="0" w:color="auto"/>
              <w:right w:val="single" w:sz="4" w:space="0" w:color="auto"/>
            </w:tcBorders>
          </w:tcPr>
          <w:p w:rsidR="004D7EF9" w:rsidRPr="007768FA" w:rsidRDefault="004D7EF9" w:rsidP="004D7EF9">
            <w:pPr>
              <w:tabs>
                <w:tab w:val="left" w:pos="0"/>
              </w:tabs>
              <w:contextualSpacing/>
              <w:jc w:val="center"/>
              <w:rPr>
                <w:iCs/>
                <w:noProof/>
                <w:sz w:val="16"/>
                <w:szCs w:val="16"/>
              </w:rPr>
            </w:pPr>
            <w:r w:rsidRPr="007768FA">
              <w:rPr>
                <w:iCs/>
                <w:noProof/>
                <w:sz w:val="16"/>
                <w:szCs w:val="16"/>
              </w:rPr>
              <w:t>2</w:t>
            </w:r>
          </w:p>
        </w:tc>
        <w:tc>
          <w:tcPr>
            <w:tcW w:w="729" w:type="dxa"/>
            <w:tcBorders>
              <w:top w:val="single" w:sz="4" w:space="0" w:color="auto"/>
              <w:left w:val="single" w:sz="4" w:space="0" w:color="auto"/>
              <w:bottom w:val="single" w:sz="4" w:space="0" w:color="auto"/>
              <w:right w:val="single" w:sz="4" w:space="0" w:color="auto"/>
            </w:tcBorders>
          </w:tcPr>
          <w:p w:rsidR="004D7EF9" w:rsidRPr="007768FA" w:rsidRDefault="004D7EF9" w:rsidP="004D7EF9">
            <w:pPr>
              <w:tabs>
                <w:tab w:val="left" w:pos="0"/>
              </w:tabs>
              <w:contextualSpacing/>
              <w:jc w:val="center"/>
              <w:rPr>
                <w:iCs/>
                <w:noProof/>
                <w:sz w:val="16"/>
                <w:szCs w:val="16"/>
              </w:rPr>
            </w:pPr>
            <w:r>
              <w:rPr>
                <w:iCs/>
                <w:noProof/>
                <w:sz w:val="16"/>
                <w:szCs w:val="16"/>
              </w:rPr>
              <w:t>16</w:t>
            </w:r>
          </w:p>
        </w:tc>
        <w:tc>
          <w:tcPr>
            <w:tcW w:w="545" w:type="dxa"/>
            <w:tcBorders>
              <w:top w:val="single" w:sz="4" w:space="0" w:color="auto"/>
              <w:left w:val="single" w:sz="4" w:space="0" w:color="auto"/>
              <w:bottom w:val="single" w:sz="4" w:space="0" w:color="auto"/>
              <w:right w:val="single" w:sz="4" w:space="0" w:color="auto"/>
            </w:tcBorders>
          </w:tcPr>
          <w:p w:rsidR="004D7EF9" w:rsidRPr="00164579" w:rsidRDefault="004D7EF9" w:rsidP="004D7EF9">
            <w:pPr>
              <w:tabs>
                <w:tab w:val="left" w:pos="0"/>
              </w:tabs>
              <w:contextualSpacing/>
              <w:jc w:val="center"/>
              <w:rPr>
                <w:iCs/>
                <w:noProof/>
                <w:sz w:val="16"/>
                <w:szCs w:val="16"/>
              </w:rPr>
            </w:pPr>
            <w:r w:rsidRPr="00164579">
              <w:rPr>
                <w:iCs/>
                <w:noProof/>
                <w:sz w:val="16"/>
                <w:szCs w:val="16"/>
              </w:rPr>
              <w:t>0</w:t>
            </w:r>
          </w:p>
        </w:tc>
        <w:tc>
          <w:tcPr>
            <w:tcW w:w="708" w:type="dxa"/>
            <w:tcBorders>
              <w:top w:val="single" w:sz="4" w:space="0" w:color="auto"/>
              <w:left w:val="single" w:sz="4" w:space="0" w:color="auto"/>
              <w:bottom w:val="single" w:sz="4" w:space="0" w:color="auto"/>
              <w:right w:val="single" w:sz="4" w:space="0" w:color="auto"/>
            </w:tcBorders>
          </w:tcPr>
          <w:p w:rsidR="004D7EF9" w:rsidRPr="00164579" w:rsidRDefault="004D7EF9" w:rsidP="004D7EF9">
            <w:pPr>
              <w:tabs>
                <w:tab w:val="left" w:pos="0"/>
              </w:tabs>
              <w:contextualSpacing/>
              <w:jc w:val="center"/>
              <w:rPr>
                <w:iCs/>
                <w:noProof/>
                <w:sz w:val="16"/>
                <w:szCs w:val="16"/>
              </w:rPr>
            </w:pPr>
            <w:r w:rsidRPr="00164579">
              <w:rPr>
                <w:iCs/>
                <w:noProof/>
                <w:sz w:val="16"/>
                <w:szCs w:val="16"/>
              </w:rPr>
              <w:t>0</w:t>
            </w:r>
          </w:p>
        </w:tc>
        <w:tc>
          <w:tcPr>
            <w:tcW w:w="566" w:type="dxa"/>
            <w:tcBorders>
              <w:top w:val="single" w:sz="4" w:space="0" w:color="auto"/>
              <w:left w:val="single" w:sz="4" w:space="0" w:color="auto"/>
              <w:bottom w:val="single" w:sz="4" w:space="0" w:color="auto"/>
              <w:right w:val="single" w:sz="4" w:space="0" w:color="auto"/>
            </w:tcBorders>
          </w:tcPr>
          <w:p w:rsidR="004D7EF9" w:rsidRPr="0066038D" w:rsidRDefault="004D7EF9" w:rsidP="004D7EF9">
            <w:pPr>
              <w:tabs>
                <w:tab w:val="left" w:pos="0"/>
              </w:tabs>
              <w:contextualSpacing/>
              <w:jc w:val="center"/>
              <w:rPr>
                <w:iCs/>
                <w:noProof/>
                <w:sz w:val="16"/>
                <w:szCs w:val="16"/>
              </w:rPr>
            </w:pPr>
            <w:r w:rsidRPr="0066038D">
              <w:rPr>
                <w:iCs/>
                <w:noProof/>
                <w:sz w:val="16"/>
                <w:szCs w:val="16"/>
              </w:rPr>
              <w:t>1</w:t>
            </w:r>
          </w:p>
        </w:tc>
        <w:tc>
          <w:tcPr>
            <w:tcW w:w="566" w:type="dxa"/>
            <w:tcBorders>
              <w:top w:val="single" w:sz="4" w:space="0" w:color="auto"/>
              <w:left w:val="single" w:sz="4" w:space="0" w:color="auto"/>
              <w:bottom w:val="single" w:sz="4" w:space="0" w:color="auto"/>
              <w:right w:val="single" w:sz="4" w:space="0" w:color="auto"/>
            </w:tcBorders>
          </w:tcPr>
          <w:p w:rsidR="004D7EF9" w:rsidRPr="0066038D" w:rsidRDefault="004D7EF9" w:rsidP="004D7EF9">
            <w:pPr>
              <w:tabs>
                <w:tab w:val="left" w:pos="0"/>
              </w:tabs>
              <w:contextualSpacing/>
              <w:jc w:val="center"/>
              <w:rPr>
                <w:iCs/>
                <w:noProof/>
                <w:sz w:val="16"/>
                <w:szCs w:val="16"/>
              </w:rPr>
            </w:pPr>
            <w:r w:rsidRPr="0066038D">
              <w:rPr>
                <w:iCs/>
                <w:noProof/>
                <w:sz w:val="16"/>
                <w:szCs w:val="16"/>
              </w:rPr>
              <w:t>2</w:t>
            </w:r>
          </w:p>
        </w:tc>
        <w:tc>
          <w:tcPr>
            <w:tcW w:w="566" w:type="dxa"/>
            <w:tcBorders>
              <w:top w:val="single" w:sz="4" w:space="0" w:color="auto"/>
              <w:left w:val="single" w:sz="4" w:space="0" w:color="auto"/>
              <w:bottom w:val="single" w:sz="4" w:space="0" w:color="auto"/>
              <w:right w:val="single" w:sz="4" w:space="0" w:color="auto"/>
            </w:tcBorders>
          </w:tcPr>
          <w:p w:rsidR="004D7EF9" w:rsidRPr="00132D91" w:rsidRDefault="004D7EF9" w:rsidP="004D7EF9">
            <w:pPr>
              <w:tabs>
                <w:tab w:val="left" w:pos="0"/>
              </w:tabs>
              <w:contextualSpacing/>
              <w:jc w:val="center"/>
              <w:rPr>
                <w:iCs/>
                <w:noProof/>
                <w:sz w:val="16"/>
                <w:szCs w:val="16"/>
              </w:rPr>
            </w:pPr>
            <w:r w:rsidRPr="00132D91">
              <w:rPr>
                <w:iCs/>
                <w:noProof/>
                <w:sz w:val="16"/>
                <w:szCs w:val="16"/>
              </w:rPr>
              <w:t>1</w:t>
            </w:r>
          </w:p>
        </w:tc>
        <w:tc>
          <w:tcPr>
            <w:tcW w:w="566" w:type="dxa"/>
            <w:tcBorders>
              <w:top w:val="single" w:sz="4" w:space="0" w:color="auto"/>
              <w:left w:val="single" w:sz="4" w:space="0" w:color="auto"/>
              <w:bottom w:val="single" w:sz="4" w:space="0" w:color="auto"/>
              <w:right w:val="single" w:sz="4" w:space="0" w:color="auto"/>
            </w:tcBorders>
          </w:tcPr>
          <w:p w:rsidR="004D7EF9" w:rsidRPr="00132D91" w:rsidRDefault="004D7EF9" w:rsidP="004D7EF9">
            <w:pPr>
              <w:tabs>
                <w:tab w:val="left" w:pos="0"/>
              </w:tabs>
              <w:contextualSpacing/>
              <w:jc w:val="center"/>
              <w:rPr>
                <w:iCs/>
                <w:noProof/>
                <w:sz w:val="16"/>
                <w:szCs w:val="16"/>
              </w:rPr>
            </w:pPr>
            <w:r w:rsidRPr="00132D91">
              <w:rPr>
                <w:iCs/>
                <w:noProof/>
                <w:sz w:val="16"/>
                <w:szCs w:val="16"/>
              </w:rPr>
              <w:t>14</w:t>
            </w:r>
          </w:p>
        </w:tc>
        <w:tc>
          <w:tcPr>
            <w:tcW w:w="850" w:type="dxa"/>
            <w:tcBorders>
              <w:top w:val="single" w:sz="4" w:space="0" w:color="auto"/>
              <w:left w:val="single" w:sz="4" w:space="0" w:color="auto"/>
              <w:bottom w:val="single" w:sz="4" w:space="0" w:color="auto"/>
              <w:right w:val="single" w:sz="4" w:space="0" w:color="auto"/>
            </w:tcBorders>
          </w:tcPr>
          <w:p w:rsidR="004D7EF9" w:rsidRPr="004D7EF9" w:rsidRDefault="00CC2B7A" w:rsidP="004D7EF9">
            <w:pPr>
              <w:tabs>
                <w:tab w:val="left" w:pos="0"/>
              </w:tabs>
              <w:contextualSpacing/>
              <w:jc w:val="center"/>
              <w:rPr>
                <w:b/>
                <w:iCs/>
                <w:noProof/>
                <w:sz w:val="16"/>
                <w:szCs w:val="16"/>
              </w:rPr>
            </w:pPr>
            <w:r>
              <w:rPr>
                <w:b/>
                <w:iCs/>
                <w:noProof/>
                <w:sz w:val="16"/>
                <w:szCs w:val="16"/>
              </w:rPr>
              <w:t>0</w:t>
            </w:r>
            <w:r w:rsidR="004D7EF9" w:rsidRPr="004D7EF9">
              <w:rPr>
                <w:b/>
                <w:iCs/>
                <w:noProof/>
                <w:sz w:val="16"/>
                <w:szCs w:val="16"/>
              </w:rPr>
              <w:t>%</w:t>
            </w:r>
          </w:p>
        </w:tc>
        <w:tc>
          <w:tcPr>
            <w:tcW w:w="849" w:type="dxa"/>
            <w:tcBorders>
              <w:top w:val="single" w:sz="4" w:space="0" w:color="auto"/>
              <w:left w:val="single" w:sz="4" w:space="0" w:color="auto"/>
              <w:bottom w:val="single" w:sz="4" w:space="0" w:color="auto"/>
              <w:right w:val="single" w:sz="4" w:space="0" w:color="auto"/>
            </w:tcBorders>
          </w:tcPr>
          <w:p w:rsidR="004D7EF9" w:rsidRPr="004D7EF9" w:rsidRDefault="002818C3" w:rsidP="004D7EF9">
            <w:pPr>
              <w:tabs>
                <w:tab w:val="left" w:pos="0"/>
              </w:tabs>
              <w:contextualSpacing/>
              <w:jc w:val="center"/>
              <w:rPr>
                <w:b/>
                <w:iCs/>
                <w:noProof/>
                <w:sz w:val="16"/>
                <w:szCs w:val="16"/>
              </w:rPr>
            </w:pPr>
            <w:r>
              <w:rPr>
                <w:b/>
                <w:iCs/>
                <w:noProof/>
                <w:sz w:val="16"/>
                <w:szCs w:val="16"/>
              </w:rPr>
              <w:t>-50</w:t>
            </w:r>
            <w:r w:rsidR="004D7EF9" w:rsidRPr="004D7EF9">
              <w:rPr>
                <w:b/>
                <w:iCs/>
                <w:noProof/>
                <w:sz w:val="16"/>
                <w:szCs w:val="16"/>
              </w:rPr>
              <w:t>%</w:t>
            </w:r>
          </w:p>
        </w:tc>
        <w:tc>
          <w:tcPr>
            <w:tcW w:w="710" w:type="dxa"/>
            <w:tcBorders>
              <w:top w:val="single" w:sz="4" w:space="0" w:color="auto"/>
              <w:left w:val="single" w:sz="4" w:space="0" w:color="auto"/>
              <w:bottom w:val="single" w:sz="4" w:space="0" w:color="auto"/>
              <w:right w:val="single" w:sz="4" w:space="0" w:color="auto"/>
            </w:tcBorders>
          </w:tcPr>
          <w:p w:rsidR="004D7EF9" w:rsidRPr="004D7EF9" w:rsidRDefault="00132D91" w:rsidP="004D7EF9">
            <w:pPr>
              <w:tabs>
                <w:tab w:val="left" w:pos="0"/>
              </w:tabs>
              <w:contextualSpacing/>
              <w:jc w:val="center"/>
              <w:rPr>
                <w:b/>
                <w:iCs/>
                <w:noProof/>
                <w:sz w:val="16"/>
                <w:szCs w:val="16"/>
              </w:rPr>
            </w:pPr>
            <w:r>
              <w:rPr>
                <w:b/>
                <w:iCs/>
                <w:noProof/>
                <w:sz w:val="16"/>
                <w:szCs w:val="16"/>
              </w:rPr>
              <w:t>-93</w:t>
            </w:r>
            <w:r w:rsidR="004D7EF9" w:rsidRPr="004D7EF9">
              <w:rPr>
                <w:b/>
                <w:iCs/>
                <w:noProof/>
                <w:sz w:val="16"/>
                <w:szCs w:val="16"/>
              </w:rPr>
              <w:t>%</w:t>
            </w:r>
          </w:p>
        </w:tc>
      </w:tr>
    </w:tbl>
    <w:p w:rsidR="00C2401E" w:rsidRPr="003434C8" w:rsidRDefault="00C2401E" w:rsidP="00804837">
      <w:pPr>
        <w:tabs>
          <w:tab w:val="left" w:pos="0"/>
        </w:tabs>
        <w:spacing w:after="240"/>
        <w:contextualSpacing/>
        <w:jc w:val="both"/>
        <w:rPr>
          <w:iCs/>
          <w:noProof/>
        </w:rPr>
      </w:pPr>
    </w:p>
    <w:p w:rsidR="00E75600" w:rsidRDefault="00E75600" w:rsidP="00CB2EA5">
      <w:pPr>
        <w:tabs>
          <w:tab w:val="left" w:pos="0"/>
        </w:tabs>
        <w:spacing w:after="240"/>
        <w:contextualSpacing/>
        <w:jc w:val="both"/>
        <w:rPr>
          <w:iCs/>
          <w:noProof/>
        </w:rPr>
      </w:pPr>
      <w:r>
        <w:rPr>
          <w:iCs/>
          <w:noProof/>
        </w:rPr>
        <w:tab/>
      </w:r>
      <w:r w:rsidR="005E6CF3" w:rsidRPr="000F1266">
        <w:rPr>
          <w:iCs/>
          <w:noProof/>
        </w:rPr>
        <w:t xml:space="preserve">Дані таблиці </w:t>
      </w:r>
      <w:r w:rsidR="00F0715C" w:rsidRPr="000F1266">
        <w:rPr>
          <w:iCs/>
          <w:noProof/>
        </w:rPr>
        <w:t>№</w:t>
      </w:r>
      <w:r w:rsidR="00AA6D6A" w:rsidRPr="000F1266">
        <w:rPr>
          <w:iCs/>
          <w:noProof/>
        </w:rPr>
        <w:t>3</w:t>
      </w:r>
      <w:r w:rsidR="005E6CF3" w:rsidRPr="000F1266">
        <w:rPr>
          <w:iCs/>
          <w:noProof/>
        </w:rPr>
        <w:t xml:space="preserve"> </w:t>
      </w:r>
      <w:r w:rsidR="00F0715C" w:rsidRPr="000F1266">
        <w:rPr>
          <w:iCs/>
          <w:noProof/>
        </w:rPr>
        <w:t>п</w:t>
      </w:r>
      <w:r w:rsidR="00914542" w:rsidRPr="000F1266">
        <w:rPr>
          <w:iCs/>
          <w:noProof/>
        </w:rPr>
        <w:t>оказують, що у звітному періоді Третім апеляційним адміністративним судом найбільше переглянуто рішень (постанов)</w:t>
      </w:r>
      <w:r w:rsidR="00395764" w:rsidRPr="000F1266">
        <w:rPr>
          <w:iCs/>
          <w:noProof/>
        </w:rPr>
        <w:t xml:space="preserve">, справи </w:t>
      </w:r>
      <w:r w:rsidR="00914542" w:rsidRPr="000F1266">
        <w:rPr>
          <w:iCs/>
          <w:noProof/>
        </w:rPr>
        <w:t>зі спорів з приводу реалізації публічної політики у сферах праці, зайнятості населення та соціального захисту громадян та публічної житлової політики</w:t>
      </w:r>
      <w:r w:rsidR="006F2C51" w:rsidRPr="000F1266">
        <w:rPr>
          <w:iCs/>
          <w:noProof/>
        </w:rPr>
        <w:t xml:space="preserve"> </w:t>
      </w:r>
      <w:r w:rsidR="00437569" w:rsidRPr="000F1266">
        <w:rPr>
          <w:iCs/>
          <w:noProof/>
        </w:rPr>
        <w:t>-</w:t>
      </w:r>
      <w:r w:rsidR="006F2C51" w:rsidRPr="000F1266">
        <w:rPr>
          <w:iCs/>
          <w:noProof/>
        </w:rPr>
        <w:t xml:space="preserve"> </w:t>
      </w:r>
      <w:r w:rsidR="00437569" w:rsidRPr="000F1266">
        <w:rPr>
          <w:b/>
          <w:iCs/>
          <w:noProof/>
        </w:rPr>
        <w:t>11 804</w:t>
      </w:r>
      <w:r w:rsidR="00A17A49" w:rsidRPr="000F1266">
        <w:rPr>
          <w:iCs/>
          <w:noProof/>
        </w:rPr>
        <w:t xml:space="preserve">, або </w:t>
      </w:r>
      <w:r w:rsidR="00A17A49" w:rsidRPr="000F1266">
        <w:rPr>
          <w:b/>
          <w:iCs/>
          <w:noProof/>
        </w:rPr>
        <w:t>60,6</w:t>
      </w:r>
      <w:r w:rsidR="004B4523" w:rsidRPr="000F1266">
        <w:rPr>
          <w:b/>
          <w:iCs/>
          <w:noProof/>
        </w:rPr>
        <w:t xml:space="preserve">% </w:t>
      </w:r>
      <w:r w:rsidR="004B4523" w:rsidRPr="000F1266">
        <w:rPr>
          <w:iCs/>
          <w:noProof/>
        </w:rPr>
        <w:t xml:space="preserve">від загальної кількості переглянутих рішень (постанов), проти </w:t>
      </w:r>
      <w:r w:rsidR="003A1BCB" w:rsidRPr="000F1266">
        <w:rPr>
          <w:b/>
          <w:iCs/>
          <w:noProof/>
        </w:rPr>
        <w:t>3250</w:t>
      </w:r>
      <w:r w:rsidR="000C60DE" w:rsidRPr="000F1266">
        <w:rPr>
          <w:b/>
          <w:iCs/>
          <w:noProof/>
        </w:rPr>
        <w:t xml:space="preserve"> (</w:t>
      </w:r>
      <w:r w:rsidR="00A17A49" w:rsidRPr="000F1266">
        <w:rPr>
          <w:b/>
          <w:iCs/>
          <w:noProof/>
        </w:rPr>
        <w:t>30,7</w:t>
      </w:r>
      <w:r w:rsidR="004B4523" w:rsidRPr="000F1266">
        <w:rPr>
          <w:b/>
          <w:iCs/>
          <w:noProof/>
        </w:rPr>
        <w:t xml:space="preserve">%) </w:t>
      </w:r>
      <w:r w:rsidR="004B4523" w:rsidRPr="000F1266">
        <w:rPr>
          <w:iCs/>
          <w:noProof/>
        </w:rPr>
        <w:t>у 202</w:t>
      </w:r>
      <w:r w:rsidR="003A1BCB" w:rsidRPr="000F1266">
        <w:rPr>
          <w:iCs/>
          <w:noProof/>
        </w:rPr>
        <w:t>4</w:t>
      </w:r>
      <w:r w:rsidR="004B4523" w:rsidRPr="000F1266">
        <w:rPr>
          <w:iCs/>
          <w:noProof/>
        </w:rPr>
        <w:t xml:space="preserve"> році. </w:t>
      </w:r>
      <w:r w:rsidR="008D647D" w:rsidRPr="000F1266">
        <w:rPr>
          <w:iCs/>
          <w:noProof/>
        </w:rPr>
        <w:t>Відносний показник змінених чи скасованих рішень (постанов) у 2025 році збільшився порівняно з 2024 роком.</w:t>
      </w:r>
    </w:p>
    <w:p w:rsidR="00CC507E" w:rsidRDefault="00E75600" w:rsidP="00CC507E">
      <w:pPr>
        <w:tabs>
          <w:tab w:val="left" w:pos="0"/>
        </w:tabs>
        <w:spacing w:after="240"/>
        <w:contextualSpacing/>
        <w:jc w:val="both"/>
        <w:rPr>
          <w:b/>
          <w:iCs/>
          <w:noProof/>
        </w:rPr>
      </w:pPr>
      <w:r>
        <w:rPr>
          <w:iCs/>
          <w:noProof/>
        </w:rPr>
        <w:lastRenderedPageBreak/>
        <w:tab/>
      </w:r>
      <w:r w:rsidR="00CB2EA5" w:rsidRPr="000F1266">
        <w:rPr>
          <w:iCs/>
          <w:noProof/>
        </w:rPr>
        <w:t>Результати перегляду ухвал суду за апеляційними скаргами відобр</w:t>
      </w:r>
      <w:r>
        <w:rPr>
          <w:iCs/>
          <w:noProof/>
        </w:rPr>
        <w:t>ажено в таблиці №4, гістограм</w:t>
      </w:r>
      <w:r w:rsidR="00BD071B">
        <w:rPr>
          <w:iCs/>
          <w:noProof/>
        </w:rPr>
        <w:t>і</w:t>
      </w:r>
      <w:r>
        <w:rPr>
          <w:iCs/>
          <w:noProof/>
        </w:rPr>
        <w:t xml:space="preserve"> 3</w:t>
      </w:r>
      <w:r w:rsidR="00DF7FE7">
        <w:rPr>
          <w:iCs/>
          <w:noProof/>
        </w:rPr>
        <w:t>.</w:t>
      </w:r>
    </w:p>
    <w:p w:rsidR="00CB2EA5" w:rsidRPr="00D14627" w:rsidRDefault="00CB2EA5" w:rsidP="00CB2EA5">
      <w:pPr>
        <w:jc w:val="right"/>
        <w:rPr>
          <w:b/>
          <w:iCs/>
          <w:noProof/>
        </w:rPr>
      </w:pPr>
      <w:r w:rsidRPr="003434C8">
        <w:rPr>
          <w:b/>
          <w:iCs/>
          <w:noProof/>
        </w:rPr>
        <w:t>Таблиця №</w:t>
      </w:r>
      <w:r>
        <w:rPr>
          <w:b/>
          <w:iCs/>
          <w:noProof/>
        </w:rPr>
        <w:t>4</w:t>
      </w:r>
      <w:r w:rsidRPr="003434C8">
        <w:rPr>
          <w:b/>
          <w:iCs/>
          <w:noProof/>
        </w:rPr>
        <w:t xml:space="preserve"> </w:t>
      </w:r>
    </w:p>
    <w:tbl>
      <w:tblPr>
        <w:tblW w:w="93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
        <w:gridCol w:w="1592"/>
        <w:gridCol w:w="711"/>
        <w:gridCol w:w="852"/>
        <w:gridCol w:w="994"/>
        <w:gridCol w:w="1138"/>
        <w:gridCol w:w="853"/>
        <w:gridCol w:w="994"/>
        <w:gridCol w:w="853"/>
        <w:gridCol w:w="994"/>
      </w:tblGrid>
      <w:tr w:rsidR="00CB2EA5" w:rsidRPr="003434C8" w:rsidTr="00812FA7">
        <w:trPr>
          <w:trHeight w:val="531"/>
        </w:trPr>
        <w:tc>
          <w:tcPr>
            <w:tcW w:w="397" w:type="dxa"/>
            <w:vMerge w:val="restart"/>
            <w:shd w:val="clear" w:color="auto" w:fill="auto"/>
            <w:textDirection w:val="btLr"/>
            <w:vAlign w:val="center"/>
            <w:hideMark/>
          </w:tcPr>
          <w:p w:rsidR="00CB2EA5" w:rsidRPr="00812FA7" w:rsidRDefault="00CB2EA5" w:rsidP="0012408F">
            <w:pPr>
              <w:jc w:val="center"/>
              <w:rPr>
                <w:color w:val="000000"/>
                <w:sz w:val="16"/>
                <w:szCs w:val="16"/>
              </w:rPr>
            </w:pPr>
            <w:r w:rsidRPr="00812FA7">
              <w:rPr>
                <w:color w:val="000000"/>
                <w:sz w:val="16"/>
                <w:szCs w:val="16"/>
              </w:rPr>
              <w:t>№ з/п</w:t>
            </w:r>
          </w:p>
        </w:tc>
        <w:tc>
          <w:tcPr>
            <w:tcW w:w="1592" w:type="dxa"/>
            <w:vMerge w:val="restart"/>
            <w:shd w:val="clear" w:color="auto" w:fill="auto"/>
            <w:vAlign w:val="center"/>
            <w:hideMark/>
          </w:tcPr>
          <w:p w:rsidR="00CB2EA5" w:rsidRPr="00812FA7" w:rsidRDefault="00CB2EA5" w:rsidP="0012408F">
            <w:pPr>
              <w:jc w:val="center"/>
              <w:rPr>
                <w:b/>
                <w:bCs/>
                <w:color w:val="000000"/>
                <w:sz w:val="16"/>
                <w:szCs w:val="16"/>
              </w:rPr>
            </w:pPr>
            <w:r w:rsidRPr="00812FA7">
              <w:rPr>
                <w:b/>
                <w:bCs/>
                <w:color w:val="000000"/>
                <w:sz w:val="16"/>
                <w:szCs w:val="16"/>
              </w:rPr>
              <w:t>Вид ухвали за змістом</w:t>
            </w:r>
          </w:p>
        </w:tc>
        <w:tc>
          <w:tcPr>
            <w:tcW w:w="1563" w:type="dxa"/>
            <w:gridSpan w:val="2"/>
            <w:shd w:val="clear" w:color="auto" w:fill="auto"/>
            <w:vAlign w:val="center"/>
            <w:hideMark/>
          </w:tcPr>
          <w:p w:rsidR="00CB2EA5" w:rsidRPr="00812FA7" w:rsidRDefault="00CB2EA5" w:rsidP="0012408F">
            <w:pPr>
              <w:jc w:val="center"/>
              <w:rPr>
                <w:b/>
                <w:bCs/>
                <w:sz w:val="16"/>
                <w:szCs w:val="16"/>
              </w:rPr>
            </w:pPr>
            <w:r w:rsidRPr="00812FA7">
              <w:rPr>
                <w:b/>
                <w:bCs/>
                <w:sz w:val="16"/>
                <w:szCs w:val="16"/>
              </w:rPr>
              <w:t>Загальна кількість переглянутих ухвал суду</w:t>
            </w:r>
          </w:p>
        </w:tc>
        <w:tc>
          <w:tcPr>
            <w:tcW w:w="2132" w:type="dxa"/>
            <w:gridSpan w:val="2"/>
            <w:shd w:val="clear" w:color="auto" w:fill="auto"/>
            <w:vAlign w:val="center"/>
            <w:hideMark/>
          </w:tcPr>
          <w:p w:rsidR="00CB2EA5" w:rsidRPr="00812FA7" w:rsidRDefault="00CB2EA5" w:rsidP="0012408F">
            <w:pPr>
              <w:jc w:val="center"/>
              <w:rPr>
                <w:b/>
                <w:bCs/>
                <w:sz w:val="16"/>
                <w:szCs w:val="16"/>
              </w:rPr>
            </w:pPr>
            <w:r w:rsidRPr="00812FA7">
              <w:rPr>
                <w:b/>
                <w:bCs/>
                <w:sz w:val="16"/>
                <w:szCs w:val="16"/>
              </w:rPr>
              <w:t>Ухвалу суду залишено без змін</w:t>
            </w:r>
          </w:p>
        </w:tc>
        <w:tc>
          <w:tcPr>
            <w:tcW w:w="1847" w:type="dxa"/>
            <w:gridSpan w:val="2"/>
            <w:shd w:val="clear" w:color="auto" w:fill="auto"/>
            <w:vAlign w:val="center"/>
            <w:hideMark/>
          </w:tcPr>
          <w:p w:rsidR="00CB2EA5" w:rsidRPr="00812FA7" w:rsidRDefault="00CB2EA5" w:rsidP="0012408F">
            <w:pPr>
              <w:jc w:val="center"/>
              <w:rPr>
                <w:b/>
                <w:bCs/>
                <w:sz w:val="16"/>
                <w:szCs w:val="16"/>
              </w:rPr>
            </w:pPr>
            <w:r w:rsidRPr="00812FA7">
              <w:rPr>
                <w:b/>
                <w:bCs/>
                <w:sz w:val="16"/>
                <w:szCs w:val="16"/>
              </w:rPr>
              <w:t>Ухвалу суду змінено</w:t>
            </w:r>
          </w:p>
        </w:tc>
        <w:tc>
          <w:tcPr>
            <w:tcW w:w="1847" w:type="dxa"/>
            <w:gridSpan w:val="2"/>
            <w:shd w:val="clear" w:color="auto" w:fill="auto"/>
            <w:vAlign w:val="center"/>
            <w:hideMark/>
          </w:tcPr>
          <w:p w:rsidR="00CB2EA5" w:rsidRPr="00812FA7" w:rsidRDefault="00CB2EA5" w:rsidP="0012408F">
            <w:pPr>
              <w:jc w:val="center"/>
              <w:rPr>
                <w:b/>
                <w:bCs/>
                <w:sz w:val="16"/>
                <w:szCs w:val="16"/>
              </w:rPr>
            </w:pPr>
            <w:r w:rsidRPr="00812FA7">
              <w:rPr>
                <w:b/>
                <w:bCs/>
                <w:sz w:val="16"/>
                <w:szCs w:val="16"/>
              </w:rPr>
              <w:t>Ухвалу суду скасовано (усього)</w:t>
            </w:r>
          </w:p>
        </w:tc>
      </w:tr>
      <w:tr w:rsidR="00CB2EA5" w:rsidRPr="003434C8" w:rsidTr="00812FA7">
        <w:trPr>
          <w:trHeight w:val="135"/>
        </w:trPr>
        <w:tc>
          <w:tcPr>
            <w:tcW w:w="397" w:type="dxa"/>
            <w:vMerge/>
            <w:shd w:val="clear" w:color="auto" w:fill="auto"/>
            <w:vAlign w:val="bottom"/>
            <w:hideMark/>
          </w:tcPr>
          <w:p w:rsidR="00CB2EA5" w:rsidRPr="00812FA7" w:rsidRDefault="00CB2EA5" w:rsidP="0012408F">
            <w:pPr>
              <w:rPr>
                <w:color w:val="000000"/>
                <w:sz w:val="16"/>
                <w:szCs w:val="16"/>
              </w:rPr>
            </w:pPr>
          </w:p>
        </w:tc>
        <w:tc>
          <w:tcPr>
            <w:tcW w:w="1592" w:type="dxa"/>
            <w:vMerge/>
            <w:shd w:val="clear" w:color="auto" w:fill="auto"/>
            <w:vAlign w:val="bottom"/>
            <w:hideMark/>
          </w:tcPr>
          <w:p w:rsidR="00CB2EA5" w:rsidRPr="00812FA7" w:rsidRDefault="00CB2EA5" w:rsidP="0012408F">
            <w:pPr>
              <w:rPr>
                <w:color w:val="000000"/>
                <w:sz w:val="16"/>
                <w:szCs w:val="16"/>
              </w:rPr>
            </w:pPr>
          </w:p>
        </w:tc>
        <w:tc>
          <w:tcPr>
            <w:tcW w:w="711" w:type="dxa"/>
            <w:shd w:val="clear" w:color="auto" w:fill="auto"/>
            <w:vAlign w:val="bottom"/>
            <w:hideMark/>
          </w:tcPr>
          <w:p w:rsidR="00CB2EA5" w:rsidRPr="00700206" w:rsidRDefault="00CB2EA5" w:rsidP="0012408F">
            <w:pPr>
              <w:jc w:val="center"/>
              <w:rPr>
                <w:b/>
                <w:color w:val="000000"/>
                <w:sz w:val="16"/>
                <w:szCs w:val="16"/>
              </w:rPr>
            </w:pPr>
            <w:r w:rsidRPr="00700206">
              <w:rPr>
                <w:b/>
                <w:color w:val="000000"/>
                <w:sz w:val="16"/>
                <w:szCs w:val="16"/>
              </w:rPr>
              <w:t>2024</w:t>
            </w:r>
          </w:p>
        </w:tc>
        <w:tc>
          <w:tcPr>
            <w:tcW w:w="852" w:type="dxa"/>
            <w:shd w:val="clear" w:color="auto" w:fill="auto"/>
            <w:vAlign w:val="bottom"/>
          </w:tcPr>
          <w:p w:rsidR="00CB2EA5" w:rsidRPr="00700206" w:rsidRDefault="00CB2EA5" w:rsidP="0012408F">
            <w:pPr>
              <w:jc w:val="center"/>
              <w:rPr>
                <w:b/>
                <w:color w:val="000000"/>
                <w:sz w:val="16"/>
                <w:szCs w:val="16"/>
              </w:rPr>
            </w:pPr>
            <w:r w:rsidRPr="00700206">
              <w:rPr>
                <w:b/>
                <w:color w:val="000000"/>
                <w:sz w:val="16"/>
                <w:szCs w:val="16"/>
              </w:rPr>
              <w:t>2025</w:t>
            </w:r>
          </w:p>
        </w:tc>
        <w:tc>
          <w:tcPr>
            <w:tcW w:w="994" w:type="dxa"/>
            <w:shd w:val="clear" w:color="auto" w:fill="auto"/>
            <w:vAlign w:val="bottom"/>
            <w:hideMark/>
          </w:tcPr>
          <w:p w:rsidR="00CB2EA5" w:rsidRPr="00700206" w:rsidRDefault="00CB2EA5" w:rsidP="0012408F">
            <w:pPr>
              <w:jc w:val="center"/>
              <w:rPr>
                <w:b/>
                <w:color w:val="000000"/>
                <w:sz w:val="16"/>
                <w:szCs w:val="16"/>
              </w:rPr>
            </w:pPr>
            <w:r w:rsidRPr="00700206">
              <w:rPr>
                <w:b/>
                <w:color w:val="000000"/>
                <w:sz w:val="16"/>
                <w:szCs w:val="16"/>
              </w:rPr>
              <w:t>2024</w:t>
            </w:r>
          </w:p>
        </w:tc>
        <w:tc>
          <w:tcPr>
            <w:tcW w:w="1137" w:type="dxa"/>
            <w:shd w:val="clear" w:color="auto" w:fill="auto"/>
            <w:vAlign w:val="bottom"/>
          </w:tcPr>
          <w:p w:rsidR="00CB2EA5" w:rsidRPr="00700206" w:rsidRDefault="00CB2EA5" w:rsidP="0012408F">
            <w:pPr>
              <w:jc w:val="center"/>
              <w:rPr>
                <w:b/>
                <w:color w:val="000000"/>
                <w:sz w:val="16"/>
                <w:szCs w:val="16"/>
              </w:rPr>
            </w:pPr>
            <w:r w:rsidRPr="00700206">
              <w:rPr>
                <w:b/>
                <w:color w:val="000000"/>
                <w:sz w:val="16"/>
                <w:szCs w:val="16"/>
              </w:rPr>
              <w:t>2025</w:t>
            </w:r>
          </w:p>
        </w:tc>
        <w:tc>
          <w:tcPr>
            <w:tcW w:w="853" w:type="dxa"/>
            <w:shd w:val="clear" w:color="auto" w:fill="auto"/>
            <w:vAlign w:val="bottom"/>
            <w:hideMark/>
          </w:tcPr>
          <w:p w:rsidR="00CB2EA5" w:rsidRPr="00700206" w:rsidRDefault="00CB2EA5" w:rsidP="0012408F">
            <w:pPr>
              <w:jc w:val="center"/>
              <w:rPr>
                <w:b/>
                <w:color w:val="000000"/>
                <w:sz w:val="16"/>
                <w:szCs w:val="16"/>
              </w:rPr>
            </w:pPr>
            <w:r w:rsidRPr="00700206">
              <w:rPr>
                <w:b/>
                <w:color w:val="000000"/>
                <w:sz w:val="16"/>
                <w:szCs w:val="16"/>
              </w:rPr>
              <w:t>2024</w:t>
            </w:r>
          </w:p>
        </w:tc>
        <w:tc>
          <w:tcPr>
            <w:tcW w:w="994" w:type="dxa"/>
            <w:shd w:val="clear" w:color="auto" w:fill="auto"/>
            <w:vAlign w:val="bottom"/>
          </w:tcPr>
          <w:p w:rsidR="00CB2EA5" w:rsidRPr="00700206" w:rsidRDefault="00CB2EA5" w:rsidP="0012408F">
            <w:pPr>
              <w:jc w:val="center"/>
              <w:rPr>
                <w:b/>
                <w:color w:val="000000"/>
                <w:sz w:val="16"/>
                <w:szCs w:val="16"/>
              </w:rPr>
            </w:pPr>
            <w:r w:rsidRPr="00700206">
              <w:rPr>
                <w:b/>
                <w:color w:val="000000"/>
                <w:sz w:val="16"/>
                <w:szCs w:val="16"/>
              </w:rPr>
              <w:t>2025</w:t>
            </w:r>
          </w:p>
        </w:tc>
        <w:tc>
          <w:tcPr>
            <w:tcW w:w="853" w:type="dxa"/>
            <w:shd w:val="clear" w:color="auto" w:fill="auto"/>
            <w:vAlign w:val="bottom"/>
            <w:hideMark/>
          </w:tcPr>
          <w:p w:rsidR="00CB2EA5" w:rsidRPr="00700206" w:rsidRDefault="00CB2EA5" w:rsidP="0012408F">
            <w:pPr>
              <w:jc w:val="center"/>
              <w:rPr>
                <w:b/>
                <w:color w:val="000000"/>
                <w:sz w:val="16"/>
                <w:szCs w:val="16"/>
              </w:rPr>
            </w:pPr>
            <w:r w:rsidRPr="00700206">
              <w:rPr>
                <w:b/>
                <w:color w:val="000000"/>
                <w:sz w:val="16"/>
                <w:szCs w:val="16"/>
              </w:rPr>
              <w:t>2024</w:t>
            </w:r>
          </w:p>
        </w:tc>
        <w:tc>
          <w:tcPr>
            <w:tcW w:w="994" w:type="dxa"/>
            <w:shd w:val="clear" w:color="auto" w:fill="auto"/>
            <w:vAlign w:val="bottom"/>
          </w:tcPr>
          <w:p w:rsidR="00CB2EA5" w:rsidRPr="00700206" w:rsidRDefault="00CB2EA5" w:rsidP="0012408F">
            <w:pPr>
              <w:jc w:val="center"/>
              <w:rPr>
                <w:b/>
                <w:color w:val="000000"/>
                <w:sz w:val="16"/>
                <w:szCs w:val="16"/>
              </w:rPr>
            </w:pPr>
            <w:r w:rsidRPr="00700206">
              <w:rPr>
                <w:b/>
                <w:color w:val="000000"/>
                <w:sz w:val="16"/>
                <w:szCs w:val="16"/>
              </w:rPr>
              <w:t>2025</w:t>
            </w:r>
          </w:p>
        </w:tc>
      </w:tr>
      <w:tr w:rsidR="00CB2EA5" w:rsidRPr="003434C8" w:rsidTr="00812FA7">
        <w:trPr>
          <w:trHeight w:val="269"/>
        </w:trPr>
        <w:tc>
          <w:tcPr>
            <w:tcW w:w="397" w:type="dxa"/>
            <w:tcBorders>
              <w:bottom w:val="single" w:sz="4" w:space="0" w:color="auto"/>
            </w:tcBorders>
            <w:shd w:val="clear" w:color="auto" w:fill="auto"/>
            <w:vAlign w:val="bottom"/>
            <w:hideMark/>
          </w:tcPr>
          <w:p w:rsidR="00CB2EA5" w:rsidRPr="00812FA7" w:rsidRDefault="00CB2EA5" w:rsidP="0012408F">
            <w:pPr>
              <w:rPr>
                <w:color w:val="000000"/>
                <w:sz w:val="16"/>
                <w:szCs w:val="16"/>
              </w:rPr>
            </w:pPr>
            <w:r w:rsidRPr="00812FA7">
              <w:rPr>
                <w:color w:val="000000"/>
                <w:sz w:val="16"/>
                <w:szCs w:val="16"/>
              </w:rPr>
              <w:t>1</w:t>
            </w:r>
          </w:p>
        </w:tc>
        <w:tc>
          <w:tcPr>
            <w:tcW w:w="1592" w:type="dxa"/>
            <w:tcBorders>
              <w:bottom w:val="single" w:sz="4" w:space="0" w:color="auto"/>
            </w:tcBorders>
            <w:shd w:val="clear" w:color="auto" w:fill="auto"/>
            <w:vAlign w:val="center"/>
            <w:hideMark/>
          </w:tcPr>
          <w:p w:rsidR="00CB2EA5" w:rsidRPr="00812FA7" w:rsidRDefault="00CB2EA5" w:rsidP="0012408F">
            <w:pPr>
              <w:rPr>
                <w:b/>
                <w:bCs/>
                <w:sz w:val="16"/>
                <w:szCs w:val="16"/>
              </w:rPr>
            </w:pPr>
            <w:r w:rsidRPr="00812FA7">
              <w:rPr>
                <w:b/>
                <w:bCs/>
                <w:sz w:val="16"/>
                <w:szCs w:val="16"/>
              </w:rPr>
              <w:t xml:space="preserve">УСЬОГО </w:t>
            </w:r>
          </w:p>
        </w:tc>
        <w:tc>
          <w:tcPr>
            <w:tcW w:w="711" w:type="dxa"/>
            <w:tcBorders>
              <w:bottom w:val="single" w:sz="4" w:space="0" w:color="auto"/>
            </w:tcBorders>
            <w:shd w:val="clear" w:color="auto" w:fill="auto"/>
            <w:vAlign w:val="center"/>
            <w:hideMark/>
          </w:tcPr>
          <w:p w:rsidR="00CB2EA5" w:rsidRPr="00700206" w:rsidRDefault="00CB2EA5" w:rsidP="0012408F">
            <w:pPr>
              <w:jc w:val="center"/>
              <w:rPr>
                <w:b/>
                <w:bCs/>
                <w:color w:val="000000"/>
                <w:sz w:val="16"/>
                <w:szCs w:val="16"/>
                <w:lang w:val="en-US"/>
              </w:rPr>
            </w:pPr>
            <w:r w:rsidRPr="00700206">
              <w:rPr>
                <w:b/>
                <w:bCs/>
                <w:color w:val="000000"/>
                <w:sz w:val="16"/>
                <w:szCs w:val="16"/>
              </w:rPr>
              <w:t>1381</w:t>
            </w:r>
          </w:p>
        </w:tc>
        <w:tc>
          <w:tcPr>
            <w:tcW w:w="852" w:type="dxa"/>
            <w:tcBorders>
              <w:bottom w:val="single" w:sz="4" w:space="0" w:color="auto"/>
            </w:tcBorders>
            <w:shd w:val="clear" w:color="auto" w:fill="auto"/>
            <w:vAlign w:val="center"/>
          </w:tcPr>
          <w:p w:rsidR="00CB2EA5" w:rsidRPr="00700206" w:rsidRDefault="00CB2EA5" w:rsidP="0012408F">
            <w:pPr>
              <w:jc w:val="center"/>
              <w:rPr>
                <w:b/>
                <w:bCs/>
                <w:color w:val="000000"/>
                <w:sz w:val="16"/>
                <w:szCs w:val="16"/>
              </w:rPr>
            </w:pPr>
            <w:r w:rsidRPr="00700206">
              <w:rPr>
                <w:b/>
                <w:bCs/>
                <w:color w:val="000000"/>
                <w:sz w:val="16"/>
                <w:szCs w:val="16"/>
              </w:rPr>
              <w:t>1958</w:t>
            </w:r>
          </w:p>
        </w:tc>
        <w:tc>
          <w:tcPr>
            <w:tcW w:w="994" w:type="dxa"/>
            <w:tcBorders>
              <w:bottom w:val="single" w:sz="4" w:space="0" w:color="auto"/>
            </w:tcBorders>
            <w:shd w:val="clear" w:color="auto" w:fill="auto"/>
            <w:vAlign w:val="center"/>
            <w:hideMark/>
          </w:tcPr>
          <w:p w:rsidR="00CB2EA5" w:rsidRPr="00700206" w:rsidRDefault="00CB2EA5" w:rsidP="0012408F">
            <w:pPr>
              <w:jc w:val="center"/>
              <w:rPr>
                <w:b/>
                <w:bCs/>
                <w:color w:val="000000"/>
                <w:sz w:val="16"/>
                <w:szCs w:val="16"/>
                <w:lang w:val="en-US"/>
              </w:rPr>
            </w:pPr>
            <w:r w:rsidRPr="00700206">
              <w:rPr>
                <w:b/>
                <w:bCs/>
                <w:color w:val="000000"/>
                <w:sz w:val="16"/>
                <w:szCs w:val="16"/>
              </w:rPr>
              <w:t>794 (57,5%)</w:t>
            </w:r>
          </w:p>
        </w:tc>
        <w:tc>
          <w:tcPr>
            <w:tcW w:w="1137" w:type="dxa"/>
            <w:tcBorders>
              <w:bottom w:val="single" w:sz="4" w:space="0" w:color="auto"/>
            </w:tcBorders>
            <w:shd w:val="clear" w:color="auto" w:fill="auto"/>
            <w:vAlign w:val="center"/>
          </w:tcPr>
          <w:p w:rsidR="00CB2EA5" w:rsidRPr="00700206" w:rsidRDefault="00CB2EA5" w:rsidP="0012408F">
            <w:pPr>
              <w:jc w:val="center"/>
              <w:rPr>
                <w:b/>
                <w:bCs/>
                <w:color w:val="000000"/>
                <w:sz w:val="16"/>
                <w:szCs w:val="16"/>
              </w:rPr>
            </w:pPr>
            <w:r w:rsidRPr="00700206">
              <w:rPr>
                <w:b/>
                <w:bCs/>
                <w:color w:val="000000"/>
                <w:sz w:val="16"/>
                <w:szCs w:val="16"/>
              </w:rPr>
              <w:t>1243 (64%)</w:t>
            </w:r>
          </w:p>
        </w:tc>
        <w:tc>
          <w:tcPr>
            <w:tcW w:w="853" w:type="dxa"/>
            <w:tcBorders>
              <w:bottom w:val="single" w:sz="4" w:space="0" w:color="auto"/>
            </w:tcBorders>
            <w:shd w:val="clear" w:color="auto" w:fill="auto"/>
            <w:vAlign w:val="center"/>
            <w:hideMark/>
          </w:tcPr>
          <w:p w:rsidR="00CB2EA5" w:rsidRPr="00700206" w:rsidRDefault="00CB2EA5" w:rsidP="0012408F">
            <w:pPr>
              <w:jc w:val="center"/>
              <w:rPr>
                <w:b/>
                <w:bCs/>
                <w:color w:val="000000"/>
                <w:sz w:val="16"/>
                <w:szCs w:val="16"/>
                <w:lang w:val="en-US"/>
              </w:rPr>
            </w:pPr>
            <w:r w:rsidRPr="00700206">
              <w:rPr>
                <w:b/>
                <w:bCs/>
                <w:color w:val="000000"/>
                <w:sz w:val="16"/>
                <w:szCs w:val="16"/>
              </w:rPr>
              <w:t>18 (1,5%)</w:t>
            </w:r>
          </w:p>
        </w:tc>
        <w:tc>
          <w:tcPr>
            <w:tcW w:w="994" w:type="dxa"/>
            <w:tcBorders>
              <w:bottom w:val="single" w:sz="4" w:space="0" w:color="auto"/>
            </w:tcBorders>
            <w:shd w:val="clear" w:color="auto" w:fill="auto"/>
            <w:vAlign w:val="center"/>
          </w:tcPr>
          <w:p w:rsidR="00CB2EA5" w:rsidRPr="00700206" w:rsidRDefault="00CB2EA5" w:rsidP="0012408F">
            <w:pPr>
              <w:jc w:val="center"/>
              <w:rPr>
                <w:b/>
                <w:bCs/>
                <w:color w:val="000000"/>
                <w:sz w:val="16"/>
                <w:szCs w:val="16"/>
              </w:rPr>
            </w:pPr>
            <w:r w:rsidRPr="00700206">
              <w:rPr>
                <w:b/>
                <w:bCs/>
                <w:color w:val="000000"/>
                <w:sz w:val="16"/>
                <w:szCs w:val="16"/>
              </w:rPr>
              <w:t>14 (1%)</w:t>
            </w:r>
          </w:p>
        </w:tc>
        <w:tc>
          <w:tcPr>
            <w:tcW w:w="853" w:type="dxa"/>
            <w:tcBorders>
              <w:bottom w:val="single" w:sz="4" w:space="0" w:color="auto"/>
            </w:tcBorders>
            <w:shd w:val="clear" w:color="auto" w:fill="auto"/>
            <w:vAlign w:val="center"/>
            <w:hideMark/>
          </w:tcPr>
          <w:p w:rsidR="00CB2EA5" w:rsidRPr="00700206" w:rsidRDefault="00CB2EA5" w:rsidP="0012408F">
            <w:pPr>
              <w:jc w:val="center"/>
              <w:rPr>
                <w:b/>
                <w:bCs/>
                <w:color w:val="000000"/>
                <w:sz w:val="16"/>
                <w:szCs w:val="16"/>
                <w:lang w:val="en-US"/>
              </w:rPr>
            </w:pPr>
            <w:r w:rsidRPr="00700206">
              <w:rPr>
                <w:b/>
                <w:bCs/>
                <w:color w:val="000000"/>
                <w:sz w:val="16"/>
                <w:szCs w:val="16"/>
              </w:rPr>
              <w:t>569 (41%)</w:t>
            </w:r>
          </w:p>
        </w:tc>
        <w:tc>
          <w:tcPr>
            <w:tcW w:w="994" w:type="dxa"/>
            <w:tcBorders>
              <w:bottom w:val="single" w:sz="4" w:space="0" w:color="auto"/>
            </w:tcBorders>
            <w:shd w:val="clear" w:color="auto" w:fill="auto"/>
            <w:vAlign w:val="center"/>
          </w:tcPr>
          <w:p w:rsidR="00CB2EA5" w:rsidRPr="00700206" w:rsidRDefault="00CB2EA5" w:rsidP="0012408F">
            <w:pPr>
              <w:jc w:val="center"/>
              <w:rPr>
                <w:b/>
                <w:bCs/>
                <w:color w:val="000000"/>
                <w:sz w:val="16"/>
                <w:szCs w:val="16"/>
              </w:rPr>
            </w:pPr>
            <w:r w:rsidRPr="00700206">
              <w:rPr>
                <w:b/>
                <w:bCs/>
                <w:color w:val="000000"/>
                <w:sz w:val="16"/>
                <w:szCs w:val="16"/>
              </w:rPr>
              <w:t>700 (35%)</w:t>
            </w:r>
          </w:p>
        </w:tc>
      </w:tr>
      <w:tr w:rsidR="00CB2EA5" w:rsidRPr="003434C8" w:rsidTr="00812FA7">
        <w:trPr>
          <w:trHeight w:val="253"/>
        </w:trPr>
        <w:tc>
          <w:tcPr>
            <w:tcW w:w="3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2EA5" w:rsidRPr="00812FA7" w:rsidRDefault="00CB2EA5" w:rsidP="0012408F">
            <w:pPr>
              <w:rPr>
                <w:color w:val="000000"/>
                <w:sz w:val="16"/>
                <w:szCs w:val="16"/>
              </w:rPr>
            </w:pPr>
            <w:r w:rsidRPr="00812FA7">
              <w:rPr>
                <w:color w:val="000000"/>
                <w:sz w:val="16"/>
                <w:szCs w:val="16"/>
              </w:rPr>
              <w:t>2</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2EA5" w:rsidRPr="00812FA7" w:rsidRDefault="00CB2EA5" w:rsidP="0012408F">
            <w:pPr>
              <w:rPr>
                <w:color w:val="000000"/>
                <w:sz w:val="16"/>
                <w:szCs w:val="16"/>
              </w:rPr>
            </w:pPr>
            <w:r w:rsidRPr="00812FA7">
              <w:rPr>
                <w:color w:val="000000"/>
                <w:sz w:val="16"/>
                <w:szCs w:val="16"/>
              </w:rPr>
              <w:t>про повернення позовної заяви</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2EA5" w:rsidRPr="00812FA7" w:rsidRDefault="00CB2EA5" w:rsidP="0012408F">
            <w:pPr>
              <w:jc w:val="center"/>
              <w:rPr>
                <w:sz w:val="16"/>
                <w:szCs w:val="16"/>
              </w:rPr>
            </w:pPr>
            <w:r w:rsidRPr="00812FA7">
              <w:rPr>
                <w:sz w:val="16"/>
                <w:szCs w:val="16"/>
              </w:rPr>
              <w:t>416</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CB2EA5" w:rsidRPr="00812FA7" w:rsidRDefault="00CB2EA5" w:rsidP="0012408F">
            <w:pPr>
              <w:jc w:val="center"/>
              <w:rPr>
                <w:sz w:val="16"/>
                <w:szCs w:val="16"/>
              </w:rPr>
            </w:pPr>
            <w:r w:rsidRPr="00812FA7">
              <w:rPr>
                <w:sz w:val="16"/>
                <w:szCs w:val="16"/>
              </w:rPr>
              <w:t>467</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2EA5" w:rsidRPr="00812FA7" w:rsidRDefault="00CB2EA5" w:rsidP="0012408F">
            <w:pPr>
              <w:jc w:val="center"/>
              <w:rPr>
                <w:sz w:val="16"/>
                <w:szCs w:val="16"/>
              </w:rPr>
            </w:pPr>
            <w:r w:rsidRPr="00812FA7">
              <w:rPr>
                <w:sz w:val="16"/>
                <w:szCs w:val="16"/>
              </w:rPr>
              <w:t>190</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CB2EA5" w:rsidRPr="00812FA7" w:rsidRDefault="00CB2EA5" w:rsidP="0012408F">
            <w:pPr>
              <w:jc w:val="center"/>
              <w:rPr>
                <w:sz w:val="16"/>
                <w:szCs w:val="16"/>
              </w:rPr>
            </w:pPr>
            <w:r w:rsidRPr="00812FA7">
              <w:rPr>
                <w:sz w:val="16"/>
                <w:szCs w:val="16"/>
              </w:rPr>
              <w:t>218</w:t>
            </w: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2EA5" w:rsidRPr="00812FA7" w:rsidRDefault="00CB2EA5" w:rsidP="0012408F">
            <w:pPr>
              <w:jc w:val="center"/>
              <w:rPr>
                <w:sz w:val="16"/>
                <w:szCs w:val="16"/>
              </w:rPr>
            </w:pPr>
            <w:r w:rsidRPr="00812FA7">
              <w:rPr>
                <w:sz w:val="16"/>
                <w:szCs w:val="16"/>
              </w:rPr>
              <w:t xml:space="preserve">5 </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CB2EA5" w:rsidRPr="00812FA7" w:rsidRDefault="00CB2EA5" w:rsidP="0012408F">
            <w:pPr>
              <w:jc w:val="center"/>
              <w:rPr>
                <w:sz w:val="16"/>
                <w:szCs w:val="16"/>
              </w:rPr>
            </w:pPr>
            <w:r w:rsidRPr="00812FA7">
              <w:rPr>
                <w:sz w:val="16"/>
                <w:szCs w:val="16"/>
              </w:rPr>
              <w:t>2</w:t>
            </w: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2EA5" w:rsidRPr="00812FA7" w:rsidRDefault="00CB2EA5" w:rsidP="0012408F">
            <w:pPr>
              <w:jc w:val="center"/>
              <w:rPr>
                <w:sz w:val="16"/>
                <w:szCs w:val="16"/>
              </w:rPr>
            </w:pPr>
            <w:r w:rsidRPr="00812FA7">
              <w:rPr>
                <w:sz w:val="16"/>
                <w:szCs w:val="16"/>
              </w:rPr>
              <w:t xml:space="preserve">221 </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CB2EA5" w:rsidRPr="00812FA7" w:rsidRDefault="00CB2EA5" w:rsidP="0012408F">
            <w:pPr>
              <w:jc w:val="center"/>
              <w:rPr>
                <w:sz w:val="16"/>
                <w:szCs w:val="16"/>
              </w:rPr>
            </w:pPr>
            <w:r w:rsidRPr="00812FA7">
              <w:rPr>
                <w:sz w:val="16"/>
                <w:szCs w:val="16"/>
              </w:rPr>
              <w:t>247</w:t>
            </w:r>
          </w:p>
        </w:tc>
      </w:tr>
      <w:tr w:rsidR="00CB2EA5" w:rsidRPr="003434C8" w:rsidTr="00812FA7">
        <w:trPr>
          <w:trHeight w:val="413"/>
        </w:trPr>
        <w:tc>
          <w:tcPr>
            <w:tcW w:w="397" w:type="dxa"/>
            <w:tcBorders>
              <w:top w:val="single" w:sz="4" w:space="0" w:color="auto"/>
            </w:tcBorders>
            <w:shd w:val="clear" w:color="auto" w:fill="auto"/>
            <w:vAlign w:val="center"/>
            <w:hideMark/>
          </w:tcPr>
          <w:p w:rsidR="00CB2EA5" w:rsidRPr="00812FA7" w:rsidRDefault="00CB2EA5" w:rsidP="0012408F">
            <w:pPr>
              <w:rPr>
                <w:color w:val="000000"/>
                <w:sz w:val="16"/>
                <w:szCs w:val="16"/>
              </w:rPr>
            </w:pPr>
            <w:r w:rsidRPr="00812FA7">
              <w:rPr>
                <w:color w:val="000000"/>
                <w:sz w:val="16"/>
                <w:szCs w:val="16"/>
              </w:rPr>
              <w:t>3</w:t>
            </w:r>
          </w:p>
        </w:tc>
        <w:tc>
          <w:tcPr>
            <w:tcW w:w="1592" w:type="dxa"/>
            <w:tcBorders>
              <w:top w:val="single" w:sz="4" w:space="0" w:color="auto"/>
            </w:tcBorders>
            <w:shd w:val="clear" w:color="auto" w:fill="auto"/>
            <w:vAlign w:val="center"/>
            <w:hideMark/>
          </w:tcPr>
          <w:p w:rsidR="00CB2EA5" w:rsidRPr="00812FA7" w:rsidRDefault="00CB2EA5" w:rsidP="0012408F">
            <w:pPr>
              <w:rPr>
                <w:color w:val="000000"/>
                <w:sz w:val="16"/>
                <w:szCs w:val="16"/>
              </w:rPr>
            </w:pPr>
            <w:r w:rsidRPr="00812FA7">
              <w:rPr>
                <w:color w:val="000000"/>
                <w:sz w:val="16"/>
                <w:szCs w:val="16"/>
              </w:rPr>
              <w:t>про відмову у відкритті провадження у справі</w:t>
            </w:r>
          </w:p>
        </w:tc>
        <w:tc>
          <w:tcPr>
            <w:tcW w:w="711" w:type="dxa"/>
            <w:tcBorders>
              <w:top w:val="single" w:sz="4" w:space="0" w:color="auto"/>
            </w:tcBorders>
            <w:shd w:val="clear" w:color="auto" w:fill="auto"/>
            <w:vAlign w:val="center"/>
            <w:hideMark/>
          </w:tcPr>
          <w:p w:rsidR="00CB2EA5" w:rsidRPr="00812FA7" w:rsidRDefault="00CB2EA5" w:rsidP="0012408F">
            <w:pPr>
              <w:jc w:val="center"/>
              <w:rPr>
                <w:sz w:val="16"/>
                <w:szCs w:val="16"/>
              </w:rPr>
            </w:pPr>
            <w:r w:rsidRPr="00812FA7">
              <w:rPr>
                <w:sz w:val="16"/>
                <w:szCs w:val="16"/>
              </w:rPr>
              <w:t>108</w:t>
            </w:r>
          </w:p>
        </w:tc>
        <w:tc>
          <w:tcPr>
            <w:tcW w:w="852" w:type="dxa"/>
            <w:tcBorders>
              <w:top w:val="single" w:sz="4" w:space="0" w:color="auto"/>
            </w:tcBorders>
            <w:shd w:val="clear" w:color="auto" w:fill="auto"/>
            <w:vAlign w:val="center"/>
          </w:tcPr>
          <w:p w:rsidR="00CB2EA5" w:rsidRPr="00812FA7" w:rsidRDefault="00CB2EA5" w:rsidP="0012408F">
            <w:pPr>
              <w:jc w:val="center"/>
              <w:rPr>
                <w:sz w:val="16"/>
                <w:szCs w:val="16"/>
              </w:rPr>
            </w:pPr>
            <w:r w:rsidRPr="00812FA7">
              <w:rPr>
                <w:sz w:val="16"/>
                <w:szCs w:val="16"/>
              </w:rPr>
              <w:t>155</w:t>
            </w:r>
          </w:p>
        </w:tc>
        <w:tc>
          <w:tcPr>
            <w:tcW w:w="994" w:type="dxa"/>
            <w:tcBorders>
              <w:top w:val="single" w:sz="4" w:space="0" w:color="auto"/>
            </w:tcBorders>
            <w:shd w:val="clear" w:color="auto" w:fill="auto"/>
            <w:vAlign w:val="center"/>
            <w:hideMark/>
          </w:tcPr>
          <w:p w:rsidR="00CB2EA5" w:rsidRPr="00812FA7" w:rsidRDefault="00CB2EA5" w:rsidP="0012408F">
            <w:pPr>
              <w:jc w:val="center"/>
              <w:rPr>
                <w:sz w:val="16"/>
                <w:szCs w:val="16"/>
              </w:rPr>
            </w:pPr>
            <w:r w:rsidRPr="00812FA7">
              <w:rPr>
                <w:sz w:val="16"/>
                <w:szCs w:val="16"/>
              </w:rPr>
              <w:t>73</w:t>
            </w:r>
          </w:p>
        </w:tc>
        <w:tc>
          <w:tcPr>
            <w:tcW w:w="1137" w:type="dxa"/>
            <w:tcBorders>
              <w:top w:val="single" w:sz="4" w:space="0" w:color="auto"/>
            </w:tcBorders>
            <w:shd w:val="clear" w:color="auto" w:fill="auto"/>
            <w:vAlign w:val="center"/>
          </w:tcPr>
          <w:p w:rsidR="00CB2EA5" w:rsidRPr="00812FA7" w:rsidRDefault="00CB2EA5" w:rsidP="0012408F">
            <w:pPr>
              <w:jc w:val="center"/>
              <w:rPr>
                <w:sz w:val="16"/>
                <w:szCs w:val="16"/>
              </w:rPr>
            </w:pPr>
            <w:r w:rsidRPr="00812FA7">
              <w:rPr>
                <w:sz w:val="16"/>
                <w:szCs w:val="16"/>
              </w:rPr>
              <w:t>88</w:t>
            </w:r>
          </w:p>
        </w:tc>
        <w:tc>
          <w:tcPr>
            <w:tcW w:w="853" w:type="dxa"/>
            <w:tcBorders>
              <w:top w:val="single" w:sz="4" w:space="0" w:color="auto"/>
            </w:tcBorders>
            <w:shd w:val="clear" w:color="auto" w:fill="auto"/>
            <w:vAlign w:val="center"/>
            <w:hideMark/>
          </w:tcPr>
          <w:p w:rsidR="00CB2EA5" w:rsidRPr="00812FA7" w:rsidRDefault="00CB2EA5" w:rsidP="0012408F">
            <w:pPr>
              <w:jc w:val="center"/>
              <w:rPr>
                <w:sz w:val="16"/>
                <w:szCs w:val="16"/>
              </w:rPr>
            </w:pPr>
            <w:r w:rsidRPr="00812FA7">
              <w:rPr>
                <w:sz w:val="16"/>
                <w:szCs w:val="16"/>
              </w:rPr>
              <w:t xml:space="preserve">0 </w:t>
            </w:r>
          </w:p>
        </w:tc>
        <w:tc>
          <w:tcPr>
            <w:tcW w:w="994" w:type="dxa"/>
            <w:tcBorders>
              <w:top w:val="single" w:sz="4" w:space="0" w:color="auto"/>
            </w:tcBorders>
            <w:shd w:val="clear" w:color="auto" w:fill="auto"/>
            <w:vAlign w:val="center"/>
          </w:tcPr>
          <w:p w:rsidR="00CB2EA5" w:rsidRPr="00812FA7" w:rsidRDefault="00CB2EA5" w:rsidP="0012408F">
            <w:pPr>
              <w:jc w:val="center"/>
              <w:rPr>
                <w:sz w:val="16"/>
                <w:szCs w:val="16"/>
              </w:rPr>
            </w:pPr>
            <w:r w:rsidRPr="00812FA7">
              <w:rPr>
                <w:sz w:val="16"/>
                <w:szCs w:val="16"/>
              </w:rPr>
              <w:t>1</w:t>
            </w:r>
          </w:p>
        </w:tc>
        <w:tc>
          <w:tcPr>
            <w:tcW w:w="853" w:type="dxa"/>
            <w:tcBorders>
              <w:top w:val="single" w:sz="4" w:space="0" w:color="auto"/>
            </w:tcBorders>
            <w:shd w:val="clear" w:color="auto" w:fill="auto"/>
            <w:vAlign w:val="center"/>
            <w:hideMark/>
          </w:tcPr>
          <w:p w:rsidR="00CB2EA5" w:rsidRPr="00812FA7" w:rsidRDefault="00CB2EA5" w:rsidP="0012408F">
            <w:pPr>
              <w:jc w:val="center"/>
              <w:rPr>
                <w:sz w:val="16"/>
                <w:szCs w:val="16"/>
              </w:rPr>
            </w:pPr>
            <w:r w:rsidRPr="00812FA7">
              <w:rPr>
                <w:sz w:val="16"/>
                <w:szCs w:val="16"/>
              </w:rPr>
              <w:t>35</w:t>
            </w:r>
          </w:p>
        </w:tc>
        <w:tc>
          <w:tcPr>
            <w:tcW w:w="994" w:type="dxa"/>
            <w:tcBorders>
              <w:top w:val="single" w:sz="4" w:space="0" w:color="auto"/>
            </w:tcBorders>
            <w:shd w:val="clear" w:color="auto" w:fill="auto"/>
            <w:vAlign w:val="center"/>
          </w:tcPr>
          <w:p w:rsidR="00CB2EA5" w:rsidRPr="00812FA7" w:rsidRDefault="00CB2EA5" w:rsidP="0012408F">
            <w:pPr>
              <w:jc w:val="center"/>
              <w:rPr>
                <w:sz w:val="16"/>
                <w:szCs w:val="16"/>
              </w:rPr>
            </w:pPr>
            <w:r w:rsidRPr="00812FA7">
              <w:rPr>
                <w:sz w:val="16"/>
                <w:szCs w:val="16"/>
              </w:rPr>
              <w:t>66</w:t>
            </w:r>
          </w:p>
        </w:tc>
      </w:tr>
      <w:tr w:rsidR="00CB2EA5" w:rsidRPr="003434C8" w:rsidTr="00812FA7">
        <w:trPr>
          <w:trHeight w:val="354"/>
        </w:trPr>
        <w:tc>
          <w:tcPr>
            <w:tcW w:w="397" w:type="dxa"/>
            <w:shd w:val="clear" w:color="auto" w:fill="auto"/>
            <w:vAlign w:val="center"/>
            <w:hideMark/>
          </w:tcPr>
          <w:p w:rsidR="00CB2EA5" w:rsidRPr="00812FA7" w:rsidRDefault="00CB2EA5" w:rsidP="0012408F">
            <w:pPr>
              <w:rPr>
                <w:color w:val="000000"/>
                <w:sz w:val="16"/>
                <w:szCs w:val="16"/>
              </w:rPr>
            </w:pPr>
            <w:r w:rsidRPr="00812FA7">
              <w:rPr>
                <w:color w:val="000000"/>
                <w:sz w:val="16"/>
                <w:szCs w:val="16"/>
              </w:rPr>
              <w:t>4</w:t>
            </w:r>
          </w:p>
        </w:tc>
        <w:tc>
          <w:tcPr>
            <w:tcW w:w="1592" w:type="dxa"/>
            <w:shd w:val="clear" w:color="auto" w:fill="auto"/>
            <w:vAlign w:val="center"/>
            <w:hideMark/>
          </w:tcPr>
          <w:p w:rsidR="00CB2EA5" w:rsidRPr="00812FA7" w:rsidRDefault="00CB2EA5" w:rsidP="0012408F">
            <w:pPr>
              <w:rPr>
                <w:color w:val="000000"/>
                <w:sz w:val="16"/>
                <w:szCs w:val="16"/>
              </w:rPr>
            </w:pPr>
            <w:r w:rsidRPr="00812FA7">
              <w:rPr>
                <w:color w:val="000000"/>
                <w:sz w:val="16"/>
                <w:szCs w:val="16"/>
              </w:rPr>
              <w:t>про закриття провадження у справі</w:t>
            </w:r>
          </w:p>
        </w:tc>
        <w:tc>
          <w:tcPr>
            <w:tcW w:w="711" w:type="dxa"/>
            <w:shd w:val="clear" w:color="auto" w:fill="auto"/>
            <w:vAlign w:val="center"/>
            <w:hideMark/>
          </w:tcPr>
          <w:p w:rsidR="00CB2EA5" w:rsidRPr="00812FA7" w:rsidRDefault="00CB2EA5" w:rsidP="0012408F">
            <w:pPr>
              <w:jc w:val="center"/>
              <w:rPr>
                <w:sz w:val="16"/>
                <w:szCs w:val="16"/>
              </w:rPr>
            </w:pPr>
            <w:r w:rsidRPr="00812FA7">
              <w:rPr>
                <w:sz w:val="16"/>
                <w:szCs w:val="16"/>
              </w:rPr>
              <w:t>58</w:t>
            </w:r>
          </w:p>
        </w:tc>
        <w:tc>
          <w:tcPr>
            <w:tcW w:w="852" w:type="dxa"/>
            <w:shd w:val="clear" w:color="auto" w:fill="auto"/>
            <w:vAlign w:val="center"/>
          </w:tcPr>
          <w:p w:rsidR="00CB2EA5" w:rsidRPr="00812FA7" w:rsidRDefault="00CB2EA5" w:rsidP="0012408F">
            <w:pPr>
              <w:jc w:val="center"/>
              <w:rPr>
                <w:sz w:val="16"/>
                <w:szCs w:val="16"/>
              </w:rPr>
            </w:pPr>
            <w:r w:rsidRPr="00812FA7">
              <w:rPr>
                <w:sz w:val="16"/>
                <w:szCs w:val="16"/>
              </w:rPr>
              <w:t>45</w:t>
            </w:r>
          </w:p>
        </w:tc>
        <w:tc>
          <w:tcPr>
            <w:tcW w:w="994" w:type="dxa"/>
            <w:shd w:val="clear" w:color="auto" w:fill="auto"/>
            <w:vAlign w:val="center"/>
            <w:hideMark/>
          </w:tcPr>
          <w:p w:rsidR="00CB2EA5" w:rsidRPr="00812FA7" w:rsidRDefault="00CB2EA5" w:rsidP="0012408F">
            <w:pPr>
              <w:jc w:val="center"/>
              <w:rPr>
                <w:sz w:val="16"/>
                <w:szCs w:val="16"/>
              </w:rPr>
            </w:pPr>
            <w:r w:rsidRPr="00812FA7">
              <w:rPr>
                <w:sz w:val="16"/>
                <w:szCs w:val="16"/>
              </w:rPr>
              <w:t xml:space="preserve">31 </w:t>
            </w:r>
          </w:p>
        </w:tc>
        <w:tc>
          <w:tcPr>
            <w:tcW w:w="1137" w:type="dxa"/>
            <w:shd w:val="clear" w:color="auto" w:fill="auto"/>
            <w:vAlign w:val="center"/>
          </w:tcPr>
          <w:p w:rsidR="00CB2EA5" w:rsidRPr="00812FA7" w:rsidRDefault="00CB2EA5" w:rsidP="0012408F">
            <w:pPr>
              <w:jc w:val="center"/>
              <w:rPr>
                <w:sz w:val="16"/>
                <w:szCs w:val="16"/>
              </w:rPr>
            </w:pPr>
            <w:r w:rsidRPr="00812FA7">
              <w:rPr>
                <w:sz w:val="16"/>
                <w:szCs w:val="16"/>
              </w:rPr>
              <w:t>22</w:t>
            </w:r>
          </w:p>
        </w:tc>
        <w:tc>
          <w:tcPr>
            <w:tcW w:w="853" w:type="dxa"/>
            <w:shd w:val="clear" w:color="auto" w:fill="auto"/>
            <w:vAlign w:val="center"/>
            <w:hideMark/>
          </w:tcPr>
          <w:p w:rsidR="00CB2EA5" w:rsidRPr="00812FA7" w:rsidRDefault="00CB2EA5" w:rsidP="0012408F">
            <w:pPr>
              <w:jc w:val="center"/>
              <w:rPr>
                <w:sz w:val="16"/>
                <w:szCs w:val="16"/>
              </w:rPr>
            </w:pPr>
            <w:r w:rsidRPr="00812FA7">
              <w:rPr>
                <w:sz w:val="16"/>
                <w:szCs w:val="16"/>
              </w:rPr>
              <w:t>2</w:t>
            </w:r>
          </w:p>
        </w:tc>
        <w:tc>
          <w:tcPr>
            <w:tcW w:w="994" w:type="dxa"/>
            <w:shd w:val="clear" w:color="auto" w:fill="auto"/>
            <w:vAlign w:val="center"/>
          </w:tcPr>
          <w:p w:rsidR="00CB2EA5" w:rsidRPr="00812FA7" w:rsidRDefault="00CB2EA5" w:rsidP="0012408F">
            <w:pPr>
              <w:jc w:val="center"/>
              <w:rPr>
                <w:sz w:val="16"/>
                <w:szCs w:val="16"/>
              </w:rPr>
            </w:pPr>
            <w:r w:rsidRPr="00812FA7">
              <w:rPr>
                <w:sz w:val="16"/>
                <w:szCs w:val="16"/>
              </w:rPr>
              <w:t>1</w:t>
            </w:r>
          </w:p>
        </w:tc>
        <w:tc>
          <w:tcPr>
            <w:tcW w:w="853" w:type="dxa"/>
            <w:shd w:val="clear" w:color="auto" w:fill="auto"/>
            <w:vAlign w:val="center"/>
            <w:hideMark/>
          </w:tcPr>
          <w:p w:rsidR="00CB2EA5" w:rsidRPr="00812FA7" w:rsidRDefault="00CB2EA5" w:rsidP="0012408F">
            <w:pPr>
              <w:jc w:val="center"/>
              <w:rPr>
                <w:sz w:val="16"/>
                <w:szCs w:val="16"/>
              </w:rPr>
            </w:pPr>
            <w:r w:rsidRPr="00812FA7">
              <w:rPr>
                <w:sz w:val="16"/>
                <w:szCs w:val="16"/>
              </w:rPr>
              <w:t xml:space="preserve">25 </w:t>
            </w:r>
          </w:p>
        </w:tc>
        <w:tc>
          <w:tcPr>
            <w:tcW w:w="994" w:type="dxa"/>
            <w:shd w:val="clear" w:color="auto" w:fill="auto"/>
            <w:vAlign w:val="center"/>
          </w:tcPr>
          <w:p w:rsidR="00CB2EA5" w:rsidRPr="00812FA7" w:rsidRDefault="00CB2EA5" w:rsidP="0012408F">
            <w:pPr>
              <w:jc w:val="center"/>
              <w:rPr>
                <w:sz w:val="16"/>
                <w:szCs w:val="16"/>
              </w:rPr>
            </w:pPr>
            <w:r w:rsidRPr="00812FA7">
              <w:rPr>
                <w:sz w:val="16"/>
                <w:szCs w:val="16"/>
              </w:rPr>
              <w:t>22</w:t>
            </w:r>
          </w:p>
        </w:tc>
      </w:tr>
      <w:tr w:rsidR="00CB2EA5" w:rsidRPr="003434C8" w:rsidTr="00812FA7">
        <w:trPr>
          <w:trHeight w:val="358"/>
        </w:trPr>
        <w:tc>
          <w:tcPr>
            <w:tcW w:w="397" w:type="dxa"/>
            <w:shd w:val="clear" w:color="auto" w:fill="auto"/>
            <w:vAlign w:val="center"/>
            <w:hideMark/>
          </w:tcPr>
          <w:p w:rsidR="00CB2EA5" w:rsidRPr="00812FA7" w:rsidRDefault="00CB2EA5" w:rsidP="0012408F">
            <w:pPr>
              <w:rPr>
                <w:color w:val="000000"/>
                <w:sz w:val="16"/>
                <w:szCs w:val="16"/>
              </w:rPr>
            </w:pPr>
            <w:r w:rsidRPr="00812FA7">
              <w:rPr>
                <w:color w:val="000000"/>
                <w:sz w:val="16"/>
                <w:szCs w:val="16"/>
              </w:rPr>
              <w:t>5</w:t>
            </w:r>
          </w:p>
        </w:tc>
        <w:tc>
          <w:tcPr>
            <w:tcW w:w="1592" w:type="dxa"/>
            <w:shd w:val="clear" w:color="auto" w:fill="auto"/>
            <w:vAlign w:val="center"/>
            <w:hideMark/>
          </w:tcPr>
          <w:p w:rsidR="00CB2EA5" w:rsidRPr="00812FA7" w:rsidRDefault="00CB2EA5" w:rsidP="0012408F">
            <w:pPr>
              <w:rPr>
                <w:color w:val="000000"/>
                <w:sz w:val="16"/>
                <w:szCs w:val="16"/>
              </w:rPr>
            </w:pPr>
            <w:r w:rsidRPr="00812FA7">
              <w:rPr>
                <w:color w:val="000000"/>
                <w:sz w:val="16"/>
                <w:szCs w:val="16"/>
              </w:rPr>
              <w:t>про залишення заяви без розгляду</w:t>
            </w:r>
          </w:p>
        </w:tc>
        <w:tc>
          <w:tcPr>
            <w:tcW w:w="711" w:type="dxa"/>
            <w:shd w:val="clear" w:color="auto" w:fill="auto"/>
            <w:vAlign w:val="center"/>
            <w:hideMark/>
          </w:tcPr>
          <w:p w:rsidR="00CB2EA5" w:rsidRPr="00812FA7" w:rsidRDefault="00CB2EA5" w:rsidP="0012408F">
            <w:pPr>
              <w:jc w:val="center"/>
              <w:rPr>
                <w:sz w:val="16"/>
                <w:szCs w:val="16"/>
              </w:rPr>
            </w:pPr>
            <w:r w:rsidRPr="00812FA7">
              <w:rPr>
                <w:sz w:val="16"/>
                <w:szCs w:val="16"/>
              </w:rPr>
              <w:t>91</w:t>
            </w:r>
          </w:p>
        </w:tc>
        <w:tc>
          <w:tcPr>
            <w:tcW w:w="852" w:type="dxa"/>
            <w:shd w:val="clear" w:color="auto" w:fill="auto"/>
            <w:vAlign w:val="center"/>
          </w:tcPr>
          <w:p w:rsidR="00CB2EA5" w:rsidRPr="00812FA7" w:rsidRDefault="00CB2EA5" w:rsidP="0012408F">
            <w:pPr>
              <w:jc w:val="center"/>
              <w:rPr>
                <w:sz w:val="16"/>
                <w:szCs w:val="16"/>
              </w:rPr>
            </w:pPr>
            <w:r w:rsidRPr="00812FA7">
              <w:rPr>
                <w:sz w:val="16"/>
                <w:szCs w:val="16"/>
              </w:rPr>
              <w:t>126</w:t>
            </w:r>
          </w:p>
        </w:tc>
        <w:tc>
          <w:tcPr>
            <w:tcW w:w="994" w:type="dxa"/>
            <w:shd w:val="clear" w:color="auto" w:fill="auto"/>
            <w:vAlign w:val="center"/>
            <w:hideMark/>
          </w:tcPr>
          <w:p w:rsidR="00CB2EA5" w:rsidRPr="00812FA7" w:rsidRDefault="00CB2EA5" w:rsidP="0012408F">
            <w:pPr>
              <w:jc w:val="center"/>
              <w:rPr>
                <w:sz w:val="16"/>
                <w:szCs w:val="16"/>
              </w:rPr>
            </w:pPr>
            <w:r w:rsidRPr="00812FA7">
              <w:rPr>
                <w:sz w:val="16"/>
                <w:szCs w:val="16"/>
              </w:rPr>
              <w:t xml:space="preserve">51 </w:t>
            </w:r>
          </w:p>
        </w:tc>
        <w:tc>
          <w:tcPr>
            <w:tcW w:w="1137" w:type="dxa"/>
            <w:shd w:val="clear" w:color="auto" w:fill="auto"/>
            <w:vAlign w:val="center"/>
          </w:tcPr>
          <w:p w:rsidR="00CB2EA5" w:rsidRPr="00812FA7" w:rsidRDefault="00CB2EA5" w:rsidP="0012408F">
            <w:pPr>
              <w:jc w:val="center"/>
              <w:rPr>
                <w:sz w:val="16"/>
                <w:szCs w:val="16"/>
              </w:rPr>
            </w:pPr>
            <w:r w:rsidRPr="00812FA7">
              <w:rPr>
                <w:sz w:val="16"/>
                <w:szCs w:val="16"/>
              </w:rPr>
              <w:t>66</w:t>
            </w:r>
          </w:p>
        </w:tc>
        <w:tc>
          <w:tcPr>
            <w:tcW w:w="853" w:type="dxa"/>
            <w:shd w:val="clear" w:color="auto" w:fill="auto"/>
            <w:vAlign w:val="center"/>
            <w:hideMark/>
          </w:tcPr>
          <w:p w:rsidR="00CB2EA5" w:rsidRPr="00812FA7" w:rsidRDefault="00CB2EA5" w:rsidP="0012408F">
            <w:pPr>
              <w:jc w:val="center"/>
              <w:rPr>
                <w:sz w:val="16"/>
                <w:szCs w:val="16"/>
              </w:rPr>
            </w:pPr>
            <w:r w:rsidRPr="00812FA7">
              <w:rPr>
                <w:sz w:val="16"/>
                <w:szCs w:val="16"/>
              </w:rPr>
              <w:t>0</w:t>
            </w:r>
          </w:p>
        </w:tc>
        <w:tc>
          <w:tcPr>
            <w:tcW w:w="994" w:type="dxa"/>
            <w:shd w:val="clear" w:color="auto" w:fill="auto"/>
            <w:vAlign w:val="center"/>
          </w:tcPr>
          <w:p w:rsidR="00CB2EA5" w:rsidRPr="00812FA7" w:rsidRDefault="00CB2EA5" w:rsidP="0012408F">
            <w:pPr>
              <w:jc w:val="center"/>
              <w:rPr>
                <w:sz w:val="16"/>
                <w:szCs w:val="16"/>
              </w:rPr>
            </w:pPr>
            <w:r w:rsidRPr="00812FA7">
              <w:rPr>
                <w:sz w:val="16"/>
                <w:szCs w:val="16"/>
              </w:rPr>
              <w:t>0</w:t>
            </w:r>
          </w:p>
        </w:tc>
        <w:tc>
          <w:tcPr>
            <w:tcW w:w="853" w:type="dxa"/>
            <w:shd w:val="clear" w:color="auto" w:fill="auto"/>
            <w:vAlign w:val="center"/>
            <w:hideMark/>
          </w:tcPr>
          <w:p w:rsidR="00CB2EA5" w:rsidRPr="00812FA7" w:rsidRDefault="00CB2EA5" w:rsidP="0012408F">
            <w:pPr>
              <w:jc w:val="center"/>
              <w:rPr>
                <w:sz w:val="16"/>
                <w:szCs w:val="16"/>
              </w:rPr>
            </w:pPr>
            <w:r w:rsidRPr="00812FA7">
              <w:rPr>
                <w:sz w:val="16"/>
                <w:szCs w:val="16"/>
              </w:rPr>
              <w:t xml:space="preserve">40 </w:t>
            </w:r>
          </w:p>
        </w:tc>
        <w:tc>
          <w:tcPr>
            <w:tcW w:w="994" w:type="dxa"/>
            <w:shd w:val="clear" w:color="auto" w:fill="auto"/>
            <w:vAlign w:val="center"/>
          </w:tcPr>
          <w:p w:rsidR="00CB2EA5" w:rsidRPr="00812FA7" w:rsidRDefault="00CB2EA5" w:rsidP="0012408F">
            <w:pPr>
              <w:jc w:val="center"/>
              <w:rPr>
                <w:sz w:val="16"/>
                <w:szCs w:val="16"/>
              </w:rPr>
            </w:pPr>
            <w:r w:rsidRPr="00812FA7">
              <w:rPr>
                <w:sz w:val="16"/>
                <w:szCs w:val="16"/>
              </w:rPr>
              <w:t>60</w:t>
            </w:r>
          </w:p>
        </w:tc>
      </w:tr>
      <w:tr w:rsidR="00CB2EA5" w:rsidRPr="003434C8" w:rsidTr="00812FA7">
        <w:trPr>
          <w:trHeight w:val="264"/>
        </w:trPr>
        <w:tc>
          <w:tcPr>
            <w:tcW w:w="397" w:type="dxa"/>
            <w:shd w:val="clear" w:color="auto" w:fill="auto"/>
            <w:vAlign w:val="center"/>
            <w:hideMark/>
          </w:tcPr>
          <w:p w:rsidR="00CB2EA5" w:rsidRPr="00812FA7" w:rsidRDefault="00CB2EA5" w:rsidP="0012408F">
            <w:pPr>
              <w:rPr>
                <w:color w:val="000000"/>
                <w:sz w:val="16"/>
                <w:szCs w:val="16"/>
              </w:rPr>
            </w:pPr>
            <w:r w:rsidRPr="00812FA7">
              <w:rPr>
                <w:color w:val="000000"/>
                <w:sz w:val="16"/>
                <w:szCs w:val="16"/>
              </w:rPr>
              <w:t>6</w:t>
            </w:r>
          </w:p>
        </w:tc>
        <w:tc>
          <w:tcPr>
            <w:tcW w:w="1592" w:type="dxa"/>
            <w:shd w:val="clear" w:color="auto" w:fill="auto"/>
            <w:vAlign w:val="center"/>
            <w:hideMark/>
          </w:tcPr>
          <w:p w:rsidR="00CB2EA5" w:rsidRPr="00812FA7" w:rsidRDefault="00CB2EA5" w:rsidP="0012408F">
            <w:pPr>
              <w:rPr>
                <w:color w:val="000000"/>
                <w:sz w:val="16"/>
                <w:szCs w:val="16"/>
              </w:rPr>
            </w:pPr>
            <w:r w:rsidRPr="00812FA7">
              <w:rPr>
                <w:color w:val="000000"/>
                <w:sz w:val="16"/>
                <w:szCs w:val="16"/>
              </w:rPr>
              <w:t>інші</w:t>
            </w:r>
          </w:p>
        </w:tc>
        <w:tc>
          <w:tcPr>
            <w:tcW w:w="711" w:type="dxa"/>
            <w:shd w:val="clear" w:color="auto" w:fill="auto"/>
            <w:vAlign w:val="center"/>
            <w:hideMark/>
          </w:tcPr>
          <w:p w:rsidR="00CB2EA5" w:rsidRPr="00812FA7" w:rsidRDefault="00CB2EA5" w:rsidP="0012408F">
            <w:pPr>
              <w:jc w:val="center"/>
              <w:rPr>
                <w:sz w:val="16"/>
                <w:szCs w:val="16"/>
              </w:rPr>
            </w:pPr>
            <w:r w:rsidRPr="00812FA7">
              <w:rPr>
                <w:sz w:val="16"/>
                <w:szCs w:val="16"/>
              </w:rPr>
              <w:t>708</w:t>
            </w:r>
          </w:p>
        </w:tc>
        <w:tc>
          <w:tcPr>
            <w:tcW w:w="852" w:type="dxa"/>
            <w:shd w:val="clear" w:color="auto" w:fill="auto"/>
            <w:vAlign w:val="center"/>
          </w:tcPr>
          <w:p w:rsidR="00CB2EA5" w:rsidRPr="00812FA7" w:rsidRDefault="00CB2EA5" w:rsidP="0012408F">
            <w:pPr>
              <w:jc w:val="center"/>
              <w:rPr>
                <w:sz w:val="16"/>
                <w:szCs w:val="16"/>
              </w:rPr>
            </w:pPr>
            <w:r w:rsidRPr="00812FA7">
              <w:rPr>
                <w:sz w:val="16"/>
                <w:szCs w:val="16"/>
              </w:rPr>
              <w:t>1165</w:t>
            </w:r>
          </w:p>
        </w:tc>
        <w:tc>
          <w:tcPr>
            <w:tcW w:w="994" w:type="dxa"/>
            <w:shd w:val="clear" w:color="auto" w:fill="auto"/>
            <w:vAlign w:val="center"/>
            <w:hideMark/>
          </w:tcPr>
          <w:p w:rsidR="00CB2EA5" w:rsidRPr="00812FA7" w:rsidRDefault="00CB2EA5" w:rsidP="0012408F">
            <w:pPr>
              <w:jc w:val="center"/>
              <w:rPr>
                <w:sz w:val="16"/>
                <w:szCs w:val="16"/>
              </w:rPr>
            </w:pPr>
            <w:r w:rsidRPr="00812FA7">
              <w:rPr>
                <w:sz w:val="16"/>
                <w:szCs w:val="16"/>
              </w:rPr>
              <w:t xml:space="preserve">449 </w:t>
            </w:r>
          </w:p>
        </w:tc>
        <w:tc>
          <w:tcPr>
            <w:tcW w:w="1137" w:type="dxa"/>
            <w:shd w:val="clear" w:color="auto" w:fill="auto"/>
            <w:vAlign w:val="center"/>
          </w:tcPr>
          <w:p w:rsidR="00CB2EA5" w:rsidRPr="00812FA7" w:rsidRDefault="00CB2EA5" w:rsidP="0012408F">
            <w:pPr>
              <w:jc w:val="center"/>
              <w:rPr>
                <w:sz w:val="16"/>
                <w:szCs w:val="16"/>
              </w:rPr>
            </w:pPr>
            <w:r w:rsidRPr="00812FA7">
              <w:rPr>
                <w:sz w:val="16"/>
                <w:szCs w:val="16"/>
              </w:rPr>
              <w:t>849</w:t>
            </w:r>
          </w:p>
        </w:tc>
        <w:tc>
          <w:tcPr>
            <w:tcW w:w="853" w:type="dxa"/>
            <w:shd w:val="clear" w:color="auto" w:fill="auto"/>
            <w:vAlign w:val="center"/>
            <w:hideMark/>
          </w:tcPr>
          <w:p w:rsidR="00CB2EA5" w:rsidRPr="00812FA7" w:rsidRDefault="00CB2EA5" w:rsidP="0012408F">
            <w:pPr>
              <w:jc w:val="center"/>
              <w:rPr>
                <w:sz w:val="16"/>
                <w:szCs w:val="16"/>
              </w:rPr>
            </w:pPr>
            <w:r w:rsidRPr="00812FA7">
              <w:rPr>
                <w:sz w:val="16"/>
                <w:szCs w:val="16"/>
              </w:rPr>
              <w:t xml:space="preserve">11 </w:t>
            </w:r>
          </w:p>
        </w:tc>
        <w:tc>
          <w:tcPr>
            <w:tcW w:w="994" w:type="dxa"/>
            <w:shd w:val="clear" w:color="auto" w:fill="auto"/>
            <w:vAlign w:val="center"/>
          </w:tcPr>
          <w:p w:rsidR="00CB2EA5" w:rsidRPr="00812FA7" w:rsidRDefault="00CB2EA5" w:rsidP="0012408F">
            <w:pPr>
              <w:jc w:val="center"/>
              <w:rPr>
                <w:sz w:val="16"/>
                <w:szCs w:val="16"/>
              </w:rPr>
            </w:pPr>
            <w:r w:rsidRPr="00812FA7">
              <w:rPr>
                <w:sz w:val="16"/>
                <w:szCs w:val="16"/>
              </w:rPr>
              <w:t>10</w:t>
            </w:r>
          </w:p>
        </w:tc>
        <w:tc>
          <w:tcPr>
            <w:tcW w:w="853" w:type="dxa"/>
            <w:shd w:val="clear" w:color="auto" w:fill="auto"/>
            <w:vAlign w:val="center"/>
            <w:hideMark/>
          </w:tcPr>
          <w:p w:rsidR="00CB2EA5" w:rsidRPr="00812FA7" w:rsidRDefault="00CB2EA5" w:rsidP="0012408F">
            <w:pPr>
              <w:jc w:val="center"/>
              <w:rPr>
                <w:sz w:val="16"/>
                <w:szCs w:val="16"/>
              </w:rPr>
            </w:pPr>
            <w:r w:rsidRPr="00812FA7">
              <w:rPr>
                <w:sz w:val="16"/>
                <w:szCs w:val="16"/>
              </w:rPr>
              <w:t xml:space="preserve">248 </w:t>
            </w:r>
          </w:p>
        </w:tc>
        <w:tc>
          <w:tcPr>
            <w:tcW w:w="994" w:type="dxa"/>
            <w:shd w:val="clear" w:color="auto" w:fill="auto"/>
            <w:vAlign w:val="center"/>
          </w:tcPr>
          <w:p w:rsidR="00CB2EA5" w:rsidRPr="00812FA7" w:rsidRDefault="00CB2EA5" w:rsidP="0012408F">
            <w:pPr>
              <w:jc w:val="center"/>
              <w:rPr>
                <w:sz w:val="16"/>
                <w:szCs w:val="16"/>
              </w:rPr>
            </w:pPr>
            <w:r w:rsidRPr="00812FA7">
              <w:rPr>
                <w:sz w:val="16"/>
                <w:szCs w:val="16"/>
              </w:rPr>
              <w:t>30</w:t>
            </w:r>
          </w:p>
        </w:tc>
      </w:tr>
    </w:tbl>
    <w:p w:rsidR="00705487" w:rsidRDefault="00705487" w:rsidP="00296152">
      <w:pPr>
        <w:tabs>
          <w:tab w:val="left" w:pos="0"/>
        </w:tabs>
        <w:spacing w:after="240"/>
        <w:contextualSpacing/>
        <w:rPr>
          <w:b/>
          <w:iCs/>
          <w:noProof/>
        </w:rPr>
      </w:pPr>
    </w:p>
    <w:p w:rsidR="002B3536" w:rsidRPr="002B3536" w:rsidRDefault="00E75600" w:rsidP="002B3536">
      <w:pPr>
        <w:tabs>
          <w:tab w:val="left" w:pos="0"/>
        </w:tabs>
        <w:spacing w:after="240"/>
        <w:contextualSpacing/>
        <w:jc w:val="right"/>
        <w:rPr>
          <w:b/>
          <w:iCs/>
          <w:noProof/>
        </w:rPr>
      </w:pPr>
      <w:r>
        <w:rPr>
          <w:b/>
        </w:rPr>
        <w:t>Гістограма 3</w:t>
      </w:r>
    </w:p>
    <w:p w:rsidR="002B3536" w:rsidRDefault="002B3536" w:rsidP="00500CEA">
      <w:pPr>
        <w:shd w:val="clear" w:color="auto" w:fill="FFFFFF" w:themeFill="background1"/>
        <w:tabs>
          <w:tab w:val="left" w:pos="0"/>
        </w:tabs>
        <w:spacing w:after="240"/>
        <w:contextualSpacing/>
        <w:jc w:val="both"/>
        <w:rPr>
          <w:iCs/>
          <w:noProof/>
        </w:rPr>
      </w:pPr>
      <w:r w:rsidRPr="003434C8">
        <w:rPr>
          <w:noProof/>
          <w:lang w:val="en-US" w:eastAsia="en-US"/>
        </w:rPr>
        <w:drawing>
          <wp:inline distT="0" distB="0" distL="0" distR="0" wp14:anchorId="249CA23C" wp14:editId="2808A8A5">
            <wp:extent cx="5941060" cy="3143250"/>
            <wp:effectExtent l="0" t="0" r="254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C507E" w:rsidRDefault="00CC507E" w:rsidP="00735FAF">
      <w:pPr>
        <w:tabs>
          <w:tab w:val="left" w:pos="0"/>
        </w:tabs>
        <w:spacing w:after="240"/>
        <w:contextualSpacing/>
        <w:jc w:val="both"/>
        <w:rPr>
          <w:b/>
          <w:iCs/>
          <w:noProof/>
        </w:rPr>
      </w:pPr>
      <w:r>
        <w:rPr>
          <w:iCs/>
          <w:noProof/>
        </w:rPr>
        <w:tab/>
      </w:r>
      <w:r w:rsidR="00E75600" w:rsidRPr="00E75600">
        <w:rPr>
          <w:iCs/>
          <w:noProof/>
        </w:rPr>
        <w:t xml:space="preserve">За наслідками скасування ухвал в апеляційному порядку </w:t>
      </w:r>
      <w:r w:rsidR="00E75600" w:rsidRPr="00700206">
        <w:rPr>
          <w:b/>
          <w:iCs/>
          <w:noProof/>
        </w:rPr>
        <w:t>700</w:t>
      </w:r>
      <w:r w:rsidR="00E75600" w:rsidRPr="00E75600">
        <w:rPr>
          <w:iCs/>
          <w:noProof/>
        </w:rPr>
        <w:t xml:space="preserve"> одиниць, або </w:t>
      </w:r>
      <w:r w:rsidR="00E75600" w:rsidRPr="00700206">
        <w:rPr>
          <w:b/>
          <w:iCs/>
          <w:noProof/>
        </w:rPr>
        <w:t>35%</w:t>
      </w:r>
      <w:r w:rsidR="00E75600" w:rsidRPr="00E75600">
        <w:rPr>
          <w:iCs/>
          <w:noProof/>
        </w:rPr>
        <w:t xml:space="preserve"> від </w:t>
      </w:r>
      <w:r w:rsidR="00DF7FE7">
        <w:rPr>
          <w:iCs/>
          <w:noProof/>
        </w:rPr>
        <w:t xml:space="preserve">загальної кількості таких ухвал </w:t>
      </w:r>
      <w:r w:rsidR="00DF7FE7" w:rsidRPr="000F1266">
        <w:rPr>
          <w:iCs/>
          <w:noProof/>
        </w:rPr>
        <w:t>відобр</w:t>
      </w:r>
      <w:r w:rsidR="00DF7FE7">
        <w:rPr>
          <w:iCs/>
          <w:noProof/>
        </w:rPr>
        <w:t>ажено в діагр</w:t>
      </w:r>
      <w:r w:rsidR="00BD071B">
        <w:rPr>
          <w:iCs/>
          <w:noProof/>
        </w:rPr>
        <w:t>амі 3</w:t>
      </w:r>
      <w:r w:rsidR="00DF7FE7">
        <w:rPr>
          <w:iCs/>
          <w:noProof/>
        </w:rPr>
        <w:t>.</w:t>
      </w:r>
    </w:p>
    <w:p w:rsidR="000B7DB9" w:rsidRPr="00705487" w:rsidRDefault="00BD071B" w:rsidP="00CC507E">
      <w:pPr>
        <w:shd w:val="clear" w:color="auto" w:fill="FFFFFF" w:themeFill="background1"/>
        <w:tabs>
          <w:tab w:val="left" w:pos="0"/>
        </w:tabs>
        <w:spacing w:after="240"/>
        <w:contextualSpacing/>
        <w:jc w:val="right"/>
        <w:rPr>
          <w:b/>
          <w:iCs/>
          <w:noProof/>
        </w:rPr>
      </w:pPr>
      <w:r>
        <w:rPr>
          <w:b/>
          <w:iCs/>
          <w:noProof/>
        </w:rPr>
        <w:t>Діаграма 3</w:t>
      </w:r>
    </w:p>
    <w:p w:rsidR="0012408F" w:rsidRDefault="0012408F" w:rsidP="00500CEA">
      <w:pPr>
        <w:shd w:val="clear" w:color="auto" w:fill="FFFFFF" w:themeFill="background1"/>
        <w:tabs>
          <w:tab w:val="left" w:pos="0"/>
        </w:tabs>
        <w:spacing w:after="240"/>
        <w:contextualSpacing/>
        <w:jc w:val="both"/>
        <w:rPr>
          <w:iCs/>
          <w:noProof/>
        </w:rPr>
      </w:pPr>
      <w:r>
        <w:rPr>
          <w:iCs/>
          <w:noProof/>
          <w:lang w:val="en-US" w:eastAsia="en-US"/>
        </w:rPr>
        <w:drawing>
          <wp:inline distT="0" distB="0" distL="0" distR="0">
            <wp:extent cx="5941060" cy="2581275"/>
            <wp:effectExtent l="0" t="0" r="2540"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9113B" w:rsidRDefault="00DF7FE7" w:rsidP="00C06814">
      <w:pPr>
        <w:shd w:val="clear" w:color="auto" w:fill="FFFFFF" w:themeFill="background1"/>
        <w:tabs>
          <w:tab w:val="left" w:pos="0"/>
        </w:tabs>
        <w:contextualSpacing/>
        <w:jc w:val="both"/>
        <w:rPr>
          <w:iCs/>
          <w:noProof/>
        </w:rPr>
      </w:pPr>
      <w:r>
        <w:rPr>
          <w:iCs/>
          <w:noProof/>
        </w:rPr>
        <w:lastRenderedPageBreak/>
        <w:tab/>
      </w:r>
      <w:r w:rsidR="0080468C" w:rsidRPr="003434C8">
        <w:rPr>
          <w:iCs/>
          <w:noProof/>
        </w:rPr>
        <w:t xml:space="preserve">За результатами перегляду рішень (постанов) суду першої інстанції </w:t>
      </w:r>
      <w:r w:rsidR="005D4CCB">
        <w:rPr>
          <w:iCs/>
          <w:noProof/>
        </w:rPr>
        <w:t>з</w:t>
      </w:r>
      <w:r w:rsidR="0080468C" w:rsidRPr="003434C8">
        <w:rPr>
          <w:iCs/>
          <w:noProof/>
        </w:rPr>
        <w:t>а апеляційними скаргами</w:t>
      </w:r>
      <w:r w:rsidR="00A21B6C">
        <w:rPr>
          <w:iCs/>
          <w:noProof/>
        </w:rPr>
        <w:t xml:space="preserve"> </w:t>
      </w:r>
      <w:r w:rsidR="000A6FB0" w:rsidRPr="00591C93">
        <w:rPr>
          <w:iCs/>
          <w:noProof/>
        </w:rPr>
        <w:t xml:space="preserve">скасовано </w:t>
      </w:r>
      <w:r w:rsidR="000A6FB0">
        <w:rPr>
          <w:b/>
          <w:iCs/>
          <w:noProof/>
        </w:rPr>
        <w:t>2668</w:t>
      </w:r>
      <w:r w:rsidR="0080468C" w:rsidRPr="003434C8">
        <w:rPr>
          <w:iCs/>
          <w:noProof/>
        </w:rPr>
        <w:t xml:space="preserve"> судових рішень (постанов)</w:t>
      </w:r>
      <w:r w:rsidR="00A54760">
        <w:rPr>
          <w:iCs/>
          <w:noProof/>
        </w:rPr>
        <w:t xml:space="preserve">, що становить </w:t>
      </w:r>
      <w:r w:rsidR="00A54760" w:rsidRPr="00A54760">
        <w:rPr>
          <w:b/>
          <w:iCs/>
          <w:noProof/>
        </w:rPr>
        <w:t>13,6</w:t>
      </w:r>
      <w:r w:rsidR="006E11EF" w:rsidRPr="00A54760">
        <w:rPr>
          <w:b/>
          <w:iCs/>
          <w:noProof/>
        </w:rPr>
        <w:t>%</w:t>
      </w:r>
      <w:r w:rsidR="006E11EF" w:rsidRPr="003434C8">
        <w:rPr>
          <w:iCs/>
          <w:noProof/>
        </w:rPr>
        <w:t xml:space="preserve"> судових рішень (постанов)</w:t>
      </w:r>
      <w:r w:rsidR="00C677B9" w:rsidRPr="003434C8">
        <w:rPr>
          <w:iCs/>
          <w:noProof/>
        </w:rPr>
        <w:t>, по</w:t>
      </w:r>
      <w:r w:rsidR="00705487">
        <w:rPr>
          <w:iCs/>
          <w:noProof/>
        </w:rPr>
        <w:t xml:space="preserve">даних у звітному періоді </w:t>
      </w:r>
      <w:r w:rsidR="00705487" w:rsidRPr="00700206">
        <w:rPr>
          <w:b/>
          <w:iCs/>
          <w:noProof/>
        </w:rPr>
        <w:t>(19 491</w:t>
      </w:r>
      <w:r w:rsidR="00B9113B" w:rsidRPr="00700206">
        <w:rPr>
          <w:b/>
          <w:iCs/>
          <w:noProof/>
        </w:rPr>
        <w:t>)</w:t>
      </w:r>
      <w:r w:rsidR="00C06814" w:rsidRPr="00700206">
        <w:rPr>
          <w:b/>
          <w:iCs/>
          <w:noProof/>
        </w:rPr>
        <w:t>.</w:t>
      </w:r>
    </w:p>
    <w:p w:rsidR="00C06814" w:rsidRDefault="00DF7FE7" w:rsidP="00C06814">
      <w:pPr>
        <w:shd w:val="clear" w:color="auto" w:fill="FFFFFF" w:themeFill="background1"/>
        <w:tabs>
          <w:tab w:val="left" w:pos="0"/>
        </w:tabs>
        <w:contextualSpacing/>
        <w:jc w:val="both"/>
        <w:rPr>
          <w:iCs/>
          <w:noProof/>
        </w:rPr>
      </w:pPr>
      <w:r>
        <w:rPr>
          <w:iCs/>
          <w:noProof/>
        </w:rPr>
        <w:tab/>
      </w:r>
      <w:r w:rsidR="00C06814">
        <w:rPr>
          <w:iCs/>
          <w:noProof/>
        </w:rPr>
        <w:t>І</w:t>
      </w:r>
      <w:r w:rsidR="00C06814" w:rsidRPr="003434C8">
        <w:rPr>
          <w:iCs/>
          <w:noProof/>
        </w:rPr>
        <w:t>з загальної кількості скасов</w:t>
      </w:r>
      <w:r w:rsidR="00C06814">
        <w:rPr>
          <w:iCs/>
          <w:noProof/>
        </w:rPr>
        <w:t>аних судових рішень (постанов):</w:t>
      </w:r>
    </w:p>
    <w:p w:rsidR="00C06814" w:rsidRPr="000F1266" w:rsidRDefault="00DF7FE7" w:rsidP="00C06814">
      <w:pPr>
        <w:shd w:val="clear" w:color="auto" w:fill="FFFFFF" w:themeFill="background1"/>
        <w:tabs>
          <w:tab w:val="left" w:pos="0"/>
        </w:tabs>
        <w:contextualSpacing/>
        <w:jc w:val="both"/>
        <w:rPr>
          <w:iCs/>
          <w:noProof/>
        </w:rPr>
      </w:pPr>
      <w:r>
        <w:rPr>
          <w:iCs/>
          <w:noProof/>
        </w:rPr>
        <w:tab/>
      </w:r>
      <w:r w:rsidR="00C06814" w:rsidRPr="00700206">
        <w:rPr>
          <w:b/>
          <w:iCs/>
          <w:noProof/>
        </w:rPr>
        <w:t>- 2602</w:t>
      </w:r>
      <w:r w:rsidR="00C06814" w:rsidRPr="000F1266">
        <w:rPr>
          <w:iCs/>
          <w:noProof/>
        </w:rPr>
        <w:t xml:space="preserve"> із прийняттям нового судового, у тому числі у зв</w:t>
      </w:r>
      <w:r w:rsidR="00C06814" w:rsidRPr="000F1266">
        <w:rPr>
          <w:iCs/>
          <w:noProof/>
          <w:lang w:val="ru-RU"/>
        </w:rPr>
        <w:t>’</w:t>
      </w:r>
      <w:r w:rsidR="00C06814" w:rsidRPr="000F1266">
        <w:rPr>
          <w:iCs/>
          <w:noProof/>
        </w:rPr>
        <w:t>язку з:</w:t>
      </w:r>
    </w:p>
    <w:p w:rsidR="00C06814" w:rsidRPr="000F1266" w:rsidRDefault="00C06814" w:rsidP="00C06814">
      <w:pPr>
        <w:pStyle w:val="ad"/>
        <w:numPr>
          <w:ilvl w:val="0"/>
          <w:numId w:val="37"/>
        </w:numPr>
        <w:shd w:val="clear" w:color="auto" w:fill="FFFFFF" w:themeFill="background1"/>
        <w:tabs>
          <w:tab w:val="left" w:pos="0"/>
        </w:tabs>
        <w:spacing w:after="0" w:line="240" w:lineRule="auto"/>
        <w:jc w:val="both"/>
        <w:rPr>
          <w:rFonts w:ascii="Times New Roman" w:hAnsi="Times New Roman"/>
          <w:iCs/>
          <w:noProof/>
          <w:sz w:val="24"/>
          <w:szCs w:val="24"/>
          <w:lang w:val="uk-UA"/>
        </w:rPr>
      </w:pPr>
      <w:r w:rsidRPr="000F1266">
        <w:rPr>
          <w:rFonts w:ascii="Times New Roman" w:hAnsi="Times New Roman"/>
          <w:iCs/>
          <w:noProof/>
          <w:sz w:val="24"/>
          <w:szCs w:val="24"/>
        </w:rPr>
        <w:t>неповним з’ясуванням судом обставин</w:t>
      </w:r>
      <w:r w:rsidRPr="000F1266">
        <w:rPr>
          <w:rFonts w:ascii="Times New Roman" w:hAnsi="Times New Roman"/>
          <w:iCs/>
          <w:noProof/>
          <w:sz w:val="24"/>
          <w:szCs w:val="24"/>
          <w:lang w:val="uk-UA"/>
        </w:rPr>
        <w:t xml:space="preserve">, що мають значення справи </w:t>
      </w:r>
      <w:r w:rsidRPr="00700206">
        <w:rPr>
          <w:rFonts w:ascii="Times New Roman" w:hAnsi="Times New Roman"/>
          <w:b/>
          <w:iCs/>
          <w:noProof/>
          <w:sz w:val="24"/>
          <w:szCs w:val="24"/>
          <w:lang w:val="uk-UA"/>
        </w:rPr>
        <w:t>128</w:t>
      </w:r>
      <w:r w:rsidRPr="000F1266">
        <w:rPr>
          <w:rFonts w:ascii="Times New Roman" w:hAnsi="Times New Roman"/>
          <w:iCs/>
          <w:noProof/>
          <w:sz w:val="24"/>
          <w:szCs w:val="24"/>
          <w:lang w:val="uk-UA"/>
        </w:rPr>
        <w:t>;</w:t>
      </w:r>
    </w:p>
    <w:p w:rsidR="00C06814" w:rsidRPr="000F1266" w:rsidRDefault="00C06814" w:rsidP="00C06814">
      <w:pPr>
        <w:pStyle w:val="ad"/>
        <w:numPr>
          <w:ilvl w:val="0"/>
          <w:numId w:val="37"/>
        </w:numPr>
        <w:shd w:val="clear" w:color="auto" w:fill="FFFFFF" w:themeFill="background1"/>
        <w:tabs>
          <w:tab w:val="left" w:pos="0"/>
        </w:tabs>
        <w:spacing w:after="0" w:line="240" w:lineRule="auto"/>
        <w:jc w:val="both"/>
        <w:rPr>
          <w:rFonts w:ascii="Times New Roman" w:hAnsi="Times New Roman"/>
          <w:iCs/>
          <w:noProof/>
          <w:sz w:val="24"/>
          <w:szCs w:val="24"/>
          <w:lang w:val="uk-UA"/>
        </w:rPr>
      </w:pPr>
      <w:r w:rsidRPr="000F1266">
        <w:rPr>
          <w:rFonts w:ascii="Times New Roman" w:hAnsi="Times New Roman"/>
          <w:iCs/>
          <w:noProof/>
          <w:sz w:val="24"/>
          <w:szCs w:val="24"/>
        </w:rPr>
        <w:t>неправильним застосуванням норм матеріального або порушення норм процесульного права, що призвело до неправильного вирішення справи</w:t>
      </w:r>
      <w:r w:rsidRPr="000F1266">
        <w:rPr>
          <w:rFonts w:ascii="Times New Roman" w:hAnsi="Times New Roman"/>
          <w:iCs/>
          <w:noProof/>
          <w:sz w:val="24"/>
          <w:szCs w:val="24"/>
          <w:lang w:val="uk-UA"/>
        </w:rPr>
        <w:t xml:space="preserve"> </w:t>
      </w:r>
      <w:r w:rsidRPr="00700206">
        <w:rPr>
          <w:rFonts w:ascii="Times New Roman" w:hAnsi="Times New Roman"/>
          <w:b/>
          <w:iCs/>
          <w:noProof/>
          <w:sz w:val="24"/>
          <w:szCs w:val="24"/>
          <w:lang w:val="uk-UA"/>
        </w:rPr>
        <w:t>2372</w:t>
      </w:r>
      <w:r w:rsidRPr="000F1266">
        <w:rPr>
          <w:rFonts w:ascii="Times New Roman" w:hAnsi="Times New Roman"/>
          <w:iCs/>
          <w:noProof/>
          <w:sz w:val="24"/>
          <w:szCs w:val="24"/>
          <w:lang w:val="uk-UA"/>
        </w:rPr>
        <w:t>;</w:t>
      </w:r>
    </w:p>
    <w:p w:rsidR="00C06814" w:rsidRPr="000F1266" w:rsidRDefault="00DF7FE7" w:rsidP="00C06814">
      <w:pPr>
        <w:shd w:val="clear" w:color="auto" w:fill="FFFFFF" w:themeFill="background1"/>
        <w:tabs>
          <w:tab w:val="left" w:pos="0"/>
        </w:tabs>
        <w:spacing w:after="240"/>
        <w:contextualSpacing/>
        <w:jc w:val="both"/>
        <w:rPr>
          <w:iCs/>
          <w:noProof/>
        </w:rPr>
      </w:pPr>
      <w:r>
        <w:rPr>
          <w:iCs/>
          <w:noProof/>
        </w:rPr>
        <w:tab/>
      </w:r>
      <w:r w:rsidR="00C06814" w:rsidRPr="00700206">
        <w:rPr>
          <w:b/>
          <w:iCs/>
          <w:noProof/>
        </w:rPr>
        <w:t>- 2</w:t>
      </w:r>
      <w:r w:rsidR="00C06814" w:rsidRPr="000F1266">
        <w:rPr>
          <w:iCs/>
          <w:noProof/>
        </w:rPr>
        <w:t xml:space="preserve"> з направленням справи для розгляду до іншого суду першої інстанції за встановленою підсудністю;</w:t>
      </w:r>
    </w:p>
    <w:p w:rsidR="00C06814" w:rsidRPr="000F1266" w:rsidRDefault="00DF7FE7" w:rsidP="00C06814">
      <w:pPr>
        <w:shd w:val="clear" w:color="auto" w:fill="FFFFFF" w:themeFill="background1"/>
        <w:tabs>
          <w:tab w:val="left" w:pos="0"/>
        </w:tabs>
        <w:spacing w:after="240"/>
        <w:contextualSpacing/>
        <w:jc w:val="both"/>
        <w:rPr>
          <w:iCs/>
          <w:noProof/>
        </w:rPr>
      </w:pPr>
      <w:r>
        <w:rPr>
          <w:iCs/>
          <w:noProof/>
        </w:rPr>
        <w:tab/>
      </w:r>
      <w:r w:rsidR="00C06814" w:rsidRPr="00700206">
        <w:rPr>
          <w:b/>
          <w:iCs/>
          <w:noProof/>
        </w:rPr>
        <w:t>- 41</w:t>
      </w:r>
      <w:r w:rsidR="00C06814" w:rsidRPr="000F1266">
        <w:rPr>
          <w:iCs/>
          <w:noProof/>
        </w:rPr>
        <w:t xml:space="preserve"> із залишенням позовної заяви без розгляду;</w:t>
      </w:r>
    </w:p>
    <w:p w:rsidR="00DF7FE7" w:rsidRDefault="00DF7FE7" w:rsidP="00274FB0">
      <w:pPr>
        <w:shd w:val="clear" w:color="auto" w:fill="FFFFFF" w:themeFill="background1"/>
        <w:tabs>
          <w:tab w:val="left" w:pos="0"/>
        </w:tabs>
        <w:spacing w:after="240"/>
        <w:contextualSpacing/>
        <w:jc w:val="both"/>
        <w:rPr>
          <w:iCs/>
          <w:noProof/>
        </w:rPr>
      </w:pPr>
      <w:r>
        <w:rPr>
          <w:iCs/>
          <w:noProof/>
        </w:rPr>
        <w:tab/>
      </w:r>
      <w:r w:rsidR="00C06814" w:rsidRPr="00700206">
        <w:rPr>
          <w:b/>
          <w:iCs/>
          <w:noProof/>
        </w:rPr>
        <w:t>- 23</w:t>
      </w:r>
      <w:r w:rsidR="00C06814" w:rsidRPr="000F1266">
        <w:rPr>
          <w:iCs/>
          <w:noProof/>
        </w:rPr>
        <w:t xml:space="preserve"> із закриттям провадження у справі.</w:t>
      </w:r>
    </w:p>
    <w:p w:rsidR="00DF7FE7" w:rsidRDefault="00DF7FE7" w:rsidP="007760B2">
      <w:pPr>
        <w:shd w:val="clear" w:color="auto" w:fill="FFFFFF" w:themeFill="background1"/>
        <w:tabs>
          <w:tab w:val="left" w:pos="0"/>
        </w:tabs>
        <w:spacing w:after="240"/>
        <w:contextualSpacing/>
        <w:jc w:val="both"/>
        <w:rPr>
          <w:iCs/>
          <w:noProof/>
        </w:rPr>
      </w:pPr>
      <w:r>
        <w:rPr>
          <w:iCs/>
          <w:noProof/>
        </w:rPr>
        <w:tab/>
      </w:r>
      <w:r w:rsidR="002C7B4B" w:rsidRPr="000F1266">
        <w:rPr>
          <w:iCs/>
          <w:noProof/>
        </w:rPr>
        <w:t>Кількість визнаних нечинними судових рішень (постанов) із закриттям провадження у справі</w:t>
      </w:r>
      <w:r w:rsidR="000737A1" w:rsidRPr="000F1266">
        <w:rPr>
          <w:iCs/>
          <w:noProof/>
        </w:rPr>
        <w:t xml:space="preserve"> </w:t>
      </w:r>
      <w:r w:rsidR="007760B2" w:rsidRPr="00700206">
        <w:rPr>
          <w:b/>
          <w:iCs/>
          <w:noProof/>
        </w:rPr>
        <w:t>18</w:t>
      </w:r>
      <w:r>
        <w:rPr>
          <w:iCs/>
          <w:noProof/>
        </w:rPr>
        <w:t>.</w:t>
      </w:r>
    </w:p>
    <w:p w:rsidR="00DF7FE7" w:rsidRDefault="00DF7FE7" w:rsidP="00DF7FE7">
      <w:pPr>
        <w:shd w:val="clear" w:color="auto" w:fill="FFFFFF" w:themeFill="background1"/>
        <w:tabs>
          <w:tab w:val="left" w:pos="0"/>
        </w:tabs>
        <w:spacing w:after="240"/>
        <w:contextualSpacing/>
        <w:jc w:val="both"/>
        <w:rPr>
          <w:b/>
          <w:iCs/>
          <w:noProof/>
        </w:rPr>
      </w:pPr>
      <w:r>
        <w:rPr>
          <w:iCs/>
          <w:noProof/>
        </w:rPr>
        <w:tab/>
      </w:r>
      <w:r w:rsidR="007760B2" w:rsidRPr="000F1266">
        <w:rPr>
          <w:iCs/>
          <w:noProof/>
        </w:rPr>
        <w:t xml:space="preserve">Змінено судових рішень (постанов) </w:t>
      </w:r>
      <w:r w:rsidR="00700206">
        <w:rPr>
          <w:b/>
          <w:iCs/>
          <w:noProof/>
        </w:rPr>
        <w:t>440</w:t>
      </w:r>
      <w:r w:rsidR="007760B2" w:rsidRPr="000F1266">
        <w:rPr>
          <w:iCs/>
          <w:noProof/>
        </w:rPr>
        <w:t>.</w:t>
      </w:r>
    </w:p>
    <w:p w:rsidR="00DF7FE7" w:rsidRDefault="00DF7FE7" w:rsidP="00DF7FE7">
      <w:pPr>
        <w:shd w:val="clear" w:color="auto" w:fill="FFFFFF" w:themeFill="background1"/>
        <w:tabs>
          <w:tab w:val="left" w:pos="0"/>
        </w:tabs>
        <w:spacing w:after="240"/>
        <w:contextualSpacing/>
        <w:jc w:val="both"/>
        <w:rPr>
          <w:iCs/>
          <w:noProof/>
        </w:rPr>
      </w:pPr>
      <w:r>
        <w:rPr>
          <w:b/>
          <w:iCs/>
          <w:noProof/>
        </w:rPr>
        <w:tab/>
      </w:r>
      <w:r w:rsidR="000737A1" w:rsidRPr="000F1266">
        <w:rPr>
          <w:iCs/>
          <w:noProof/>
        </w:rPr>
        <w:t>Протягом звітнього</w:t>
      </w:r>
      <w:r w:rsidR="002D5881" w:rsidRPr="000F1266">
        <w:rPr>
          <w:iCs/>
          <w:noProof/>
        </w:rPr>
        <w:t xml:space="preserve"> періоду </w:t>
      </w:r>
      <w:r w:rsidR="002D5881" w:rsidRPr="000F1266">
        <w:rPr>
          <w:b/>
          <w:iCs/>
          <w:noProof/>
        </w:rPr>
        <w:t>16 365 (</w:t>
      </w:r>
      <w:r w:rsidR="000356D7" w:rsidRPr="000F1266">
        <w:rPr>
          <w:b/>
          <w:iCs/>
          <w:noProof/>
        </w:rPr>
        <w:t>%)</w:t>
      </w:r>
      <w:r w:rsidR="000356D7" w:rsidRPr="000F1266">
        <w:rPr>
          <w:iCs/>
          <w:noProof/>
        </w:rPr>
        <w:t xml:space="preserve"> рішень (постанов) залишено без змін.</w:t>
      </w:r>
    </w:p>
    <w:p w:rsidR="00274FB0" w:rsidRPr="00574019" w:rsidRDefault="00DF7FE7" w:rsidP="00DF7FE7">
      <w:pPr>
        <w:shd w:val="clear" w:color="auto" w:fill="FFFFFF" w:themeFill="background1"/>
        <w:tabs>
          <w:tab w:val="left" w:pos="0"/>
        </w:tabs>
        <w:contextualSpacing/>
        <w:jc w:val="both"/>
        <w:rPr>
          <w:iCs/>
          <w:noProof/>
        </w:rPr>
      </w:pPr>
      <w:r>
        <w:rPr>
          <w:iCs/>
          <w:noProof/>
        </w:rPr>
        <w:tab/>
      </w:r>
      <w:r w:rsidR="00C114D1" w:rsidRPr="003434C8">
        <w:rPr>
          <w:iCs/>
          <w:noProof/>
        </w:rPr>
        <w:t xml:space="preserve">Найбільша </w:t>
      </w:r>
      <w:r w:rsidR="00C114D1" w:rsidRPr="00574019">
        <w:rPr>
          <w:iCs/>
          <w:noProof/>
        </w:rPr>
        <w:t>кількість скасованих рішень суду першої інстанції за апеляційни</w:t>
      </w:r>
      <w:r w:rsidR="00274FB0" w:rsidRPr="00574019">
        <w:rPr>
          <w:iCs/>
          <w:noProof/>
        </w:rPr>
        <w:t>ми ска</w:t>
      </w:r>
      <w:r w:rsidR="0041757F" w:rsidRPr="00574019">
        <w:rPr>
          <w:iCs/>
          <w:noProof/>
        </w:rPr>
        <w:t xml:space="preserve">ргами (в розрізі </w:t>
      </w:r>
      <w:r w:rsidR="00274FB0" w:rsidRPr="00574019">
        <w:rPr>
          <w:iCs/>
          <w:noProof/>
        </w:rPr>
        <w:t xml:space="preserve">окружних адміністративних </w:t>
      </w:r>
      <w:r w:rsidR="00C114D1" w:rsidRPr="00574019">
        <w:rPr>
          <w:iCs/>
          <w:noProof/>
        </w:rPr>
        <w:t>судів</w:t>
      </w:r>
      <w:r w:rsidR="0041757F" w:rsidRPr="00574019">
        <w:rPr>
          <w:noProof/>
        </w:rPr>
        <w:t xml:space="preserve"> Дніпропетровської, Запорізької, Кіровоградської областей</w:t>
      </w:r>
      <w:r w:rsidR="00C114D1" w:rsidRPr="00574019">
        <w:rPr>
          <w:iCs/>
          <w:noProof/>
        </w:rPr>
        <w:t>)</w:t>
      </w:r>
      <w:r w:rsidR="0056241A" w:rsidRPr="00574019">
        <w:rPr>
          <w:noProof/>
        </w:rPr>
        <w:t xml:space="preserve"> із числа скасованих рішень (постанов)</w:t>
      </w:r>
      <w:r w:rsidR="00574019" w:rsidRPr="00574019">
        <w:rPr>
          <w:noProof/>
        </w:rPr>
        <w:t xml:space="preserve"> </w:t>
      </w:r>
      <w:r w:rsidR="00574019" w:rsidRPr="00806B8D">
        <w:rPr>
          <w:b/>
          <w:noProof/>
        </w:rPr>
        <w:t>(</w:t>
      </w:r>
      <w:r w:rsidR="00806B8D" w:rsidRPr="00806B8D">
        <w:rPr>
          <w:b/>
          <w:noProof/>
        </w:rPr>
        <w:t>2668</w:t>
      </w:r>
      <w:r w:rsidR="004015B8" w:rsidRPr="00806B8D">
        <w:rPr>
          <w:b/>
          <w:noProof/>
        </w:rPr>
        <w:t>)</w:t>
      </w:r>
      <w:r w:rsidR="009754A3" w:rsidRPr="00574019">
        <w:rPr>
          <w:iCs/>
          <w:noProof/>
        </w:rPr>
        <w:t xml:space="preserve">: </w:t>
      </w:r>
    </w:p>
    <w:p w:rsidR="00574019" w:rsidRPr="00574019" w:rsidRDefault="0056241A" w:rsidP="00DF7FE7">
      <w:pPr>
        <w:pStyle w:val="ad"/>
        <w:numPr>
          <w:ilvl w:val="0"/>
          <w:numId w:val="38"/>
        </w:numPr>
        <w:shd w:val="clear" w:color="auto" w:fill="FFFFFF" w:themeFill="background1"/>
        <w:tabs>
          <w:tab w:val="left" w:pos="0"/>
        </w:tabs>
        <w:spacing w:after="0" w:line="240" w:lineRule="auto"/>
        <w:jc w:val="both"/>
        <w:rPr>
          <w:rFonts w:ascii="Times New Roman" w:hAnsi="Times New Roman"/>
          <w:iCs/>
          <w:noProof/>
          <w:sz w:val="24"/>
          <w:szCs w:val="24"/>
        </w:rPr>
      </w:pPr>
      <w:r w:rsidRPr="00574019">
        <w:rPr>
          <w:rFonts w:ascii="Times New Roman" w:hAnsi="Times New Roman"/>
          <w:iCs/>
          <w:noProof/>
          <w:sz w:val="24"/>
          <w:szCs w:val="24"/>
        </w:rPr>
        <w:t xml:space="preserve">Дніпропетровського </w:t>
      </w:r>
      <w:r w:rsidR="009754A3" w:rsidRPr="00574019">
        <w:rPr>
          <w:rFonts w:ascii="Times New Roman" w:hAnsi="Times New Roman"/>
          <w:iCs/>
          <w:noProof/>
          <w:sz w:val="24"/>
          <w:szCs w:val="24"/>
        </w:rPr>
        <w:t xml:space="preserve">окружного </w:t>
      </w:r>
      <w:r w:rsidR="00C114D1" w:rsidRPr="00574019">
        <w:rPr>
          <w:rFonts w:ascii="Times New Roman" w:hAnsi="Times New Roman"/>
          <w:iCs/>
          <w:noProof/>
          <w:sz w:val="24"/>
          <w:szCs w:val="24"/>
        </w:rPr>
        <w:t>адміністративного суду</w:t>
      </w:r>
      <w:r w:rsidR="00574019" w:rsidRPr="00574019">
        <w:rPr>
          <w:rFonts w:ascii="Times New Roman" w:hAnsi="Times New Roman"/>
          <w:iCs/>
          <w:noProof/>
          <w:sz w:val="24"/>
          <w:szCs w:val="24"/>
        </w:rPr>
        <w:t xml:space="preserve"> </w:t>
      </w:r>
      <w:r w:rsidR="00806B8D" w:rsidRPr="005B1A09">
        <w:rPr>
          <w:rFonts w:ascii="Times New Roman" w:hAnsi="Times New Roman"/>
          <w:b/>
          <w:iCs/>
          <w:noProof/>
          <w:sz w:val="24"/>
          <w:szCs w:val="24"/>
          <w:lang w:val="uk-UA"/>
        </w:rPr>
        <w:t xml:space="preserve">1582 </w:t>
      </w:r>
      <w:r w:rsidRPr="005B1A09">
        <w:rPr>
          <w:rFonts w:ascii="Times New Roman" w:hAnsi="Times New Roman"/>
          <w:b/>
          <w:iCs/>
          <w:noProof/>
          <w:sz w:val="24"/>
          <w:szCs w:val="24"/>
        </w:rPr>
        <w:t>(</w:t>
      </w:r>
      <w:r w:rsidR="005B1A09" w:rsidRPr="005B1A09">
        <w:rPr>
          <w:rFonts w:ascii="Times New Roman" w:hAnsi="Times New Roman"/>
          <w:b/>
          <w:iCs/>
          <w:noProof/>
          <w:sz w:val="24"/>
          <w:szCs w:val="24"/>
          <w:lang w:val="uk-UA"/>
        </w:rPr>
        <w:t>59</w:t>
      </w:r>
      <w:r w:rsidR="009754A3" w:rsidRPr="005B1A09">
        <w:rPr>
          <w:rFonts w:ascii="Times New Roman" w:hAnsi="Times New Roman"/>
          <w:b/>
          <w:iCs/>
          <w:noProof/>
          <w:sz w:val="24"/>
          <w:szCs w:val="24"/>
        </w:rPr>
        <w:t>%)</w:t>
      </w:r>
      <w:r w:rsidR="0085347A">
        <w:rPr>
          <w:rFonts w:ascii="Times New Roman" w:hAnsi="Times New Roman"/>
          <w:b/>
          <w:noProof/>
          <w:sz w:val="24"/>
          <w:szCs w:val="24"/>
          <w:lang w:val="uk-UA"/>
        </w:rPr>
        <w:t>;</w:t>
      </w:r>
    </w:p>
    <w:p w:rsidR="00574019" w:rsidRPr="00574019" w:rsidRDefault="00C114D1" w:rsidP="00DF7FE7">
      <w:pPr>
        <w:pStyle w:val="ad"/>
        <w:numPr>
          <w:ilvl w:val="0"/>
          <w:numId w:val="38"/>
        </w:numPr>
        <w:shd w:val="clear" w:color="auto" w:fill="FFFFFF" w:themeFill="background1"/>
        <w:tabs>
          <w:tab w:val="left" w:pos="0"/>
        </w:tabs>
        <w:spacing w:after="0" w:line="240" w:lineRule="auto"/>
        <w:jc w:val="both"/>
        <w:rPr>
          <w:rFonts w:ascii="Times New Roman" w:hAnsi="Times New Roman"/>
          <w:iCs/>
          <w:noProof/>
          <w:sz w:val="24"/>
          <w:szCs w:val="24"/>
        </w:rPr>
      </w:pPr>
      <w:r w:rsidRPr="00574019">
        <w:rPr>
          <w:rFonts w:ascii="Times New Roman" w:hAnsi="Times New Roman"/>
          <w:iCs/>
          <w:noProof/>
          <w:sz w:val="24"/>
          <w:szCs w:val="24"/>
        </w:rPr>
        <w:t>Запорізького окружного адміністративного суду</w:t>
      </w:r>
      <w:r w:rsidR="00806B8D">
        <w:rPr>
          <w:rFonts w:ascii="Times New Roman" w:hAnsi="Times New Roman"/>
          <w:iCs/>
          <w:noProof/>
          <w:sz w:val="24"/>
          <w:szCs w:val="24"/>
        </w:rPr>
        <w:t xml:space="preserve"> </w:t>
      </w:r>
      <w:r w:rsidR="00806B8D" w:rsidRPr="005B1A09">
        <w:rPr>
          <w:rFonts w:ascii="Times New Roman" w:hAnsi="Times New Roman"/>
          <w:b/>
          <w:iCs/>
          <w:noProof/>
          <w:sz w:val="24"/>
          <w:szCs w:val="24"/>
        </w:rPr>
        <w:t xml:space="preserve">519 </w:t>
      </w:r>
      <w:r w:rsidRPr="005B1A09">
        <w:rPr>
          <w:rFonts w:ascii="Times New Roman" w:hAnsi="Times New Roman"/>
          <w:b/>
          <w:iCs/>
          <w:noProof/>
          <w:sz w:val="24"/>
          <w:szCs w:val="24"/>
        </w:rPr>
        <w:t>(</w:t>
      </w:r>
      <w:r w:rsidR="005B1A09" w:rsidRPr="005B1A09">
        <w:rPr>
          <w:rFonts w:ascii="Times New Roman" w:hAnsi="Times New Roman"/>
          <w:b/>
          <w:iCs/>
          <w:noProof/>
          <w:sz w:val="24"/>
          <w:szCs w:val="24"/>
          <w:lang w:val="uk-UA"/>
        </w:rPr>
        <w:t>19</w:t>
      </w:r>
      <w:r w:rsidR="009754A3" w:rsidRPr="005B1A09">
        <w:rPr>
          <w:rFonts w:ascii="Times New Roman" w:hAnsi="Times New Roman"/>
          <w:b/>
          <w:iCs/>
          <w:noProof/>
          <w:sz w:val="24"/>
          <w:szCs w:val="24"/>
        </w:rPr>
        <w:t>%</w:t>
      </w:r>
      <w:r w:rsidR="0085347A">
        <w:rPr>
          <w:rFonts w:ascii="Times New Roman" w:hAnsi="Times New Roman"/>
          <w:b/>
          <w:iCs/>
          <w:noProof/>
          <w:sz w:val="24"/>
          <w:szCs w:val="24"/>
        </w:rPr>
        <w:t>)</w:t>
      </w:r>
      <w:r w:rsidR="0085347A">
        <w:rPr>
          <w:rFonts w:ascii="Times New Roman" w:hAnsi="Times New Roman"/>
          <w:b/>
          <w:iCs/>
          <w:noProof/>
          <w:sz w:val="24"/>
          <w:szCs w:val="24"/>
          <w:lang w:val="uk-UA"/>
        </w:rPr>
        <w:t>;</w:t>
      </w:r>
    </w:p>
    <w:p w:rsidR="00DF7FE7" w:rsidRPr="00DF7FE7" w:rsidRDefault="00C114D1" w:rsidP="00DF7FE7">
      <w:pPr>
        <w:pStyle w:val="ad"/>
        <w:numPr>
          <w:ilvl w:val="0"/>
          <w:numId w:val="38"/>
        </w:numPr>
        <w:shd w:val="clear" w:color="auto" w:fill="FFFFFF" w:themeFill="background1"/>
        <w:tabs>
          <w:tab w:val="left" w:pos="0"/>
        </w:tabs>
        <w:spacing w:after="0" w:line="240" w:lineRule="auto"/>
        <w:jc w:val="both"/>
        <w:rPr>
          <w:rFonts w:ascii="Times New Roman" w:hAnsi="Times New Roman"/>
          <w:iCs/>
          <w:noProof/>
          <w:sz w:val="24"/>
          <w:szCs w:val="24"/>
        </w:rPr>
      </w:pPr>
      <w:r w:rsidRPr="00574019">
        <w:rPr>
          <w:rFonts w:ascii="Times New Roman" w:hAnsi="Times New Roman"/>
          <w:iCs/>
          <w:noProof/>
          <w:sz w:val="24"/>
          <w:szCs w:val="24"/>
        </w:rPr>
        <w:t xml:space="preserve">Кіровоградського окружного </w:t>
      </w:r>
      <w:r w:rsidR="00574019" w:rsidRPr="00574019">
        <w:rPr>
          <w:rFonts w:ascii="Times New Roman" w:hAnsi="Times New Roman"/>
          <w:iCs/>
          <w:noProof/>
          <w:sz w:val="24"/>
          <w:szCs w:val="24"/>
        </w:rPr>
        <w:t xml:space="preserve">адміністративного суду </w:t>
      </w:r>
      <w:r w:rsidR="00806B8D" w:rsidRPr="005B1A09">
        <w:rPr>
          <w:rFonts w:ascii="Times New Roman" w:hAnsi="Times New Roman"/>
          <w:b/>
          <w:iCs/>
          <w:noProof/>
          <w:sz w:val="24"/>
          <w:szCs w:val="24"/>
          <w:lang w:val="uk-UA"/>
        </w:rPr>
        <w:t xml:space="preserve">304 </w:t>
      </w:r>
      <w:r w:rsidR="0056241A" w:rsidRPr="005B1A09">
        <w:rPr>
          <w:rFonts w:ascii="Times New Roman" w:hAnsi="Times New Roman"/>
          <w:b/>
          <w:iCs/>
          <w:noProof/>
          <w:sz w:val="24"/>
          <w:szCs w:val="24"/>
        </w:rPr>
        <w:t>(</w:t>
      </w:r>
      <w:r w:rsidR="005B1A09" w:rsidRPr="005B1A09">
        <w:rPr>
          <w:rFonts w:ascii="Times New Roman" w:hAnsi="Times New Roman"/>
          <w:b/>
          <w:iCs/>
          <w:noProof/>
          <w:sz w:val="24"/>
          <w:szCs w:val="24"/>
          <w:lang w:val="uk-UA"/>
        </w:rPr>
        <w:t>11</w:t>
      </w:r>
      <w:r w:rsidR="009754A3" w:rsidRPr="005B1A09">
        <w:rPr>
          <w:rFonts w:ascii="Times New Roman" w:hAnsi="Times New Roman"/>
          <w:b/>
          <w:iCs/>
          <w:noProof/>
          <w:sz w:val="24"/>
          <w:szCs w:val="24"/>
        </w:rPr>
        <w:t>%</w:t>
      </w:r>
      <w:r w:rsidRPr="005B1A09">
        <w:rPr>
          <w:rFonts w:ascii="Times New Roman" w:hAnsi="Times New Roman"/>
          <w:b/>
          <w:iCs/>
          <w:noProof/>
          <w:sz w:val="24"/>
          <w:szCs w:val="24"/>
        </w:rPr>
        <w:t>)</w:t>
      </w:r>
      <w:r w:rsidR="00574019" w:rsidRPr="005B1A09">
        <w:rPr>
          <w:rFonts w:ascii="Times New Roman" w:hAnsi="Times New Roman"/>
          <w:b/>
          <w:noProof/>
          <w:sz w:val="24"/>
          <w:szCs w:val="24"/>
        </w:rPr>
        <w:t>.</w:t>
      </w:r>
    </w:p>
    <w:p w:rsidR="00CC507E" w:rsidRPr="00812FA7" w:rsidRDefault="00DF7FE7" w:rsidP="00812FA7">
      <w:pPr>
        <w:shd w:val="clear" w:color="auto" w:fill="FFFFFF" w:themeFill="background1"/>
        <w:tabs>
          <w:tab w:val="left" w:pos="0"/>
        </w:tabs>
        <w:ind w:left="360"/>
        <w:jc w:val="both"/>
        <w:rPr>
          <w:iCs/>
          <w:noProof/>
        </w:rPr>
      </w:pPr>
      <w:r>
        <w:rPr>
          <w:noProof/>
        </w:rPr>
        <w:tab/>
      </w:r>
      <w:r w:rsidR="00D36DF1" w:rsidRPr="00574019">
        <w:rPr>
          <w:noProof/>
        </w:rPr>
        <w:t xml:space="preserve">Інформація відображена в </w:t>
      </w:r>
      <w:r w:rsidR="00D14627" w:rsidRPr="00E75600">
        <w:rPr>
          <w:noProof/>
        </w:rPr>
        <w:t xml:space="preserve">діаграмі </w:t>
      </w:r>
      <w:r w:rsidR="00BD071B">
        <w:rPr>
          <w:noProof/>
        </w:rPr>
        <w:t>4</w:t>
      </w:r>
      <w:r w:rsidR="00D36DF1" w:rsidRPr="00E75600">
        <w:rPr>
          <w:noProof/>
        </w:rPr>
        <w:t>.</w:t>
      </w:r>
    </w:p>
    <w:p w:rsidR="006968C3" w:rsidRPr="00F31271" w:rsidRDefault="00095052" w:rsidP="00F31271">
      <w:pPr>
        <w:tabs>
          <w:tab w:val="left" w:pos="0"/>
        </w:tabs>
        <w:spacing w:after="240"/>
        <w:contextualSpacing/>
        <w:jc w:val="right"/>
        <w:rPr>
          <w:b/>
          <w:iCs/>
          <w:noProof/>
        </w:rPr>
      </w:pPr>
      <w:r w:rsidRPr="003434C8">
        <w:rPr>
          <w:b/>
          <w:iCs/>
          <w:noProof/>
        </w:rPr>
        <w:t>Діагр</w:t>
      </w:r>
      <w:r w:rsidR="00BD071B">
        <w:rPr>
          <w:b/>
          <w:iCs/>
          <w:noProof/>
        </w:rPr>
        <w:t>ама 4</w:t>
      </w:r>
    </w:p>
    <w:p w:rsidR="00CE3733" w:rsidRDefault="00CE3733" w:rsidP="00B23407">
      <w:pPr>
        <w:tabs>
          <w:tab w:val="left" w:pos="0"/>
        </w:tabs>
        <w:spacing w:after="240"/>
        <w:contextualSpacing/>
        <w:jc w:val="right"/>
        <w:rPr>
          <w:noProof/>
        </w:rPr>
      </w:pPr>
      <w:r>
        <w:rPr>
          <w:noProof/>
          <w:lang w:val="en-US" w:eastAsia="en-US"/>
        </w:rPr>
        <w:drawing>
          <wp:inline distT="0" distB="0" distL="0" distR="0">
            <wp:extent cx="5934075" cy="3114675"/>
            <wp:effectExtent l="0" t="0" r="9525" b="9525"/>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6241A" w:rsidRPr="003434C8" w:rsidRDefault="0056241A" w:rsidP="00C114D1">
      <w:pPr>
        <w:tabs>
          <w:tab w:val="left" w:pos="0"/>
        </w:tabs>
        <w:contextualSpacing/>
        <w:jc w:val="both"/>
        <w:rPr>
          <w:iCs/>
          <w:noProof/>
        </w:rPr>
      </w:pPr>
    </w:p>
    <w:p w:rsidR="004015B8" w:rsidRPr="0085347A" w:rsidRDefault="00DF7FE7" w:rsidP="0085347A">
      <w:pPr>
        <w:shd w:val="clear" w:color="auto" w:fill="FFFFFF" w:themeFill="background1"/>
        <w:tabs>
          <w:tab w:val="left" w:pos="0"/>
        </w:tabs>
        <w:contextualSpacing/>
        <w:jc w:val="both"/>
        <w:rPr>
          <w:iCs/>
          <w:noProof/>
        </w:rPr>
      </w:pPr>
      <w:r>
        <w:rPr>
          <w:iCs/>
          <w:noProof/>
        </w:rPr>
        <w:tab/>
      </w:r>
      <w:r w:rsidR="00C114D1" w:rsidRPr="003434C8">
        <w:rPr>
          <w:iCs/>
          <w:noProof/>
        </w:rPr>
        <w:t>Найбільша кількість скасованих ухвал суду першої інстанції за апеляційними скаргами</w:t>
      </w:r>
      <w:r w:rsidR="004015B8" w:rsidRPr="003434C8">
        <w:rPr>
          <w:iCs/>
          <w:noProof/>
        </w:rPr>
        <w:t xml:space="preserve"> (в </w:t>
      </w:r>
      <w:r w:rsidR="004015B8" w:rsidRPr="0085347A">
        <w:rPr>
          <w:iCs/>
          <w:noProof/>
        </w:rPr>
        <w:t>розрізі окружних адміністративних судів</w:t>
      </w:r>
      <w:r w:rsidR="004015B8" w:rsidRPr="0085347A">
        <w:rPr>
          <w:noProof/>
        </w:rPr>
        <w:t xml:space="preserve"> Дніпропетровської, Запорізької, Кіровоградської областей</w:t>
      </w:r>
      <w:r w:rsidR="004015B8" w:rsidRPr="0085347A">
        <w:rPr>
          <w:iCs/>
          <w:noProof/>
        </w:rPr>
        <w:t>)</w:t>
      </w:r>
      <w:r w:rsidR="0025252C" w:rsidRPr="0085347A">
        <w:rPr>
          <w:noProof/>
        </w:rPr>
        <w:t xml:space="preserve"> із числа скасованих ухвал </w:t>
      </w:r>
      <w:r w:rsidR="0025252C" w:rsidRPr="0085347A">
        <w:rPr>
          <w:b/>
          <w:noProof/>
        </w:rPr>
        <w:t>(</w:t>
      </w:r>
      <w:r w:rsidR="0085347A" w:rsidRPr="0085347A">
        <w:rPr>
          <w:b/>
          <w:noProof/>
        </w:rPr>
        <w:t>700</w:t>
      </w:r>
      <w:r w:rsidR="004015B8" w:rsidRPr="0085347A">
        <w:rPr>
          <w:b/>
          <w:noProof/>
        </w:rPr>
        <w:t>)</w:t>
      </w:r>
      <w:r w:rsidR="004015B8" w:rsidRPr="0085347A">
        <w:rPr>
          <w:b/>
          <w:iCs/>
          <w:noProof/>
        </w:rPr>
        <w:t>:</w:t>
      </w:r>
    </w:p>
    <w:p w:rsidR="0085347A" w:rsidRPr="0085347A" w:rsidRDefault="00C114D1" w:rsidP="0085347A">
      <w:pPr>
        <w:pStyle w:val="ad"/>
        <w:numPr>
          <w:ilvl w:val="0"/>
          <w:numId w:val="39"/>
        </w:numPr>
        <w:tabs>
          <w:tab w:val="left" w:pos="0"/>
        </w:tabs>
        <w:spacing w:after="0" w:line="240" w:lineRule="auto"/>
        <w:jc w:val="both"/>
        <w:rPr>
          <w:rFonts w:ascii="Times New Roman" w:hAnsi="Times New Roman"/>
          <w:iCs/>
          <w:noProof/>
          <w:sz w:val="24"/>
          <w:szCs w:val="24"/>
        </w:rPr>
      </w:pPr>
      <w:r w:rsidRPr="0085347A">
        <w:rPr>
          <w:rFonts w:ascii="Times New Roman" w:hAnsi="Times New Roman"/>
          <w:iCs/>
          <w:noProof/>
          <w:sz w:val="24"/>
          <w:szCs w:val="24"/>
        </w:rPr>
        <w:t>Дніпропетровського окружного адміністратив</w:t>
      </w:r>
      <w:r w:rsidR="0025252C" w:rsidRPr="0085347A">
        <w:rPr>
          <w:rFonts w:ascii="Times New Roman" w:hAnsi="Times New Roman"/>
          <w:iCs/>
          <w:noProof/>
          <w:sz w:val="24"/>
          <w:szCs w:val="24"/>
        </w:rPr>
        <w:t xml:space="preserve">ного суду </w:t>
      </w:r>
      <w:r w:rsidR="0085347A" w:rsidRPr="00CE3733">
        <w:rPr>
          <w:rFonts w:ascii="Times New Roman" w:hAnsi="Times New Roman"/>
          <w:b/>
          <w:iCs/>
          <w:noProof/>
          <w:sz w:val="24"/>
          <w:szCs w:val="24"/>
          <w:lang w:val="uk-UA"/>
        </w:rPr>
        <w:t xml:space="preserve">368 </w:t>
      </w:r>
      <w:r w:rsidRPr="00CE3733">
        <w:rPr>
          <w:rFonts w:ascii="Times New Roman" w:hAnsi="Times New Roman"/>
          <w:b/>
          <w:iCs/>
          <w:noProof/>
          <w:sz w:val="24"/>
          <w:szCs w:val="24"/>
        </w:rPr>
        <w:t>(</w:t>
      </w:r>
      <w:r w:rsidR="00CE3733" w:rsidRPr="00CE3733">
        <w:rPr>
          <w:rFonts w:ascii="Times New Roman" w:hAnsi="Times New Roman"/>
          <w:b/>
          <w:iCs/>
          <w:noProof/>
          <w:sz w:val="24"/>
          <w:szCs w:val="24"/>
          <w:lang w:val="uk-UA"/>
        </w:rPr>
        <w:t>52</w:t>
      </w:r>
      <w:r w:rsidR="009754A3" w:rsidRPr="00CE3733">
        <w:rPr>
          <w:rFonts w:ascii="Times New Roman" w:hAnsi="Times New Roman"/>
          <w:b/>
          <w:iCs/>
          <w:noProof/>
          <w:sz w:val="24"/>
          <w:szCs w:val="24"/>
        </w:rPr>
        <w:t>%</w:t>
      </w:r>
      <w:r w:rsidR="0085347A" w:rsidRPr="00CE3733">
        <w:rPr>
          <w:rFonts w:ascii="Times New Roman" w:hAnsi="Times New Roman"/>
          <w:b/>
          <w:iCs/>
          <w:noProof/>
          <w:sz w:val="24"/>
          <w:szCs w:val="24"/>
        </w:rPr>
        <w:t>)</w:t>
      </w:r>
      <w:r w:rsidR="0085347A" w:rsidRPr="00CE3733">
        <w:rPr>
          <w:rFonts w:ascii="Times New Roman" w:hAnsi="Times New Roman"/>
          <w:b/>
          <w:iCs/>
          <w:noProof/>
          <w:sz w:val="24"/>
          <w:szCs w:val="24"/>
          <w:lang w:val="uk-UA"/>
        </w:rPr>
        <w:t>;</w:t>
      </w:r>
    </w:p>
    <w:p w:rsidR="0085347A" w:rsidRPr="0085347A" w:rsidRDefault="00C114D1" w:rsidP="0085347A">
      <w:pPr>
        <w:pStyle w:val="ad"/>
        <w:numPr>
          <w:ilvl w:val="0"/>
          <w:numId w:val="39"/>
        </w:numPr>
        <w:tabs>
          <w:tab w:val="left" w:pos="0"/>
        </w:tabs>
        <w:spacing w:after="0" w:line="240" w:lineRule="auto"/>
        <w:jc w:val="both"/>
        <w:rPr>
          <w:rFonts w:ascii="Times New Roman" w:hAnsi="Times New Roman"/>
          <w:iCs/>
          <w:noProof/>
          <w:sz w:val="24"/>
          <w:szCs w:val="24"/>
        </w:rPr>
      </w:pPr>
      <w:r w:rsidRPr="0085347A">
        <w:rPr>
          <w:rFonts w:ascii="Times New Roman" w:hAnsi="Times New Roman"/>
          <w:iCs/>
          <w:noProof/>
          <w:sz w:val="24"/>
          <w:szCs w:val="24"/>
        </w:rPr>
        <w:t xml:space="preserve">Запорізького окружного </w:t>
      </w:r>
      <w:r w:rsidR="0025252C" w:rsidRPr="0085347A">
        <w:rPr>
          <w:rFonts w:ascii="Times New Roman" w:hAnsi="Times New Roman"/>
          <w:iCs/>
          <w:noProof/>
          <w:sz w:val="24"/>
          <w:szCs w:val="24"/>
        </w:rPr>
        <w:t xml:space="preserve">адміністративного суду </w:t>
      </w:r>
      <w:r w:rsidR="0085347A" w:rsidRPr="00CE3733">
        <w:rPr>
          <w:rFonts w:ascii="Times New Roman" w:hAnsi="Times New Roman"/>
          <w:b/>
          <w:iCs/>
          <w:noProof/>
          <w:sz w:val="24"/>
          <w:szCs w:val="24"/>
          <w:lang w:val="uk-UA"/>
        </w:rPr>
        <w:t>8</w:t>
      </w:r>
      <w:r w:rsidR="007203C5" w:rsidRPr="00CE3733">
        <w:rPr>
          <w:rFonts w:ascii="Times New Roman" w:hAnsi="Times New Roman"/>
          <w:b/>
          <w:iCs/>
          <w:noProof/>
          <w:sz w:val="24"/>
          <w:szCs w:val="24"/>
          <w:lang w:val="uk-UA"/>
        </w:rPr>
        <w:t xml:space="preserve">7 </w:t>
      </w:r>
      <w:r w:rsidRPr="00CE3733">
        <w:rPr>
          <w:rFonts w:ascii="Times New Roman" w:hAnsi="Times New Roman"/>
          <w:b/>
          <w:iCs/>
          <w:noProof/>
          <w:sz w:val="24"/>
          <w:szCs w:val="24"/>
        </w:rPr>
        <w:t>(</w:t>
      </w:r>
      <w:r w:rsidR="00CE3733" w:rsidRPr="00CE3733">
        <w:rPr>
          <w:rFonts w:ascii="Times New Roman" w:hAnsi="Times New Roman"/>
          <w:b/>
          <w:iCs/>
          <w:noProof/>
          <w:sz w:val="24"/>
          <w:szCs w:val="24"/>
          <w:lang w:val="uk-UA"/>
        </w:rPr>
        <w:t>12</w:t>
      </w:r>
      <w:r w:rsidR="009754A3" w:rsidRPr="00CE3733">
        <w:rPr>
          <w:rFonts w:ascii="Times New Roman" w:hAnsi="Times New Roman"/>
          <w:b/>
          <w:iCs/>
          <w:noProof/>
          <w:sz w:val="24"/>
          <w:szCs w:val="24"/>
        </w:rPr>
        <w:t>%</w:t>
      </w:r>
      <w:r w:rsidR="0085347A" w:rsidRPr="00CE3733">
        <w:rPr>
          <w:rFonts w:ascii="Times New Roman" w:hAnsi="Times New Roman"/>
          <w:b/>
          <w:iCs/>
          <w:noProof/>
          <w:sz w:val="24"/>
          <w:szCs w:val="24"/>
        </w:rPr>
        <w:t>)</w:t>
      </w:r>
      <w:r w:rsidR="0085347A" w:rsidRPr="00CE3733">
        <w:rPr>
          <w:rFonts w:ascii="Times New Roman" w:hAnsi="Times New Roman"/>
          <w:b/>
          <w:iCs/>
          <w:noProof/>
          <w:sz w:val="24"/>
          <w:szCs w:val="24"/>
          <w:lang w:val="uk-UA"/>
        </w:rPr>
        <w:t>;</w:t>
      </w:r>
    </w:p>
    <w:p w:rsidR="0025252C" w:rsidRPr="0085347A" w:rsidRDefault="00C114D1" w:rsidP="0085347A">
      <w:pPr>
        <w:pStyle w:val="ad"/>
        <w:numPr>
          <w:ilvl w:val="0"/>
          <w:numId w:val="39"/>
        </w:numPr>
        <w:tabs>
          <w:tab w:val="left" w:pos="0"/>
        </w:tabs>
        <w:spacing w:after="0" w:line="240" w:lineRule="auto"/>
        <w:jc w:val="both"/>
        <w:rPr>
          <w:rFonts w:ascii="Times New Roman" w:hAnsi="Times New Roman"/>
          <w:iCs/>
          <w:noProof/>
          <w:sz w:val="24"/>
          <w:szCs w:val="24"/>
        </w:rPr>
      </w:pPr>
      <w:r w:rsidRPr="0085347A">
        <w:rPr>
          <w:rFonts w:ascii="Times New Roman" w:hAnsi="Times New Roman"/>
          <w:iCs/>
          <w:noProof/>
          <w:sz w:val="24"/>
          <w:szCs w:val="24"/>
        </w:rPr>
        <w:t xml:space="preserve">Кіровоградського окружного </w:t>
      </w:r>
      <w:r w:rsidR="0025252C" w:rsidRPr="0085347A">
        <w:rPr>
          <w:rFonts w:ascii="Times New Roman" w:hAnsi="Times New Roman"/>
          <w:iCs/>
          <w:noProof/>
          <w:sz w:val="24"/>
          <w:szCs w:val="24"/>
        </w:rPr>
        <w:t>адміністративного суду</w:t>
      </w:r>
      <w:r w:rsidR="0085347A">
        <w:rPr>
          <w:rFonts w:ascii="Times New Roman" w:hAnsi="Times New Roman"/>
          <w:iCs/>
          <w:noProof/>
          <w:sz w:val="24"/>
          <w:szCs w:val="24"/>
          <w:lang w:val="uk-UA"/>
        </w:rPr>
        <w:t xml:space="preserve"> </w:t>
      </w:r>
      <w:r w:rsidR="0085347A" w:rsidRPr="00CE3733">
        <w:rPr>
          <w:rFonts w:ascii="Times New Roman" w:hAnsi="Times New Roman"/>
          <w:b/>
          <w:iCs/>
          <w:noProof/>
          <w:sz w:val="24"/>
          <w:szCs w:val="24"/>
          <w:lang w:val="uk-UA"/>
        </w:rPr>
        <w:t>190</w:t>
      </w:r>
      <w:r w:rsidR="007203C5" w:rsidRPr="00CE3733">
        <w:rPr>
          <w:rFonts w:ascii="Times New Roman" w:hAnsi="Times New Roman"/>
          <w:b/>
          <w:iCs/>
          <w:noProof/>
          <w:sz w:val="24"/>
          <w:szCs w:val="24"/>
          <w:lang w:val="uk-UA"/>
        </w:rPr>
        <w:t xml:space="preserve"> </w:t>
      </w:r>
      <w:r w:rsidR="0085347A" w:rsidRPr="00CE3733">
        <w:rPr>
          <w:rFonts w:ascii="Times New Roman" w:hAnsi="Times New Roman"/>
          <w:b/>
          <w:iCs/>
          <w:noProof/>
          <w:sz w:val="24"/>
          <w:szCs w:val="24"/>
        </w:rPr>
        <w:t>(</w:t>
      </w:r>
      <w:r w:rsidR="00CE3733" w:rsidRPr="00CE3733">
        <w:rPr>
          <w:rFonts w:ascii="Times New Roman" w:hAnsi="Times New Roman"/>
          <w:b/>
          <w:iCs/>
          <w:noProof/>
          <w:sz w:val="24"/>
          <w:szCs w:val="24"/>
          <w:lang w:val="uk-UA"/>
        </w:rPr>
        <w:t>27</w:t>
      </w:r>
      <w:r w:rsidR="0085347A" w:rsidRPr="00CE3733">
        <w:rPr>
          <w:rFonts w:ascii="Times New Roman" w:hAnsi="Times New Roman"/>
          <w:b/>
          <w:iCs/>
          <w:noProof/>
          <w:sz w:val="24"/>
          <w:szCs w:val="24"/>
        </w:rPr>
        <w:t>%)</w:t>
      </w:r>
      <w:r w:rsidR="0085347A" w:rsidRPr="00CE3733">
        <w:rPr>
          <w:rFonts w:ascii="Times New Roman" w:hAnsi="Times New Roman"/>
          <w:b/>
          <w:iCs/>
          <w:noProof/>
          <w:sz w:val="24"/>
          <w:szCs w:val="24"/>
          <w:lang w:val="uk-UA"/>
        </w:rPr>
        <w:t>.</w:t>
      </w:r>
    </w:p>
    <w:p w:rsidR="004015B8" w:rsidRPr="0085347A" w:rsidRDefault="00DF7FE7" w:rsidP="0085347A">
      <w:pPr>
        <w:shd w:val="clear" w:color="auto" w:fill="FFFFFF" w:themeFill="background1"/>
        <w:tabs>
          <w:tab w:val="left" w:pos="0"/>
        </w:tabs>
        <w:contextualSpacing/>
        <w:jc w:val="both"/>
        <w:rPr>
          <w:iCs/>
          <w:noProof/>
        </w:rPr>
      </w:pPr>
      <w:r>
        <w:rPr>
          <w:noProof/>
        </w:rPr>
        <w:tab/>
      </w:r>
      <w:r w:rsidR="004015B8" w:rsidRPr="0085347A">
        <w:rPr>
          <w:noProof/>
        </w:rPr>
        <w:t xml:space="preserve">Інформація відображена в </w:t>
      </w:r>
      <w:r w:rsidR="004015B8" w:rsidRPr="00E75600">
        <w:rPr>
          <w:noProof/>
        </w:rPr>
        <w:t xml:space="preserve">діаграмі </w:t>
      </w:r>
      <w:r w:rsidR="00031A3B">
        <w:rPr>
          <w:noProof/>
        </w:rPr>
        <w:t>5</w:t>
      </w:r>
      <w:r w:rsidR="004015B8" w:rsidRPr="00E75600">
        <w:rPr>
          <w:noProof/>
        </w:rPr>
        <w:t>.</w:t>
      </w:r>
    </w:p>
    <w:p w:rsidR="00812FA7" w:rsidRDefault="00812FA7" w:rsidP="0040295A">
      <w:pPr>
        <w:tabs>
          <w:tab w:val="left" w:pos="0"/>
        </w:tabs>
        <w:contextualSpacing/>
        <w:jc w:val="right"/>
        <w:rPr>
          <w:b/>
          <w:bCs/>
        </w:rPr>
      </w:pPr>
    </w:p>
    <w:p w:rsidR="00812FA7" w:rsidRDefault="00812FA7" w:rsidP="0040295A">
      <w:pPr>
        <w:tabs>
          <w:tab w:val="left" w:pos="0"/>
        </w:tabs>
        <w:contextualSpacing/>
        <w:jc w:val="right"/>
        <w:rPr>
          <w:b/>
          <w:bCs/>
        </w:rPr>
      </w:pPr>
    </w:p>
    <w:p w:rsidR="00812FA7" w:rsidRDefault="00812FA7" w:rsidP="0040295A">
      <w:pPr>
        <w:tabs>
          <w:tab w:val="left" w:pos="0"/>
        </w:tabs>
        <w:contextualSpacing/>
        <w:jc w:val="right"/>
        <w:rPr>
          <w:b/>
          <w:bCs/>
        </w:rPr>
      </w:pPr>
    </w:p>
    <w:p w:rsidR="00812FA7" w:rsidRDefault="00812FA7" w:rsidP="0040295A">
      <w:pPr>
        <w:tabs>
          <w:tab w:val="left" w:pos="0"/>
        </w:tabs>
        <w:contextualSpacing/>
        <w:jc w:val="right"/>
        <w:rPr>
          <w:b/>
          <w:bCs/>
        </w:rPr>
      </w:pPr>
    </w:p>
    <w:p w:rsidR="00812FA7" w:rsidRDefault="00812FA7" w:rsidP="0040295A">
      <w:pPr>
        <w:tabs>
          <w:tab w:val="left" w:pos="0"/>
        </w:tabs>
        <w:contextualSpacing/>
        <w:jc w:val="right"/>
        <w:rPr>
          <w:b/>
          <w:bCs/>
        </w:rPr>
      </w:pPr>
    </w:p>
    <w:p w:rsidR="0025252C" w:rsidRDefault="00BD071B" w:rsidP="0040295A">
      <w:pPr>
        <w:tabs>
          <w:tab w:val="left" w:pos="0"/>
        </w:tabs>
        <w:contextualSpacing/>
        <w:jc w:val="right"/>
        <w:rPr>
          <w:b/>
          <w:bCs/>
        </w:rPr>
      </w:pPr>
      <w:bookmarkStart w:id="3" w:name="_GoBack"/>
      <w:r>
        <w:rPr>
          <w:b/>
          <w:bCs/>
        </w:rPr>
        <w:lastRenderedPageBreak/>
        <w:t>Діаграма</w:t>
      </w:r>
      <w:bookmarkEnd w:id="3"/>
      <w:r>
        <w:rPr>
          <w:b/>
          <w:bCs/>
        </w:rPr>
        <w:t xml:space="preserve"> 5</w:t>
      </w:r>
    </w:p>
    <w:p w:rsidR="0025252C" w:rsidRDefault="007203C5" w:rsidP="00804837">
      <w:pPr>
        <w:tabs>
          <w:tab w:val="left" w:pos="0"/>
        </w:tabs>
        <w:contextualSpacing/>
        <w:jc w:val="both"/>
        <w:rPr>
          <w:b/>
          <w:bCs/>
        </w:rPr>
      </w:pPr>
      <w:r>
        <w:rPr>
          <w:b/>
          <w:bCs/>
          <w:noProof/>
          <w:lang w:val="en-US" w:eastAsia="en-US"/>
        </w:rPr>
        <w:drawing>
          <wp:inline distT="0" distB="0" distL="0" distR="0">
            <wp:extent cx="5934075" cy="3190875"/>
            <wp:effectExtent l="0" t="0" r="9525" b="9525"/>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5252C" w:rsidRDefault="0025252C" w:rsidP="00804837">
      <w:pPr>
        <w:tabs>
          <w:tab w:val="left" w:pos="0"/>
        </w:tabs>
        <w:contextualSpacing/>
        <w:jc w:val="both"/>
        <w:rPr>
          <w:b/>
          <w:bCs/>
        </w:rPr>
      </w:pPr>
    </w:p>
    <w:p w:rsidR="00C47D1F" w:rsidRPr="00CC507E" w:rsidRDefault="00DF7FE7" w:rsidP="00361DFA">
      <w:pPr>
        <w:tabs>
          <w:tab w:val="left" w:pos="0"/>
        </w:tabs>
        <w:contextualSpacing/>
        <w:jc w:val="both"/>
        <w:rPr>
          <w:b/>
          <w:bCs/>
        </w:rPr>
      </w:pPr>
      <w:r>
        <w:rPr>
          <w:iCs/>
          <w:noProof/>
        </w:rPr>
        <w:tab/>
      </w:r>
      <w:r w:rsidR="0080468C" w:rsidRPr="003434C8">
        <w:rPr>
          <w:iCs/>
          <w:noProof/>
        </w:rPr>
        <w:t xml:space="preserve">Аналізуючи вищевикладене, в звітному періоді однією з </w:t>
      </w:r>
      <w:r w:rsidR="0080468C" w:rsidRPr="003434C8">
        <w:rPr>
          <w:i/>
          <w:iCs/>
          <w:noProof/>
        </w:rPr>
        <w:t>підстав для скасування рішень (постанов) суду першої інстанції за апеляційними скаргами</w:t>
      </w:r>
      <w:r w:rsidR="0080468C" w:rsidRPr="003434C8">
        <w:rPr>
          <w:iCs/>
          <w:noProof/>
        </w:rPr>
        <w:t xml:space="preserve"> є неправильне застосування норм матеріального або порушенням норм процесуального права, що призвело до неправильного вирішення справи; </w:t>
      </w:r>
      <w:r w:rsidR="0080468C" w:rsidRPr="003434C8">
        <w:rPr>
          <w:i/>
          <w:iCs/>
          <w:noProof/>
        </w:rPr>
        <w:t>підставою для скасування ухвал суду першої інстанції за апеляційними скаргами</w:t>
      </w:r>
      <w:r w:rsidR="0080468C" w:rsidRPr="003434C8">
        <w:rPr>
          <w:iCs/>
          <w:noProof/>
        </w:rPr>
        <w:t xml:space="preserve"> є </w:t>
      </w:r>
      <w:r w:rsidR="0080468C" w:rsidRPr="003434C8">
        <w:rPr>
          <w:rFonts w:eastAsia="Calibri"/>
          <w:lang w:eastAsia="en-US"/>
        </w:rPr>
        <w:t>направлення справи для продовження розгляду (у разі скасування ухвали, яка перешкоджає подальшому провадженню у справі)</w:t>
      </w:r>
      <w:r w:rsidR="0080468C" w:rsidRPr="003434C8">
        <w:rPr>
          <w:iCs/>
          <w:noProof/>
        </w:rPr>
        <w:t>.</w:t>
      </w:r>
    </w:p>
    <w:p w:rsidR="00DF7FE7" w:rsidRDefault="00DF7FE7" w:rsidP="00705487">
      <w:pPr>
        <w:shd w:val="clear" w:color="auto" w:fill="FFFFFF"/>
        <w:tabs>
          <w:tab w:val="left" w:pos="-2700"/>
          <w:tab w:val="left" w:pos="0"/>
        </w:tabs>
        <w:jc w:val="both"/>
        <w:rPr>
          <w:rFonts w:eastAsia="Calibri"/>
          <w:noProof/>
          <w:lang w:eastAsia="en-US"/>
        </w:rPr>
      </w:pPr>
      <w:r>
        <w:rPr>
          <w:rFonts w:eastAsia="Calibri"/>
          <w:noProof/>
        </w:rPr>
        <w:tab/>
      </w:r>
      <w:r w:rsidR="00705487" w:rsidRPr="000F1266">
        <w:rPr>
          <w:rFonts w:eastAsia="Calibri"/>
          <w:noProof/>
        </w:rPr>
        <w:t>На виконання рішення Ради суддів адміністративних судів України від 02 грудня 2013 року №155 «Про затвердження форм інформації про основні показники здійснення судочинства окружними та апеляційними адміністративними судами та Інструкції щодо їх заповнення», щомісячно відділом судової статистики та узагальнення судової практики п</w:t>
      </w:r>
      <w:r w:rsidR="00705487" w:rsidRPr="000F1266">
        <w:rPr>
          <w:noProof/>
        </w:rPr>
        <w:t xml:space="preserve">ідготовлено та сформовано інформацію про основні показники здійснення судочинства суддів </w:t>
      </w:r>
      <w:r w:rsidR="00705487" w:rsidRPr="000F1266">
        <w:rPr>
          <w:rFonts w:eastAsia="Calibri"/>
          <w:noProof/>
        </w:rPr>
        <w:t>Третього апеляційного адміністративного</w:t>
      </w:r>
      <w:r w:rsidR="00705487" w:rsidRPr="000F1266">
        <w:rPr>
          <w:noProof/>
        </w:rPr>
        <w:t xml:space="preserve"> суду, та </w:t>
      </w:r>
      <w:r w:rsidR="00705487" w:rsidRPr="000F1266">
        <w:rPr>
          <w:rFonts w:eastAsia="Calibri"/>
          <w:noProof/>
          <w:lang w:eastAsia="en-US"/>
        </w:rPr>
        <w:t>інформацію про основні показники здійснення судочинства окружними адміністративними судами Дніпропетровської, Запоріз</w:t>
      </w:r>
      <w:r>
        <w:rPr>
          <w:rFonts w:eastAsia="Calibri"/>
          <w:noProof/>
          <w:lang w:eastAsia="en-US"/>
        </w:rPr>
        <w:t>ької, Кіровоградської областей.</w:t>
      </w:r>
    </w:p>
    <w:p w:rsidR="00705487" w:rsidRPr="00742132" w:rsidRDefault="00DF7FE7" w:rsidP="00705487">
      <w:pPr>
        <w:shd w:val="clear" w:color="auto" w:fill="FFFFFF"/>
        <w:tabs>
          <w:tab w:val="left" w:pos="-2700"/>
          <w:tab w:val="left" w:pos="0"/>
        </w:tabs>
        <w:jc w:val="both"/>
        <w:rPr>
          <w:rFonts w:eastAsia="Calibri"/>
          <w:b/>
          <w:i/>
          <w:noProof/>
          <w:lang w:eastAsia="en-US"/>
        </w:rPr>
      </w:pPr>
      <w:r>
        <w:rPr>
          <w:rFonts w:eastAsia="Calibri"/>
          <w:noProof/>
          <w:lang w:eastAsia="en-US"/>
        </w:rPr>
        <w:tab/>
      </w:r>
      <w:r w:rsidR="00705487" w:rsidRPr="000F1266">
        <w:rPr>
          <w:b/>
          <w:i/>
        </w:rPr>
        <w:t>Зведена інформація про основні показники здійснення судочинства</w:t>
      </w:r>
      <w:r w:rsidR="00705487" w:rsidRPr="000F1266">
        <w:rPr>
          <w:b/>
        </w:rPr>
        <w:t xml:space="preserve"> </w:t>
      </w:r>
      <w:r w:rsidR="00705487" w:rsidRPr="000F1266">
        <w:rPr>
          <w:b/>
          <w:i/>
        </w:rPr>
        <w:t>окружними адміністративними судами</w:t>
      </w:r>
      <w:r w:rsidR="008C795A">
        <w:rPr>
          <w:b/>
          <w:i/>
        </w:rPr>
        <w:t xml:space="preserve"> за 2025 рік (таблиця </w:t>
      </w:r>
      <w:r w:rsidR="00BD071B">
        <w:rPr>
          <w:b/>
          <w:i/>
        </w:rPr>
        <w:t>№</w:t>
      </w:r>
      <w:r w:rsidR="008C795A">
        <w:rPr>
          <w:b/>
          <w:i/>
        </w:rPr>
        <w:t>5).</w:t>
      </w:r>
    </w:p>
    <w:p w:rsidR="00705487" w:rsidRPr="00742132" w:rsidRDefault="00BD071B" w:rsidP="00742132">
      <w:pPr>
        <w:shd w:val="clear" w:color="auto" w:fill="FFFFFF"/>
        <w:tabs>
          <w:tab w:val="left" w:pos="-2700"/>
          <w:tab w:val="left" w:pos="0"/>
        </w:tabs>
        <w:jc w:val="right"/>
        <w:rPr>
          <w:b/>
        </w:rPr>
      </w:pPr>
      <w:r>
        <w:rPr>
          <w:b/>
        </w:rPr>
        <w:t>Таблиця №</w:t>
      </w:r>
      <w:r w:rsidR="00742132" w:rsidRPr="00742132">
        <w:rPr>
          <w:b/>
        </w:rPr>
        <w:t>5</w:t>
      </w:r>
    </w:p>
    <w:tbl>
      <w:tblPr>
        <w:tblStyle w:val="a7"/>
        <w:tblW w:w="9351" w:type="dxa"/>
        <w:tblLayout w:type="fixed"/>
        <w:tblLook w:val="04A0" w:firstRow="1" w:lastRow="0" w:firstColumn="1" w:lastColumn="0" w:noHBand="0" w:noVBand="1"/>
      </w:tblPr>
      <w:tblGrid>
        <w:gridCol w:w="409"/>
        <w:gridCol w:w="1429"/>
        <w:gridCol w:w="1078"/>
        <w:gridCol w:w="955"/>
        <w:gridCol w:w="1125"/>
        <w:gridCol w:w="669"/>
        <w:gridCol w:w="851"/>
        <w:gridCol w:w="1134"/>
        <w:gridCol w:w="992"/>
        <w:gridCol w:w="709"/>
      </w:tblGrid>
      <w:tr w:rsidR="008C795A" w:rsidRPr="00C47D1F" w:rsidTr="008C795A">
        <w:trPr>
          <w:trHeight w:val="443"/>
        </w:trPr>
        <w:tc>
          <w:tcPr>
            <w:tcW w:w="409" w:type="dxa"/>
            <w:vMerge w:val="restart"/>
            <w:hideMark/>
          </w:tcPr>
          <w:p w:rsidR="00705487" w:rsidRPr="008C795A" w:rsidRDefault="00705487" w:rsidP="00B76B95">
            <w:pPr>
              <w:jc w:val="center"/>
              <w:rPr>
                <w:b/>
                <w:bCs/>
                <w:sz w:val="16"/>
                <w:szCs w:val="16"/>
                <w:lang w:val="en-US"/>
              </w:rPr>
            </w:pPr>
            <w:r w:rsidRPr="008C795A">
              <w:rPr>
                <w:b/>
                <w:bCs/>
                <w:sz w:val="16"/>
                <w:szCs w:val="16"/>
              </w:rPr>
              <w:t>№ з/п</w:t>
            </w:r>
          </w:p>
        </w:tc>
        <w:tc>
          <w:tcPr>
            <w:tcW w:w="1429" w:type="dxa"/>
            <w:vMerge w:val="restart"/>
            <w:hideMark/>
          </w:tcPr>
          <w:p w:rsidR="00705487" w:rsidRPr="008C795A" w:rsidRDefault="00705487" w:rsidP="00B76B95">
            <w:pPr>
              <w:jc w:val="center"/>
              <w:rPr>
                <w:b/>
                <w:bCs/>
                <w:sz w:val="16"/>
                <w:szCs w:val="16"/>
              </w:rPr>
            </w:pPr>
            <w:r w:rsidRPr="008C795A">
              <w:rPr>
                <w:b/>
                <w:bCs/>
                <w:sz w:val="16"/>
                <w:szCs w:val="16"/>
              </w:rPr>
              <w:t>Найменування окружних адміністративних судів</w:t>
            </w:r>
          </w:p>
        </w:tc>
        <w:tc>
          <w:tcPr>
            <w:tcW w:w="1078" w:type="dxa"/>
            <w:vMerge w:val="restart"/>
            <w:hideMark/>
          </w:tcPr>
          <w:p w:rsidR="00705487" w:rsidRPr="008C795A" w:rsidRDefault="00705487" w:rsidP="00B76B95">
            <w:pPr>
              <w:jc w:val="center"/>
              <w:rPr>
                <w:b/>
                <w:bCs/>
                <w:sz w:val="16"/>
                <w:szCs w:val="16"/>
              </w:rPr>
            </w:pPr>
            <w:r w:rsidRPr="008C795A">
              <w:rPr>
                <w:b/>
                <w:bCs/>
                <w:sz w:val="16"/>
                <w:szCs w:val="16"/>
              </w:rPr>
              <w:t xml:space="preserve">Перебувало на розгляді справ і </w:t>
            </w:r>
            <w:r w:rsidRPr="008C795A">
              <w:rPr>
                <w:b/>
                <w:bCs/>
                <w:sz w:val="16"/>
                <w:szCs w:val="16"/>
              </w:rPr>
              <w:br/>
              <w:t>матеріалів</w:t>
            </w:r>
          </w:p>
        </w:tc>
        <w:tc>
          <w:tcPr>
            <w:tcW w:w="955" w:type="dxa"/>
            <w:vMerge w:val="restart"/>
            <w:hideMark/>
          </w:tcPr>
          <w:p w:rsidR="00705487" w:rsidRPr="008C795A" w:rsidRDefault="00B76B95" w:rsidP="00B76B95">
            <w:pPr>
              <w:jc w:val="center"/>
              <w:rPr>
                <w:sz w:val="16"/>
                <w:szCs w:val="16"/>
              </w:rPr>
            </w:pPr>
            <w:r w:rsidRPr="008C795A">
              <w:rPr>
                <w:sz w:val="16"/>
                <w:szCs w:val="16"/>
              </w:rPr>
              <w:t xml:space="preserve">із них надійшло у звітному </w:t>
            </w:r>
            <w:r w:rsidR="00705487" w:rsidRPr="008C795A">
              <w:rPr>
                <w:sz w:val="16"/>
                <w:szCs w:val="16"/>
              </w:rPr>
              <w:t>періоді</w:t>
            </w:r>
          </w:p>
        </w:tc>
        <w:tc>
          <w:tcPr>
            <w:tcW w:w="1125" w:type="dxa"/>
            <w:vMerge w:val="restart"/>
            <w:hideMark/>
          </w:tcPr>
          <w:p w:rsidR="00705487" w:rsidRPr="008C795A" w:rsidRDefault="00705487" w:rsidP="00B76B95">
            <w:pPr>
              <w:jc w:val="center"/>
              <w:rPr>
                <w:b/>
                <w:bCs/>
                <w:sz w:val="16"/>
                <w:szCs w:val="16"/>
              </w:rPr>
            </w:pPr>
            <w:r w:rsidRPr="008C795A">
              <w:rPr>
                <w:b/>
                <w:bCs/>
                <w:sz w:val="16"/>
                <w:szCs w:val="16"/>
              </w:rPr>
              <w:t>Розглянуто справ і матеріалів</w:t>
            </w:r>
          </w:p>
        </w:tc>
        <w:tc>
          <w:tcPr>
            <w:tcW w:w="1520" w:type="dxa"/>
            <w:gridSpan w:val="2"/>
            <w:hideMark/>
          </w:tcPr>
          <w:p w:rsidR="00705487" w:rsidRPr="008C795A" w:rsidRDefault="00705487" w:rsidP="00B76B95">
            <w:pPr>
              <w:jc w:val="center"/>
              <w:rPr>
                <w:i/>
                <w:iCs/>
                <w:sz w:val="16"/>
                <w:szCs w:val="16"/>
              </w:rPr>
            </w:pPr>
            <w:r w:rsidRPr="008C795A">
              <w:rPr>
                <w:i/>
                <w:iCs/>
                <w:sz w:val="16"/>
                <w:szCs w:val="16"/>
              </w:rPr>
              <w:t>із них</w:t>
            </w:r>
          </w:p>
        </w:tc>
        <w:tc>
          <w:tcPr>
            <w:tcW w:w="1134" w:type="dxa"/>
            <w:vMerge w:val="restart"/>
            <w:hideMark/>
          </w:tcPr>
          <w:p w:rsidR="00705487" w:rsidRPr="008C795A" w:rsidRDefault="00705487" w:rsidP="00B76B95">
            <w:pPr>
              <w:jc w:val="center"/>
              <w:rPr>
                <w:b/>
                <w:bCs/>
                <w:sz w:val="16"/>
                <w:szCs w:val="16"/>
              </w:rPr>
            </w:pPr>
            <w:r w:rsidRPr="008C795A">
              <w:rPr>
                <w:b/>
                <w:bCs/>
                <w:sz w:val="16"/>
                <w:szCs w:val="16"/>
              </w:rPr>
              <w:t>Не розглянуто справ і</w:t>
            </w:r>
            <w:r w:rsidRPr="008C795A">
              <w:rPr>
                <w:b/>
                <w:bCs/>
                <w:sz w:val="16"/>
                <w:szCs w:val="16"/>
              </w:rPr>
              <w:br/>
              <w:t xml:space="preserve">матеріалів </w:t>
            </w:r>
            <w:r w:rsidRPr="008C795A">
              <w:rPr>
                <w:b/>
                <w:bCs/>
                <w:sz w:val="16"/>
                <w:szCs w:val="16"/>
              </w:rPr>
              <w:br/>
              <w:t>на кінець звітного періоду</w:t>
            </w:r>
          </w:p>
        </w:tc>
        <w:tc>
          <w:tcPr>
            <w:tcW w:w="1701" w:type="dxa"/>
            <w:gridSpan w:val="2"/>
            <w:hideMark/>
          </w:tcPr>
          <w:p w:rsidR="00705487" w:rsidRPr="008C795A" w:rsidRDefault="00705487" w:rsidP="00B76B95">
            <w:pPr>
              <w:jc w:val="center"/>
              <w:rPr>
                <w:b/>
                <w:bCs/>
                <w:i/>
                <w:iCs/>
                <w:sz w:val="16"/>
                <w:szCs w:val="16"/>
              </w:rPr>
            </w:pPr>
            <w:r w:rsidRPr="008C795A">
              <w:rPr>
                <w:b/>
                <w:bCs/>
                <w:i/>
                <w:iCs/>
                <w:sz w:val="16"/>
                <w:szCs w:val="16"/>
              </w:rPr>
              <w:t>Середньомісячна кількість справ і матеріалів</w:t>
            </w:r>
          </w:p>
        </w:tc>
      </w:tr>
      <w:tr w:rsidR="008C795A" w:rsidRPr="00C47D1F" w:rsidTr="008C795A">
        <w:trPr>
          <w:trHeight w:val="387"/>
        </w:trPr>
        <w:tc>
          <w:tcPr>
            <w:tcW w:w="409" w:type="dxa"/>
            <w:vMerge/>
            <w:hideMark/>
          </w:tcPr>
          <w:p w:rsidR="00705487" w:rsidRPr="008C795A" w:rsidRDefault="00705487" w:rsidP="00B76B95">
            <w:pPr>
              <w:jc w:val="center"/>
              <w:rPr>
                <w:b/>
                <w:bCs/>
                <w:sz w:val="16"/>
                <w:szCs w:val="16"/>
              </w:rPr>
            </w:pPr>
          </w:p>
        </w:tc>
        <w:tc>
          <w:tcPr>
            <w:tcW w:w="1429" w:type="dxa"/>
            <w:vMerge/>
            <w:hideMark/>
          </w:tcPr>
          <w:p w:rsidR="00705487" w:rsidRPr="008C795A" w:rsidRDefault="00705487" w:rsidP="00B76B95">
            <w:pPr>
              <w:jc w:val="center"/>
              <w:rPr>
                <w:b/>
                <w:bCs/>
                <w:sz w:val="16"/>
                <w:szCs w:val="16"/>
              </w:rPr>
            </w:pPr>
          </w:p>
        </w:tc>
        <w:tc>
          <w:tcPr>
            <w:tcW w:w="1078" w:type="dxa"/>
            <w:vMerge/>
            <w:hideMark/>
          </w:tcPr>
          <w:p w:rsidR="00705487" w:rsidRPr="008C795A" w:rsidRDefault="00705487" w:rsidP="00B76B95">
            <w:pPr>
              <w:jc w:val="center"/>
              <w:rPr>
                <w:b/>
                <w:bCs/>
                <w:sz w:val="16"/>
                <w:szCs w:val="16"/>
              </w:rPr>
            </w:pPr>
          </w:p>
        </w:tc>
        <w:tc>
          <w:tcPr>
            <w:tcW w:w="955" w:type="dxa"/>
            <w:vMerge/>
            <w:hideMark/>
          </w:tcPr>
          <w:p w:rsidR="00705487" w:rsidRPr="008C795A" w:rsidRDefault="00705487" w:rsidP="00B76B95">
            <w:pPr>
              <w:jc w:val="center"/>
              <w:rPr>
                <w:sz w:val="16"/>
                <w:szCs w:val="16"/>
              </w:rPr>
            </w:pPr>
          </w:p>
        </w:tc>
        <w:tc>
          <w:tcPr>
            <w:tcW w:w="1125" w:type="dxa"/>
            <w:vMerge/>
            <w:hideMark/>
          </w:tcPr>
          <w:p w:rsidR="00705487" w:rsidRPr="008C795A" w:rsidRDefault="00705487" w:rsidP="00B76B95">
            <w:pPr>
              <w:jc w:val="center"/>
              <w:rPr>
                <w:b/>
                <w:bCs/>
                <w:sz w:val="16"/>
                <w:szCs w:val="16"/>
              </w:rPr>
            </w:pPr>
          </w:p>
        </w:tc>
        <w:tc>
          <w:tcPr>
            <w:tcW w:w="669" w:type="dxa"/>
            <w:vMerge w:val="restart"/>
            <w:hideMark/>
          </w:tcPr>
          <w:p w:rsidR="00705487" w:rsidRPr="008C795A" w:rsidRDefault="00705487" w:rsidP="00B76B95">
            <w:pPr>
              <w:jc w:val="center"/>
              <w:rPr>
                <w:b/>
                <w:bCs/>
                <w:sz w:val="16"/>
                <w:szCs w:val="16"/>
              </w:rPr>
            </w:pPr>
            <w:r w:rsidRPr="008C795A">
              <w:rPr>
                <w:b/>
                <w:bCs/>
                <w:sz w:val="16"/>
                <w:szCs w:val="16"/>
              </w:rPr>
              <w:t>справ</w:t>
            </w:r>
          </w:p>
        </w:tc>
        <w:tc>
          <w:tcPr>
            <w:tcW w:w="851" w:type="dxa"/>
            <w:vMerge w:val="restart"/>
            <w:hideMark/>
          </w:tcPr>
          <w:p w:rsidR="00705487" w:rsidRPr="008C795A" w:rsidRDefault="00705487" w:rsidP="00B76B95">
            <w:pPr>
              <w:jc w:val="center"/>
              <w:rPr>
                <w:i/>
                <w:iCs/>
                <w:sz w:val="16"/>
                <w:szCs w:val="16"/>
              </w:rPr>
            </w:pPr>
            <w:r w:rsidRPr="008C795A">
              <w:rPr>
                <w:i/>
                <w:iCs/>
                <w:sz w:val="16"/>
                <w:szCs w:val="16"/>
              </w:rPr>
              <w:t>у яких задоволено позовні вимоги/</w:t>
            </w:r>
            <w:r w:rsidRPr="008C795A">
              <w:rPr>
                <w:i/>
                <w:iCs/>
                <w:sz w:val="16"/>
                <w:szCs w:val="16"/>
              </w:rPr>
              <w:br/>
              <w:t>апеляційні скарги, інше</w:t>
            </w:r>
          </w:p>
        </w:tc>
        <w:tc>
          <w:tcPr>
            <w:tcW w:w="1134" w:type="dxa"/>
            <w:vMerge/>
            <w:hideMark/>
          </w:tcPr>
          <w:p w:rsidR="00705487" w:rsidRPr="008C795A" w:rsidRDefault="00705487" w:rsidP="00B76B95">
            <w:pPr>
              <w:jc w:val="center"/>
              <w:rPr>
                <w:b/>
                <w:bCs/>
                <w:sz w:val="16"/>
                <w:szCs w:val="16"/>
              </w:rPr>
            </w:pPr>
          </w:p>
        </w:tc>
        <w:tc>
          <w:tcPr>
            <w:tcW w:w="992" w:type="dxa"/>
            <w:vMerge w:val="restart"/>
            <w:hideMark/>
          </w:tcPr>
          <w:p w:rsidR="00705487" w:rsidRPr="008C795A" w:rsidRDefault="00705487" w:rsidP="00B76B95">
            <w:pPr>
              <w:jc w:val="center"/>
              <w:rPr>
                <w:sz w:val="16"/>
                <w:szCs w:val="16"/>
              </w:rPr>
            </w:pPr>
            <w:r w:rsidRPr="008C795A">
              <w:rPr>
                <w:sz w:val="16"/>
                <w:szCs w:val="16"/>
              </w:rPr>
              <w:t>надійшло до судді</w:t>
            </w:r>
          </w:p>
        </w:tc>
        <w:tc>
          <w:tcPr>
            <w:tcW w:w="709" w:type="dxa"/>
            <w:vMerge w:val="restart"/>
            <w:hideMark/>
          </w:tcPr>
          <w:p w:rsidR="00705487" w:rsidRPr="008C795A" w:rsidRDefault="00705487" w:rsidP="00B76B95">
            <w:pPr>
              <w:jc w:val="center"/>
              <w:rPr>
                <w:sz w:val="16"/>
                <w:szCs w:val="16"/>
              </w:rPr>
            </w:pPr>
            <w:r w:rsidRPr="008C795A">
              <w:rPr>
                <w:sz w:val="16"/>
                <w:szCs w:val="16"/>
              </w:rPr>
              <w:t>розглянуто суддею</w:t>
            </w:r>
          </w:p>
        </w:tc>
      </w:tr>
      <w:tr w:rsidR="008C795A" w:rsidRPr="00C47D1F" w:rsidTr="008C795A">
        <w:trPr>
          <w:trHeight w:val="762"/>
        </w:trPr>
        <w:tc>
          <w:tcPr>
            <w:tcW w:w="409" w:type="dxa"/>
            <w:vMerge/>
            <w:hideMark/>
          </w:tcPr>
          <w:p w:rsidR="00705487" w:rsidRPr="00341373" w:rsidRDefault="00705487" w:rsidP="00926252">
            <w:pPr>
              <w:rPr>
                <w:b/>
                <w:bCs/>
                <w:sz w:val="14"/>
                <w:szCs w:val="14"/>
              </w:rPr>
            </w:pPr>
          </w:p>
        </w:tc>
        <w:tc>
          <w:tcPr>
            <w:tcW w:w="1429" w:type="dxa"/>
            <w:vMerge/>
            <w:hideMark/>
          </w:tcPr>
          <w:p w:rsidR="00705487" w:rsidRPr="00341373" w:rsidRDefault="00705487" w:rsidP="00926252">
            <w:pPr>
              <w:rPr>
                <w:b/>
                <w:bCs/>
                <w:sz w:val="14"/>
                <w:szCs w:val="14"/>
              </w:rPr>
            </w:pPr>
          </w:p>
        </w:tc>
        <w:tc>
          <w:tcPr>
            <w:tcW w:w="1078" w:type="dxa"/>
            <w:vMerge/>
            <w:hideMark/>
          </w:tcPr>
          <w:p w:rsidR="00705487" w:rsidRPr="00341373" w:rsidRDefault="00705487" w:rsidP="00926252">
            <w:pPr>
              <w:rPr>
                <w:b/>
                <w:bCs/>
                <w:sz w:val="14"/>
                <w:szCs w:val="14"/>
              </w:rPr>
            </w:pPr>
          </w:p>
        </w:tc>
        <w:tc>
          <w:tcPr>
            <w:tcW w:w="955" w:type="dxa"/>
            <w:vMerge/>
            <w:hideMark/>
          </w:tcPr>
          <w:p w:rsidR="00705487" w:rsidRPr="00341373" w:rsidRDefault="00705487" w:rsidP="00926252">
            <w:pPr>
              <w:rPr>
                <w:sz w:val="14"/>
                <w:szCs w:val="14"/>
              </w:rPr>
            </w:pPr>
          </w:p>
        </w:tc>
        <w:tc>
          <w:tcPr>
            <w:tcW w:w="1125" w:type="dxa"/>
            <w:vMerge/>
            <w:hideMark/>
          </w:tcPr>
          <w:p w:rsidR="00705487" w:rsidRPr="00341373" w:rsidRDefault="00705487" w:rsidP="00926252">
            <w:pPr>
              <w:rPr>
                <w:b/>
                <w:bCs/>
                <w:sz w:val="14"/>
                <w:szCs w:val="14"/>
              </w:rPr>
            </w:pPr>
          </w:p>
        </w:tc>
        <w:tc>
          <w:tcPr>
            <w:tcW w:w="669" w:type="dxa"/>
            <w:vMerge/>
            <w:hideMark/>
          </w:tcPr>
          <w:p w:rsidR="00705487" w:rsidRPr="00341373" w:rsidRDefault="00705487" w:rsidP="00926252">
            <w:pPr>
              <w:rPr>
                <w:b/>
                <w:bCs/>
                <w:sz w:val="14"/>
                <w:szCs w:val="14"/>
              </w:rPr>
            </w:pPr>
          </w:p>
        </w:tc>
        <w:tc>
          <w:tcPr>
            <w:tcW w:w="851" w:type="dxa"/>
            <w:vMerge/>
            <w:hideMark/>
          </w:tcPr>
          <w:p w:rsidR="00705487" w:rsidRPr="00341373" w:rsidRDefault="00705487" w:rsidP="00926252">
            <w:pPr>
              <w:rPr>
                <w:i/>
                <w:iCs/>
                <w:sz w:val="14"/>
                <w:szCs w:val="14"/>
              </w:rPr>
            </w:pPr>
          </w:p>
        </w:tc>
        <w:tc>
          <w:tcPr>
            <w:tcW w:w="1134" w:type="dxa"/>
            <w:vMerge/>
            <w:hideMark/>
          </w:tcPr>
          <w:p w:rsidR="00705487" w:rsidRPr="00341373" w:rsidRDefault="00705487" w:rsidP="00926252">
            <w:pPr>
              <w:rPr>
                <w:b/>
                <w:bCs/>
                <w:sz w:val="14"/>
                <w:szCs w:val="14"/>
              </w:rPr>
            </w:pPr>
          </w:p>
        </w:tc>
        <w:tc>
          <w:tcPr>
            <w:tcW w:w="992" w:type="dxa"/>
            <w:vMerge/>
            <w:hideMark/>
          </w:tcPr>
          <w:p w:rsidR="00705487" w:rsidRPr="00341373" w:rsidRDefault="00705487" w:rsidP="00926252">
            <w:pPr>
              <w:rPr>
                <w:sz w:val="14"/>
                <w:szCs w:val="14"/>
              </w:rPr>
            </w:pPr>
          </w:p>
        </w:tc>
        <w:tc>
          <w:tcPr>
            <w:tcW w:w="709" w:type="dxa"/>
            <w:vMerge/>
            <w:hideMark/>
          </w:tcPr>
          <w:p w:rsidR="00705487" w:rsidRPr="00341373" w:rsidRDefault="00705487" w:rsidP="00926252">
            <w:pPr>
              <w:rPr>
                <w:sz w:val="14"/>
                <w:szCs w:val="14"/>
              </w:rPr>
            </w:pPr>
          </w:p>
        </w:tc>
      </w:tr>
      <w:tr w:rsidR="008C795A" w:rsidRPr="00C47D1F" w:rsidTr="008C795A">
        <w:trPr>
          <w:trHeight w:val="387"/>
        </w:trPr>
        <w:tc>
          <w:tcPr>
            <w:tcW w:w="409" w:type="dxa"/>
            <w:vMerge/>
            <w:hideMark/>
          </w:tcPr>
          <w:p w:rsidR="00705487" w:rsidRPr="00341373" w:rsidRDefault="00705487" w:rsidP="00926252">
            <w:pPr>
              <w:rPr>
                <w:b/>
                <w:bCs/>
                <w:sz w:val="14"/>
                <w:szCs w:val="14"/>
              </w:rPr>
            </w:pPr>
          </w:p>
        </w:tc>
        <w:tc>
          <w:tcPr>
            <w:tcW w:w="1429" w:type="dxa"/>
            <w:vMerge/>
            <w:hideMark/>
          </w:tcPr>
          <w:p w:rsidR="00705487" w:rsidRPr="00341373" w:rsidRDefault="00705487" w:rsidP="00926252">
            <w:pPr>
              <w:rPr>
                <w:b/>
                <w:bCs/>
                <w:sz w:val="14"/>
                <w:szCs w:val="14"/>
              </w:rPr>
            </w:pPr>
          </w:p>
        </w:tc>
        <w:tc>
          <w:tcPr>
            <w:tcW w:w="1078" w:type="dxa"/>
            <w:noWrap/>
            <w:hideMark/>
          </w:tcPr>
          <w:p w:rsidR="00705487" w:rsidRPr="00341373" w:rsidRDefault="00705487" w:rsidP="00926252">
            <w:pPr>
              <w:rPr>
                <w:b/>
                <w:bCs/>
                <w:sz w:val="14"/>
                <w:szCs w:val="14"/>
              </w:rPr>
            </w:pPr>
            <w:r w:rsidRPr="00341373">
              <w:rPr>
                <w:b/>
                <w:bCs/>
                <w:sz w:val="14"/>
                <w:szCs w:val="14"/>
              </w:rPr>
              <w:t>3</w:t>
            </w:r>
          </w:p>
        </w:tc>
        <w:tc>
          <w:tcPr>
            <w:tcW w:w="955" w:type="dxa"/>
            <w:noWrap/>
            <w:hideMark/>
          </w:tcPr>
          <w:p w:rsidR="00705487" w:rsidRPr="00341373" w:rsidRDefault="00705487" w:rsidP="00926252">
            <w:pPr>
              <w:rPr>
                <w:b/>
                <w:bCs/>
                <w:sz w:val="14"/>
                <w:szCs w:val="14"/>
              </w:rPr>
            </w:pPr>
            <w:r w:rsidRPr="00341373">
              <w:rPr>
                <w:b/>
                <w:bCs/>
                <w:sz w:val="14"/>
                <w:szCs w:val="14"/>
              </w:rPr>
              <w:t>4</w:t>
            </w:r>
          </w:p>
        </w:tc>
        <w:tc>
          <w:tcPr>
            <w:tcW w:w="1125" w:type="dxa"/>
            <w:noWrap/>
            <w:hideMark/>
          </w:tcPr>
          <w:p w:rsidR="00705487" w:rsidRPr="00341373" w:rsidRDefault="00705487" w:rsidP="00926252">
            <w:pPr>
              <w:rPr>
                <w:b/>
                <w:bCs/>
                <w:sz w:val="14"/>
                <w:szCs w:val="14"/>
              </w:rPr>
            </w:pPr>
            <w:r w:rsidRPr="00341373">
              <w:rPr>
                <w:b/>
                <w:bCs/>
                <w:sz w:val="14"/>
                <w:szCs w:val="14"/>
              </w:rPr>
              <w:t>5</w:t>
            </w:r>
          </w:p>
        </w:tc>
        <w:tc>
          <w:tcPr>
            <w:tcW w:w="669" w:type="dxa"/>
            <w:noWrap/>
            <w:hideMark/>
          </w:tcPr>
          <w:p w:rsidR="00705487" w:rsidRPr="00341373" w:rsidRDefault="00705487" w:rsidP="00926252">
            <w:pPr>
              <w:rPr>
                <w:b/>
                <w:bCs/>
                <w:sz w:val="14"/>
                <w:szCs w:val="14"/>
              </w:rPr>
            </w:pPr>
            <w:r w:rsidRPr="00341373">
              <w:rPr>
                <w:b/>
                <w:bCs/>
                <w:sz w:val="14"/>
                <w:szCs w:val="14"/>
              </w:rPr>
              <w:t>6</w:t>
            </w:r>
          </w:p>
        </w:tc>
        <w:tc>
          <w:tcPr>
            <w:tcW w:w="851" w:type="dxa"/>
            <w:noWrap/>
            <w:hideMark/>
          </w:tcPr>
          <w:p w:rsidR="00705487" w:rsidRPr="00341373" w:rsidRDefault="00705487" w:rsidP="00926252">
            <w:pPr>
              <w:rPr>
                <w:b/>
                <w:bCs/>
                <w:sz w:val="14"/>
                <w:szCs w:val="14"/>
              </w:rPr>
            </w:pPr>
            <w:r w:rsidRPr="00341373">
              <w:rPr>
                <w:b/>
                <w:bCs/>
                <w:sz w:val="14"/>
                <w:szCs w:val="14"/>
              </w:rPr>
              <w:t>7</w:t>
            </w:r>
          </w:p>
        </w:tc>
        <w:tc>
          <w:tcPr>
            <w:tcW w:w="1134" w:type="dxa"/>
            <w:noWrap/>
            <w:hideMark/>
          </w:tcPr>
          <w:p w:rsidR="00705487" w:rsidRPr="00341373" w:rsidRDefault="00705487" w:rsidP="00926252">
            <w:pPr>
              <w:rPr>
                <w:b/>
                <w:bCs/>
                <w:sz w:val="14"/>
                <w:szCs w:val="14"/>
              </w:rPr>
            </w:pPr>
            <w:r w:rsidRPr="00341373">
              <w:rPr>
                <w:b/>
                <w:bCs/>
                <w:sz w:val="14"/>
                <w:szCs w:val="14"/>
              </w:rPr>
              <w:t>8</w:t>
            </w:r>
          </w:p>
        </w:tc>
        <w:tc>
          <w:tcPr>
            <w:tcW w:w="992" w:type="dxa"/>
            <w:noWrap/>
            <w:hideMark/>
          </w:tcPr>
          <w:p w:rsidR="00705487" w:rsidRPr="00341373" w:rsidRDefault="00705487" w:rsidP="00926252">
            <w:pPr>
              <w:rPr>
                <w:b/>
                <w:bCs/>
                <w:sz w:val="14"/>
                <w:szCs w:val="14"/>
              </w:rPr>
            </w:pPr>
            <w:r w:rsidRPr="00341373">
              <w:rPr>
                <w:b/>
                <w:bCs/>
                <w:sz w:val="14"/>
                <w:szCs w:val="14"/>
              </w:rPr>
              <w:t>9</w:t>
            </w:r>
          </w:p>
        </w:tc>
        <w:tc>
          <w:tcPr>
            <w:tcW w:w="709" w:type="dxa"/>
            <w:noWrap/>
            <w:hideMark/>
          </w:tcPr>
          <w:p w:rsidR="00705487" w:rsidRPr="00341373" w:rsidRDefault="00705487" w:rsidP="00926252">
            <w:pPr>
              <w:rPr>
                <w:b/>
                <w:bCs/>
                <w:sz w:val="14"/>
                <w:szCs w:val="14"/>
              </w:rPr>
            </w:pPr>
            <w:r w:rsidRPr="00341373">
              <w:rPr>
                <w:b/>
                <w:bCs/>
                <w:sz w:val="14"/>
                <w:szCs w:val="14"/>
              </w:rPr>
              <w:t>10</w:t>
            </w:r>
          </w:p>
        </w:tc>
      </w:tr>
      <w:tr w:rsidR="008C795A" w:rsidRPr="00C47D1F" w:rsidTr="008C795A">
        <w:trPr>
          <w:trHeight w:val="387"/>
        </w:trPr>
        <w:tc>
          <w:tcPr>
            <w:tcW w:w="409" w:type="dxa"/>
            <w:hideMark/>
          </w:tcPr>
          <w:p w:rsidR="00705487" w:rsidRPr="008C795A" w:rsidRDefault="00705487" w:rsidP="008C795A">
            <w:pPr>
              <w:jc w:val="center"/>
              <w:rPr>
                <w:sz w:val="16"/>
                <w:szCs w:val="16"/>
              </w:rPr>
            </w:pPr>
            <w:r w:rsidRPr="008C795A">
              <w:rPr>
                <w:sz w:val="16"/>
                <w:szCs w:val="16"/>
              </w:rPr>
              <w:t>1</w:t>
            </w:r>
          </w:p>
        </w:tc>
        <w:tc>
          <w:tcPr>
            <w:tcW w:w="1429" w:type="dxa"/>
            <w:noWrap/>
            <w:hideMark/>
          </w:tcPr>
          <w:p w:rsidR="00705487" w:rsidRPr="008C795A" w:rsidRDefault="008C795A" w:rsidP="008C795A">
            <w:pPr>
              <w:jc w:val="center"/>
              <w:rPr>
                <w:sz w:val="16"/>
                <w:szCs w:val="16"/>
              </w:rPr>
            </w:pPr>
            <w:r w:rsidRPr="008C795A">
              <w:rPr>
                <w:sz w:val="16"/>
                <w:szCs w:val="16"/>
              </w:rPr>
              <w:t>ДОАС</w:t>
            </w:r>
          </w:p>
        </w:tc>
        <w:tc>
          <w:tcPr>
            <w:tcW w:w="1078" w:type="dxa"/>
            <w:noWrap/>
            <w:hideMark/>
          </w:tcPr>
          <w:p w:rsidR="00705487" w:rsidRPr="008C795A" w:rsidRDefault="00705487" w:rsidP="008C795A">
            <w:pPr>
              <w:jc w:val="center"/>
              <w:rPr>
                <w:sz w:val="16"/>
                <w:szCs w:val="16"/>
              </w:rPr>
            </w:pPr>
            <w:r w:rsidRPr="008C795A">
              <w:rPr>
                <w:sz w:val="16"/>
                <w:szCs w:val="16"/>
              </w:rPr>
              <w:t>51497</w:t>
            </w:r>
          </w:p>
        </w:tc>
        <w:tc>
          <w:tcPr>
            <w:tcW w:w="955" w:type="dxa"/>
            <w:noWrap/>
            <w:hideMark/>
          </w:tcPr>
          <w:p w:rsidR="00705487" w:rsidRPr="008C795A" w:rsidRDefault="00705487" w:rsidP="008C795A">
            <w:pPr>
              <w:jc w:val="center"/>
              <w:rPr>
                <w:sz w:val="16"/>
                <w:szCs w:val="16"/>
              </w:rPr>
            </w:pPr>
            <w:r w:rsidRPr="008C795A">
              <w:rPr>
                <w:sz w:val="16"/>
                <w:szCs w:val="16"/>
              </w:rPr>
              <w:t>43042</w:t>
            </w:r>
          </w:p>
        </w:tc>
        <w:tc>
          <w:tcPr>
            <w:tcW w:w="1125" w:type="dxa"/>
            <w:noWrap/>
            <w:hideMark/>
          </w:tcPr>
          <w:p w:rsidR="00705487" w:rsidRPr="008C795A" w:rsidRDefault="00705487" w:rsidP="008C795A">
            <w:pPr>
              <w:jc w:val="center"/>
              <w:rPr>
                <w:sz w:val="16"/>
                <w:szCs w:val="16"/>
              </w:rPr>
            </w:pPr>
            <w:r w:rsidRPr="008C795A">
              <w:rPr>
                <w:sz w:val="16"/>
                <w:szCs w:val="16"/>
              </w:rPr>
              <w:t>40278</w:t>
            </w:r>
          </w:p>
        </w:tc>
        <w:tc>
          <w:tcPr>
            <w:tcW w:w="669" w:type="dxa"/>
            <w:noWrap/>
            <w:hideMark/>
          </w:tcPr>
          <w:p w:rsidR="00705487" w:rsidRPr="008C795A" w:rsidRDefault="00705487" w:rsidP="008C795A">
            <w:pPr>
              <w:jc w:val="center"/>
              <w:rPr>
                <w:sz w:val="16"/>
                <w:szCs w:val="16"/>
              </w:rPr>
            </w:pPr>
            <w:r w:rsidRPr="008C795A">
              <w:rPr>
                <w:sz w:val="16"/>
                <w:szCs w:val="16"/>
              </w:rPr>
              <w:t>29954</w:t>
            </w:r>
          </w:p>
        </w:tc>
        <w:tc>
          <w:tcPr>
            <w:tcW w:w="851" w:type="dxa"/>
            <w:noWrap/>
            <w:hideMark/>
          </w:tcPr>
          <w:p w:rsidR="00705487" w:rsidRPr="008C795A" w:rsidRDefault="00705487" w:rsidP="008C795A">
            <w:pPr>
              <w:jc w:val="center"/>
              <w:rPr>
                <w:sz w:val="16"/>
                <w:szCs w:val="16"/>
              </w:rPr>
            </w:pPr>
            <w:r w:rsidRPr="008C795A">
              <w:rPr>
                <w:sz w:val="16"/>
                <w:szCs w:val="16"/>
              </w:rPr>
              <w:t>25125</w:t>
            </w:r>
          </w:p>
        </w:tc>
        <w:tc>
          <w:tcPr>
            <w:tcW w:w="1134" w:type="dxa"/>
            <w:noWrap/>
            <w:hideMark/>
          </w:tcPr>
          <w:p w:rsidR="00705487" w:rsidRPr="008C795A" w:rsidRDefault="00705487" w:rsidP="008C795A">
            <w:pPr>
              <w:jc w:val="center"/>
              <w:rPr>
                <w:sz w:val="16"/>
                <w:szCs w:val="16"/>
              </w:rPr>
            </w:pPr>
            <w:r w:rsidRPr="008C795A">
              <w:rPr>
                <w:sz w:val="16"/>
                <w:szCs w:val="16"/>
              </w:rPr>
              <w:t>11219</w:t>
            </w:r>
          </w:p>
        </w:tc>
        <w:tc>
          <w:tcPr>
            <w:tcW w:w="992" w:type="dxa"/>
            <w:noWrap/>
            <w:hideMark/>
          </w:tcPr>
          <w:p w:rsidR="00705487" w:rsidRPr="008C795A" w:rsidRDefault="00705487" w:rsidP="008C795A">
            <w:pPr>
              <w:jc w:val="center"/>
              <w:rPr>
                <w:sz w:val="16"/>
                <w:szCs w:val="16"/>
              </w:rPr>
            </w:pPr>
            <w:r w:rsidRPr="008C795A">
              <w:rPr>
                <w:sz w:val="16"/>
                <w:szCs w:val="16"/>
              </w:rPr>
              <w:t>121,17</w:t>
            </w:r>
          </w:p>
        </w:tc>
        <w:tc>
          <w:tcPr>
            <w:tcW w:w="709" w:type="dxa"/>
            <w:noWrap/>
            <w:hideMark/>
          </w:tcPr>
          <w:p w:rsidR="00705487" w:rsidRPr="008C795A" w:rsidRDefault="00705487" w:rsidP="008C795A">
            <w:pPr>
              <w:jc w:val="center"/>
              <w:rPr>
                <w:sz w:val="16"/>
                <w:szCs w:val="16"/>
              </w:rPr>
            </w:pPr>
            <w:r w:rsidRPr="008C795A">
              <w:rPr>
                <w:sz w:val="16"/>
                <w:szCs w:val="16"/>
              </w:rPr>
              <w:t>112,92</w:t>
            </w:r>
          </w:p>
        </w:tc>
      </w:tr>
      <w:tr w:rsidR="008C795A" w:rsidRPr="00C47D1F" w:rsidTr="008C795A">
        <w:trPr>
          <w:trHeight w:val="387"/>
        </w:trPr>
        <w:tc>
          <w:tcPr>
            <w:tcW w:w="409" w:type="dxa"/>
            <w:hideMark/>
          </w:tcPr>
          <w:p w:rsidR="00705487" w:rsidRPr="008C795A" w:rsidRDefault="00705487" w:rsidP="008C795A">
            <w:pPr>
              <w:jc w:val="center"/>
              <w:rPr>
                <w:sz w:val="16"/>
                <w:szCs w:val="16"/>
              </w:rPr>
            </w:pPr>
            <w:r w:rsidRPr="008C795A">
              <w:rPr>
                <w:sz w:val="16"/>
                <w:szCs w:val="16"/>
              </w:rPr>
              <w:t>2</w:t>
            </w:r>
          </w:p>
        </w:tc>
        <w:tc>
          <w:tcPr>
            <w:tcW w:w="1429" w:type="dxa"/>
            <w:noWrap/>
            <w:hideMark/>
          </w:tcPr>
          <w:p w:rsidR="00705487" w:rsidRPr="008C795A" w:rsidRDefault="008C795A" w:rsidP="008C795A">
            <w:pPr>
              <w:jc w:val="center"/>
              <w:rPr>
                <w:sz w:val="16"/>
                <w:szCs w:val="16"/>
              </w:rPr>
            </w:pPr>
            <w:r w:rsidRPr="008C795A">
              <w:rPr>
                <w:sz w:val="16"/>
                <w:szCs w:val="16"/>
              </w:rPr>
              <w:t>ЗОАС</w:t>
            </w:r>
          </w:p>
        </w:tc>
        <w:tc>
          <w:tcPr>
            <w:tcW w:w="1078" w:type="dxa"/>
            <w:noWrap/>
            <w:hideMark/>
          </w:tcPr>
          <w:p w:rsidR="00705487" w:rsidRPr="008C795A" w:rsidRDefault="00705487" w:rsidP="008C795A">
            <w:pPr>
              <w:jc w:val="center"/>
              <w:rPr>
                <w:sz w:val="16"/>
                <w:szCs w:val="16"/>
              </w:rPr>
            </w:pPr>
            <w:r w:rsidRPr="008C795A">
              <w:rPr>
                <w:sz w:val="16"/>
                <w:szCs w:val="16"/>
              </w:rPr>
              <w:t>17404</w:t>
            </w:r>
          </w:p>
        </w:tc>
        <w:tc>
          <w:tcPr>
            <w:tcW w:w="955" w:type="dxa"/>
            <w:noWrap/>
            <w:hideMark/>
          </w:tcPr>
          <w:p w:rsidR="00705487" w:rsidRPr="008C795A" w:rsidRDefault="00705487" w:rsidP="008C795A">
            <w:pPr>
              <w:jc w:val="center"/>
              <w:rPr>
                <w:sz w:val="16"/>
                <w:szCs w:val="16"/>
              </w:rPr>
            </w:pPr>
            <w:r w:rsidRPr="008C795A">
              <w:rPr>
                <w:sz w:val="16"/>
                <w:szCs w:val="16"/>
              </w:rPr>
              <w:t>15014</w:t>
            </w:r>
          </w:p>
        </w:tc>
        <w:tc>
          <w:tcPr>
            <w:tcW w:w="1125" w:type="dxa"/>
            <w:noWrap/>
            <w:hideMark/>
          </w:tcPr>
          <w:p w:rsidR="00705487" w:rsidRPr="008C795A" w:rsidRDefault="00705487" w:rsidP="008C795A">
            <w:pPr>
              <w:jc w:val="center"/>
              <w:rPr>
                <w:sz w:val="16"/>
                <w:szCs w:val="16"/>
              </w:rPr>
            </w:pPr>
            <w:r w:rsidRPr="008C795A">
              <w:rPr>
                <w:sz w:val="16"/>
                <w:szCs w:val="16"/>
              </w:rPr>
              <w:t>14608</w:t>
            </w:r>
          </w:p>
        </w:tc>
        <w:tc>
          <w:tcPr>
            <w:tcW w:w="669" w:type="dxa"/>
            <w:noWrap/>
            <w:hideMark/>
          </w:tcPr>
          <w:p w:rsidR="00705487" w:rsidRPr="008C795A" w:rsidRDefault="00705487" w:rsidP="008C795A">
            <w:pPr>
              <w:jc w:val="center"/>
              <w:rPr>
                <w:sz w:val="16"/>
                <w:szCs w:val="16"/>
              </w:rPr>
            </w:pPr>
            <w:r w:rsidRPr="008C795A">
              <w:rPr>
                <w:sz w:val="16"/>
                <w:szCs w:val="16"/>
              </w:rPr>
              <w:t>11423</w:t>
            </w:r>
          </w:p>
        </w:tc>
        <w:tc>
          <w:tcPr>
            <w:tcW w:w="851" w:type="dxa"/>
            <w:noWrap/>
            <w:hideMark/>
          </w:tcPr>
          <w:p w:rsidR="00705487" w:rsidRPr="008C795A" w:rsidRDefault="00705487" w:rsidP="008C795A">
            <w:pPr>
              <w:jc w:val="center"/>
              <w:rPr>
                <w:sz w:val="16"/>
                <w:szCs w:val="16"/>
              </w:rPr>
            </w:pPr>
            <w:r w:rsidRPr="008C795A">
              <w:rPr>
                <w:sz w:val="16"/>
                <w:szCs w:val="16"/>
              </w:rPr>
              <w:t>9305</w:t>
            </w:r>
          </w:p>
        </w:tc>
        <w:tc>
          <w:tcPr>
            <w:tcW w:w="1134" w:type="dxa"/>
            <w:noWrap/>
            <w:hideMark/>
          </w:tcPr>
          <w:p w:rsidR="00705487" w:rsidRPr="008C795A" w:rsidRDefault="00705487" w:rsidP="008C795A">
            <w:pPr>
              <w:jc w:val="center"/>
              <w:rPr>
                <w:sz w:val="16"/>
                <w:szCs w:val="16"/>
              </w:rPr>
            </w:pPr>
            <w:r w:rsidRPr="008C795A">
              <w:rPr>
                <w:sz w:val="16"/>
                <w:szCs w:val="16"/>
              </w:rPr>
              <w:t>2796</w:t>
            </w:r>
          </w:p>
        </w:tc>
        <w:tc>
          <w:tcPr>
            <w:tcW w:w="992" w:type="dxa"/>
            <w:noWrap/>
            <w:hideMark/>
          </w:tcPr>
          <w:p w:rsidR="00705487" w:rsidRPr="008C795A" w:rsidRDefault="00705487" w:rsidP="008C795A">
            <w:pPr>
              <w:jc w:val="center"/>
              <w:rPr>
                <w:sz w:val="16"/>
                <w:szCs w:val="16"/>
              </w:rPr>
            </w:pPr>
            <w:r w:rsidRPr="008C795A">
              <w:rPr>
                <w:sz w:val="16"/>
                <w:szCs w:val="16"/>
              </w:rPr>
              <w:t>84,3</w:t>
            </w:r>
          </w:p>
        </w:tc>
        <w:tc>
          <w:tcPr>
            <w:tcW w:w="709" w:type="dxa"/>
            <w:noWrap/>
            <w:hideMark/>
          </w:tcPr>
          <w:p w:rsidR="00705487" w:rsidRPr="008C795A" w:rsidRDefault="00705487" w:rsidP="008C795A">
            <w:pPr>
              <w:jc w:val="center"/>
              <w:rPr>
                <w:sz w:val="16"/>
                <w:szCs w:val="16"/>
              </w:rPr>
            </w:pPr>
            <w:r w:rsidRPr="008C795A">
              <w:rPr>
                <w:sz w:val="16"/>
                <w:szCs w:val="16"/>
              </w:rPr>
              <w:t>82,1</w:t>
            </w:r>
          </w:p>
        </w:tc>
      </w:tr>
      <w:tr w:rsidR="008C795A" w:rsidRPr="00C47D1F" w:rsidTr="008C795A">
        <w:trPr>
          <w:trHeight w:val="387"/>
        </w:trPr>
        <w:tc>
          <w:tcPr>
            <w:tcW w:w="409" w:type="dxa"/>
            <w:hideMark/>
          </w:tcPr>
          <w:p w:rsidR="00705487" w:rsidRPr="008C795A" w:rsidRDefault="00705487" w:rsidP="008C795A">
            <w:pPr>
              <w:jc w:val="center"/>
              <w:rPr>
                <w:sz w:val="16"/>
                <w:szCs w:val="16"/>
              </w:rPr>
            </w:pPr>
            <w:r w:rsidRPr="008C795A">
              <w:rPr>
                <w:sz w:val="16"/>
                <w:szCs w:val="16"/>
              </w:rPr>
              <w:t>3</w:t>
            </w:r>
          </w:p>
        </w:tc>
        <w:tc>
          <w:tcPr>
            <w:tcW w:w="1429" w:type="dxa"/>
            <w:noWrap/>
            <w:hideMark/>
          </w:tcPr>
          <w:p w:rsidR="00705487" w:rsidRPr="008C795A" w:rsidRDefault="008C795A" w:rsidP="008C795A">
            <w:pPr>
              <w:jc w:val="center"/>
              <w:rPr>
                <w:sz w:val="16"/>
                <w:szCs w:val="16"/>
              </w:rPr>
            </w:pPr>
            <w:r w:rsidRPr="008C795A">
              <w:rPr>
                <w:sz w:val="16"/>
                <w:szCs w:val="16"/>
              </w:rPr>
              <w:t>КОАС</w:t>
            </w:r>
          </w:p>
        </w:tc>
        <w:tc>
          <w:tcPr>
            <w:tcW w:w="1078" w:type="dxa"/>
            <w:noWrap/>
            <w:hideMark/>
          </w:tcPr>
          <w:p w:rsidR="00705487" w:rsidRPr="008C795A" w:rsidRDefault="00705487" w:rsidP="008C795A">
            <w:pPr>
              <w:jc w:val="center"/>
              <w:rPr>
                <w:sz w:val="16"/>
                <w:szCs w:val="16"/>
              </w:rPr>
            </w:pPr>
            <w:r w:rsidRPr="008C795A">
              <w:rPr>
                <w:sz w:val="16"/>
                <w:szCs w:val="16"/>
              </w:rPr>
              <w:t>14601</w:t>
            </w:r>
          </w:p>
        </w:tc>
        <w:tc>
          <w:tcPr>
            <w:tcW w:w="955" w:type="dxa"/>
            <w:noWrap/>
            <w:hideMark/>
          </w:tcPr>
          <w:p w:rsidR="00705487" w:rsidRPr="008C795A" w:rsidRDefault="00705487" w:rsidP="008C795A">
            <w:pPr>
              <w:jc w:val="center"/>
              <w:rPr>
                <w:sz w:val="16"/>
                <w:szCs w:val="16"/>
              </w:rPr>
            </w:pPr>
            <w:r w:rsidRPr="008C795A">
              <w:rPr>
                <w:sz w:val="16"/>
                <w:szCs w:val="16"/>
              </w:rPr>
              <w:t>12494</w:t>
            </w:r>
          </w:p>
        </w:tc>
        <w:tc>
          <w:tcPr>
            <w:tcW w:w="1125" w:type="dxa"/>
            <w:noWrap/>
            <w:hideMark/>
          </w:tcPr>
          <w:p w:rsidR="00705487" w:rsidRPr="008C795A" w:rsidRDefault="00705487" w:rsidP="008C795A">
            <w:pPr>
              <w:jc w:val="center"/>
              <w:rPr>
                <w:sz w:val="16"/>
                <w:szCs w:val="16"/>
              </w:rPr>
            </w:pPr>
            <w:r w:rsidRPr="008C795A">
              <w:rPr>
                <w:sz w:val="16"/>
                <w:szCs w:val="16"/>
              </w:rPr>
              <w:t>10929</w:t>
            </w:r>
          </w:p>
        </w:tc>
        <w:tc>
          <w:tcPr>
            <w:tcW w:w="669" w:type="dxa"/>
            <w:noWrap/>
            <w:hideMark/>
          </w:tcPr>
          <w:p w:rsidR="00705487" w:rsidRPr="008C795A" w:rsidRDefault="00705487" w:rsidP="008C795A">
            <w:pPr>
              <w:jc w:val="center"/>
              <w:rPr>
                <w:sz w:val="16"/>
                <w:szCs w:val="16"/>
              </w:rPr>
            </w:pPr>
            <w:r w:rsidRPr="008C795A">
              <w:rPr>
                <w:sz w:val="16"/>
                <w:szCs w:val="16"/>
              </w:rPr>
              <w:t>7258</w:t>
            </w:r>
          </w:p>
        </w:tc>
        <w:tc>
          <w:tcPr>
            <w:tcW w:w="851" w:type="dxa"/>
            <w:noWrap/>
            <w:hideMark/>
          </w:tcPr>
          <w:p w:rsidR="00705487" w:rsidRPr="008C795A" w:rsidRDefault="00705487" w:rsidP="008C795A">
            <w:pPr>
              <w:jc w:val="center"/>
              <w:rPr>
                <w:sz w:val="16"/>
                <w:szCs w:val="16"/>
              </w:rPr>
            </w:pPr>
            <w:r w:rsidRPr="008C795A">
              <w:rPr>
                <w:sz w:val="16"/>
                <w:szCs w:val="16"/>
              </w:rPr>
              <w:t>5729</w:t>
            </w:r>
          </w:p>
        </w:tc>
        <w:tc>
          <w:tcPr>
            <w:tcW w:w="1134" w:type="dxa"/>
            <w:noWrap/>
            <w:hideMark/>
          </w:tcPr>
          <w:p w:rsidR="00705487" w:rsidRPr="008C795A" w:rsidRDefault="00705487" w:rsidP="008C795A">
            <w:pPr>
              <w:jc w:val="center"/>
              <w:rPr>
                <w:sz w:val="16"/>
                <w:szCs w:val="16"/>
              </w:rPr>
            </w:pPr>
            <w:r w:rsidRPr="008C795A">
              <w:rPr>
                <w:sz w:val="16"/>
                <w:szCs w:val="16"/>
              </w:rPr>
              <w:t>3672</w:t>
            </w:r>
          </w:p>
        </w:tc>
        <w:tc>
          <w:tcPr>
            <w:tcW w:w="992" w:type="dxa"/>
            <w:noWrap/>
            <w:hideMark/>
          </w:tcPr>
          <w:p w:rsidR="00705487" w:rsidRPr="008C795A" w:rsidRDefault="00705487" w:rsidP="008C795A">
            <w:pPr>
              <w:jc w:val="center"/>
              <w:rPr>
                <w:sz w:val="16"/>
                <w:szCs w:val="16"/>
              </w:rPr>
            </w:pPr>
            <w:r w:rsidRPr="008C795A">
              <w:rPr>
                <w:sz w:val="16"/>
                <w:szCs w:val="16"/>
              </w:rPr>
              <w:t>98,42</w:t>
            </w:r>
          </w:p>
        </w:tc>
        <w:tc>
          <w:tcPr>
            <w:tcW w:w="709" w:type="dxa"/>
            <w:noWrap/>
            <w:hideMark/>
          </w:tcPr>
          <w:p w:rsidR="00705487" w:rsidRPr="008C795A" w:rsidRDefault="00705487" w:rsidP="008C795A">
            <w:pPr>
              <w:jc w:val="center"/>
              <w:rPr>
                <w:sz w:val="16"/>
                <w:szCs w:val="16"/>
              </w:rPr>
            </w:pPr>
            <w:r w:rsidRPr="008C795A">
              <w:rPr>
                <w:sz w:val="16"/>
                <w:szCs w:val="16"/>
              </w:rPr>
              <w:t>87,31</w:t>
            </w:r>
          </w:p>
        </w:tc>
      </w:tr>
      <w:tr w:rsidR="008C795A" w:rsidRPr="00C47D1F" w:rsidTr="008C795A">
        <w:trPr>
          <w:trHeight w:val="387"/>
        </w:trPr>
        <w:tc>
          <w:tcPr>
            <w:tcW w:w="1838" w:type="dxa"/>
            <w:gridSpan w:val="2"/>
            <w:noWrap/>
            <w:hideMark/>
          </w:tcPr>
          <w:p w:rsidR="00705487" w:rsidRPr="008C795A" w:rsidRDefault="00705487" w:rsidP="008C795A">
            <w:pPr>
              <w:jc w:val="center"/>
              <w:rPr>
                <w:b/>
                <w:bCs/>
                <w:sz w:val="16"/>
                <w:szCs w:val="16"/>
              </w:rPr>
            </w:pPr>
            <w:r w:rsidRPr="008C795A">
              <w:rPr>
                <w:b/>
                <w:bCs/>
                <w:sz w:val="16"/>
                <w:szCs w:val="16"/>
              </w:rPr>
              <w:t>Разом</w:t>
            </w:r>
          </w:p>
        </w:tc>
        <w:tc>
          <w:tcPr>
            <w:tcW w:w="1078" w:type="dxa"/>
            <w:noWrap/>
            <w:hideMark/>
          </w:tcPr>
          <w:p w:rsidR="00705487" w:rsidRPr="008C795A" w:rsidRDefault="00705487" w:rsidP="008C795A">
            <w:pPr>
              <w:jc w:val="center"/>
              <w:rPr>
                <w:b/>
                <w:bCs/>
                <w:sz w:val="16"/>
                <w:szCs w:val="16"/>
              </w:rPr>
            </w:pPr>
            <w:r w:rsidRPr="008C795A">
              <w:rPr>
                <w:b/>
                <w:bCs/>
                <w:sz w:val="16"/>
                <w:szCs w:val="16"/>
              </w:rPr>
              <w:t>83502</w:t>
            </w:r>
          </w:p>
        </w:tc>
        <w:tc>
          <w:tcPr>
            <w:tcW w:w="955" w:type="dxa"/>
            <w:noWrap/>
            <w:hideMark/>
          </w:tcPr>
          <w:p w:rsidR="00705487" w:rsidRPr="008C795A" w:rsidRDefault="00705487" w:rsidP="008C795A">
            <w:pPr>
              <w:jc w:val="center"/>
              <w:rPr>
                <w:b/>
                <w:bCs/>
                <w:sz w:val="16"/>
                <w:szCs w:val="16"/>
              </w:rPr>
            </w:pPr>
            <w:r w:rsidRPr="008C795A">
              <w:rPr>
                <w:b/>
                <w:bCs/>
                <w:sz w:val="16"/>
                <w:szCs w:val="16"/>
              </w:rPr>
              <w:t>70550</w:t>
            </w:r>
          </w:p>
        </w:tc>
        <w:tc>
          <w:tcPr>
            <w:tcW w:w="1125" w:type="dxa"/>
            <w:noWrap/>
            <w:hideMark/>
          </w:tcPr>
          <w:p w:rsidR="00705487" w:rsidRPr="008C795A" w:rsidRDefault="00705487" w:rsidP="008C795A">
            <w:pPr>
              <w:jc w:val="center"/>
              <w:rPr>
                <w:b/>
                <w:bCs/>
                <w:sz w:val="16"/>
                <w:szCs w:val="16"/>
              </w:rPr>
            </w:pPr>
            <w:r w:rsidRPr="008C795A">
              <w:rPr>
                <w:b/>
                <w:bCs/>
                <w:sz w:val="16"/>
                <w:szCs w:val="16"/>
              </w:rPr>
              <w:t>65815</w:t>
            </w:r>
          </w:p>
        </w:tc>
        <w:tc>
          <w:tcPr>
            <w:tcW w:w="669" w:type="dxa"/>
            <w:noWrap/>
            <w:hideMark/>
          </w:tcPr>
          <w:p w:rsidR="00705487" w:rsidRPr="008C795A" w:rsidRDefault="00705487" w:rsidP="008C795A">
            <w:pPr>
              <w:jc w:val="center"/>
              <w:rPr>
                <w:b/>
                <w:bCs/>
                <w:sz w:val="16"/>
                <w:szCs w:val="16"/>
              </w:rPr>
            </w:pPr>
            <w:r w:rsidRPr="008C795A">
              <w:rPr>
                <w:b/>
                <w:bCs/>
                <w:sz w:val="16"/>
                <w:szCs w:val="16"/>
              </w:rPr>
              <w:t>48635</w:t>
            </w:r>
          </w:p>
        </w:tc>
        <w:tc>
          <w:tcPr>
            <w:tcW w:w="851" w:type="dxa"/>
            <w:noWrap/>
            <w:hideMark/>
          </w:tcPr>
          <w:p w:rsidR="00705487" w:rsidRPr="008C795A" w:rsidRDefault="00705487" w:rsidP="008C795A">
            <w:pPr>
              <w:jc w:val="center"/>
              <w:rPr>
                <w:b/>
                <w:bCs/>
                <w:sz w:val="16"/>
                <w:szCs w:val="16"/>
              </w:rPr>
            </w:pPr>
            <w:r w:rsidRPr="008C795A">
              <w:rPr>
                <w:b/>
                <w:bCs/>
                <w:sz w:val="16"/>
                <w:szCs w:val="16"/>
              </w:rPr>
              <w:t>40159</w:t>
            </w:r>
          </w:p>
        </w:tc>
        <w:tc>
          <w:tcPr>
            <w:tcW w:w="1134" w:type="dxa"/>
            <w:noWrap/>
            <w:hideMark/>
          </w:tcPr>
          <w:p w:rsidR="00705487" w:rsidRPr="008C795A" w:rsidRDefault="00705487" w:rsidP="008C795A">
            <w:pPr>
              <w:jc w:val="center"/>
              <w:rPr>
                <w:b/>
                <w:bCs/>
                <w:sz w:val="16"/>
                <w:szCs w:val="16"/>
              </w:rPr>
            </w:pPr>
            <w:r w:rsidRPr="008C795A">
              <w:rPr>
                <w:b/>
                <w:bCs/>
                <w:sz w:val="16"/>
                <w:szCs w:val="16"/>
              </w:rPr>
              <w:t>17687</w:t>
            </w:r>
          </w:p>
        </w:tc>
        <w:tc>
          <w:tcPr>
            <w:tcW w:w="992" w:type="dxa"/>
            <w:noWrap/>
            <w:hideMark/>
          </w:tcPr>
          <w:p w:rsidR="00705487" w:rsidRPr="008C795A" w:rsidRDefault="00705487" w:rsidP="008C795A">
            <w:pPr>
              <w:jc w:val="center"/>
              <w:rPr>
                <w:b/>
                <w:bCs/>
                <w:sz w:val="16"/>
                <w:szCs w:val="16"/>
              </w:rPr>
            </w:pPr>
            <w:r w:rsidRPr="008C795A">
              <w:rPr>
                <w:b/>
                <w:bCs/>
                <w:sz w:val="16"/>
                <w:szCs w:val="16"/>
              </w:rPr>
              <w:t>101,30</w:t>
            </w:r>
          </w:p>
        </w:tc>
        <w:tc>
          <w:tcPr>
            <w:tcW w:w="709" w:type="dxa"/>
            <w:noWrap/>
            <w:hideMark/>
          </w:tcPr>
          <w:p w:rsidR="00705487" w:rsidRPr="008C795A" w:rsidRDefault="00705487" w:rsidP="008C795A">
            <w:pPr>
              <w:jc w:val="center"/>
              <w:rPr>
                <w:b/>
                <w:bCs/>
                <w:sz w:val="16"/>
                <w:szCs w:val="16"/>
              </w:rPr>
            </w:pPr>
            <w:r w:rsidRPr="008C795A">
              <w:rPr>
                <w:b/>
                <w:bCs/>
                <w:sz w:val="16"/>
                <w:szCs w:val="16"/>
              </w:rPr>
              <w:t>94,1</w:t>
            </w:r>
          </w:p>
        </w:tc>
      </w:tr>
    </w:tbl>
    <w:p w:rsidR="00DF7FE7" w:rsidRDefault="00DF7FE7" w:rsidP="00361DFA">
      <w:pPr>
        <w:tabs>
          <w:tab w:val="left" w:pos="0"/>
        </w:tabs>
        <w:contextualSpacing/>
        <w:jc w:val="both"/>
        <w:rPr>
          <w:iCs/>
          <w:noProof/>
        </w:rPr>
      </w:pPr>
    </w:p>
    <w:p w:rsidR="00DF7FE7" w:rsidRDefault="00DF7FE7" w:rsidP="00DF7FE7">
      <w:pPr>
        <w:tabs>
          <w:tab w:val="left" w:pos="0"/>
        </w:tabs>
        <w:contextualSpacing/>
        <w:jc w:val="both"/>
        <w:rPr>
          <w:iCs/>
          <w:noProof/>
          <w:sz w:val="28"/>
          <w:szCs w:val="28"/>
        </w:rPr>
      </w:pPr>
      <w:r>
        <w:rPr>
          <w:iCs/>
          <w:noProof/>
        </w:rPr>
        <w:lastRenderedPageBreak/>
        <w:tab/>
      </w:r>
      <w:r w:rsidR="00D05DC2" w:rsidRPr="000F1266">
        <w:rPr>
          <w:noProof/>
        </w:rPr>
        <w:t xml:space="preserve">На виконання наказу </w:t>
      </w:r>
      <w:r w:rsidR="009754A3" w:rsidRPr="000F1266">
        <w:rPr>
          <w:noProof/>
        </w:rPr>
        <w:t xml:space="preserve">ДСА </w:t>
      </w:r>
      <w:r w:rsidR="00D05DC2" w:rsidRPr="000F1266">
        <w:rPr>
          <w:noProof/>
        </w:rPr>
        <w:t>України від 21.12.2</w:t>
      </w:r>
      <w:r w:rsidR="0063073C" w:rsidRPr="000F1266">
        <w:rPr>
          <w:noProof/>
        </w:rPr>
        <w:t xml:space="preserve">012 </w:t>
      </w:r>
      <w:r w:rsidR="0052340A" w:rsidRPr="000F1266">
        <w:rPr>
          <w:noProof/>
        </w:rPr>
        <w:t>№ 172</w:t>
      </w:r>
      <w:r w:rsidR="001A6F75" w:rsidRPr="000F1266">
        <w:rPr>
          <w:noProof/>
        </w:rPr>
        <w:t xml:space="preserve"> (</w:t>
      </w:r>
      <w:r w:rsidR="009754A3" w:rsidRPr="000F1266">
        <w:rPr>
          <w:noProof/>
        </w:rPr>
        <w:t>зі змінами</w:t>
      </w:r>
      <w:r w:rsidR="001A6F75" w:rsidRPr="000F1266">
        <w:rPr>
          <w:noProof/>
        </w:rPr>
        <w:t>)</w:t>
      </w:r>
      <w:r w:rsidR="00E337C1" w:rsidRPr="000F1266">
        <w:rPr>
          <w:noProof/>
        </w:rPr>
        <w:t>,</w:t>
      </w:r>
      <w:r w:rsidR="0052340A" w:rsidRPr="000F1266">
        <w:rPr>
          <w:noProof/>
        </w:rPr>
        <w:t xml:space="preserve"> судом було </w:t>
      </w:r>
      <w:r w:rsidR="00D05DC2" w:rsidRPr="000F1266">
        <w:rPr>
          <w:noProof/>
        </w:rPr>
        <w:t>складено «Звіт про справляння, звільнення від сплати та повернення судового збору в місцевих та ап</w:t>
      </w:r>
      <w:r w:rsidR="003A13DE" w:rsidRPr="000F1266">
        <w:rPr>
          <w:noProof/>
        </w:rPr>
        <w:t xml:space="preserve">еляційних судах» за формою № 10 </w:t>
      </w:r>
      <w:r w:rsidR="00C47484" w:rsidRPr="000F1266">
        <w:t>за 202</w:t>
      </w:r>
      <w:r w:rsidR="001D4107" w:rsidRPr="000F1266">
        <w:t>5</w:t>
      </w:r>
      <w:r w:rsidR="001A6F75" w:rsidRPr="000F1266">
        <w:t xml:space="preserve"> рік.</w:t>
      </w:r>
      <w:r w:rsidR="003A13DE" w:rsidRPr="000F1266">
        <w:rPr>
          <w:iCs/>
          <w:noProof/>
          <w:sz w:val="28"/>
          <w:szCs w:val="28"/>
        </w:rPr>
        <w:tab/>
      </w:r>
    </w:p>
    <w:p w:rsidR="00DF7FE7" w:rsidRDefault="00DF7FE7" w:rsidP="00DF7FE7">
      <w:pPr>
        <w:tabs>
          <w:tab w:val="left" w:pos="0"/>
        </w:tabs>
        <w:contextualSpacing/>
        <w:jc w:val="both"/>
        <w:rPr>
          <w:iCs/>
          <w:noProof/>
          <w:sz w:val="28"/>
          <w:szCs w:val="28"/>
        </w:rPr>
      </w:pPr>
      <w:r>
        <w:rPr>
          <w:iCs/>
          <w:noProof/>
          <w:sz w:val="28"/>
          <w:szCs w:val="28"/>
        </w:rPr>
        <w:tab/>
      </w:r>
      <w:r w:rsidR="00A26F0D" w:rsidRPr="000F1266">
        <w:rPr>
          <w:lang w:eastAsia="en-US"/>
        </w:rPr>
        <w:t xml:space="preserve">До </w:t>
      </w:r>
      <w:r w:rsidR="001408F8" w:rsidRPr="000F1266">
        <w:rPr>
          <w:lang w:eastAsia="en-US"/>
        </w:rPr>
        <w:t>звіт</w:t>
      </w:r>
      <w:r w:rsidR="00A26F0D" w:rsidRPr="000F1266">
        <w:rPr>
          <w:lang w:eastAsia="en-US"/>
        </w:rPr>
        <w:t>у</w:t>
      </w:r>
      <w:r w:rsidR="001408F8" w:rsidRPr="000F1266">
        <w:rPr>
          <w:lang w:eastAsia="en-US"/>
        </w:rPr>
        <w:t xml:space="preserve"> за формою </w:t>
      </w:r>
      <w:r w:rsidR="00361DFA" w:rsidRPr="000F1266">
        <w:rPr>
          <w:lang w:eastAsia="en-US"/>
        </w:rPr>
        <w:t xml:space="preserve">№ </w:t>
      </w:r>
      <w:r w:rsidR="001408F8" w:rsidRPr="000F1266">
        <w:rPr>
          <w:lang w:eastAsia="en-US"/>
        </w:rPr>
        <w:t>10</w:t>
      </w:r>
      <w:r w:rsidR="00361DFA" w:rsidRPr="000F1266">
        <w:rPr>
          <w:lang w:eastAsia="en-US"/>
        </w:rPr>
        <w:t xml:space="preserve"> </w:t>
      </w:r>
      <w:r w:rsidR="001408F8" w:rsidRPr="000F1266">
        <w:rPr>
          <w:lang w:eastAsia="en-US"/>
        </w:rPr>
        <w:t>Розділ 1. Відомості щодо справляння судового збору</w:t>
      </w:r>
      <w:r w:rsidR="00361DFA" w:rsidRPr="000F1266">
        <w:rPr>
          <w:lang w:eastAsia="en-US"/>
        </w:rPr>
        <w:t xml:space="preserve"> додано рядок 52 (</w:t>
      </w:r>
      <w:r w:rsidR="00361DFA" w:rsidRPr="000F1266">
        <w:rPr>
          <w:i/>
          <w:lang w:eastAsia="en-US"/>
        </w:rPr>
        <w:t>з них подано в електронній формі).</w:t>
      </w:r>
      <w:r w:rsidR="001408F8" w:rsidRPr="000F1266">
        <w:rPr>
          <w:i/>
          <w:lang w:eastAsia="en-US"/>
        </w:rPr>
        <w:t xml:space="preserve"> </w:t>
      </w:r>
      <w:r w:rsidR="00790461" w:rsidRPr="000F1266">
        <w:rPr>
          <w:i/>
          <w:lang w:eastAsia="en-US"/>
        </w:rPr>
        <w:t xml:space="preserve"> </w:t>
      </w:r>
    </w:p>
    <w:p w:rsidR="00CC507E" w:rsidRDefault="00DF7FE7" w:rsidP="00DF7FE7">
      <w:pPr>
        <w:tabs>
          <w:tab w:val="left" w:pos="0"/>
        </w:tabs>
        <w:contextualSpacing/>
        <w:jc w:val="both"/>
        <w:rPr>
          <w:iCs/>
          <w:noProof/>
          <w:sz w:val="28"/>
          <w:szCs w:val="28"/>
        </w:rPr>
      </w:pPr>
      <w:r>
        <w:rPr>
          <w:iCs/>
          <w:noProof/>
          <w:sz w:val="28"/>
          <w:szCs w:val="28"/>
        </w:rPr>
        <w:tab/>
      </w:r>
      <w:r w:rsidR="00D47169" w:rsidRPr="000F1266">
        <w:rPr>
          <w:rFonts w:eastAsia="Calibri"/>
          <w:noProof/>
          <w:color w:val="000000"/>
          <w:lang w:eastAsia="en-US"/>
        </w:rPr>
        <w:t xml:space="preserve">Згідно частини 3 статті 4 Закону України «Про судовий збір» при поданні до суду процесуальних документів, передбачених частиною другою цієї статті, в електронній формі - застосовується </w:t>
      </w:r>
      <w:r w:rsidR="00D47169" w:rsidRPr="000F1266">
        <w:rPr>
          <w:rFonts w:eastAsia="Calibri"/>
          <w:b/>
          <w:noProof/>
          <w:color w:val="000000"/>
          <w:lang w:eastAsia="en-US"/>
        </w:rPr>
        <w:t>коефіцієнт 0,8</w:t>
      </w:r>
      <w:r w:rsidR="00D47169" w:rsidRPr="000F1266">
        <w:rPr>
          <w:rFonts w:eastAsia="Calibri"/>
          <w:noProof/>
          <w:color w:val="000000"/>
          <w:lang w:eastAsia="en-US"/>
        </w:rPr>
        <w:t xml:space="preserve"> для пониження відповідного розміру ставки судового збору.</w:t>
      </w:r>
      <w:r w:rsidR="00CC507E">
        <w:rPr>
          <w:iCs/>
          <w:noProof/>
          <w:sz w:val="28"/>
          <w:szCs w:val="28"/>
        </w:rPr>
        <w:t xml:space="preserve"> </w:t>
      </w:r>
    </w:p>
    <w:p w:rsidR="00986D2B" w:rsidRPr="00DF7FE7" w:rsidRDefault="00CC507E" w:rsidP="00DF7FE7">
      <w:pPr>
        <w:tabs>
          <w:tab w:val="left" w:pos="0"/>
        </w:tabs>
        <w:contextualSpacing/>
        <w:jc w:val="both"/>
        <w:rPr>
          <w:iCs/>
          <w:noProof/>
          <w:sz w:val="28"/>
          <w:szCs w:val="28"/>
        </w:rPr>
      </w:pPr>
      <w:r>
        <w:rPr>
          <w:iCs/>
          <w:noProof/>
          <w:sz w:val="28"/>
          <w:szCs w:val="28"/>
        </w:rPr>
        <w:tab/>
      </w:r>
      <w:r w:rsidR="00361DFA" w:rsidRPr="003434C8">
        <w:rPr>
          <w:iCs/>
          <w:noProof/>
        </w:rPr>
        <w:t>Відповідно до звіту с</w:t>
      </w:r>
      <w:r w:rsidR="00D05DC2" w:rsidRPr="003434C8">
        <w:rPr>
          <w:iCs/>
          <w:noProof/>
        </w:rPr>
        <w:t xml:space="preserve">ума фактично сплаченого судового збору </w:t>
      </w:r>
      <w:r w:rsidR="00C47484" w:rsidRPr="003434C8">
        <w:rPr>
          <w:iCs/>
          <w:noProof/>
        </w:rPr>
        <w:t xml:space="preserve">за </w:t>
      </w:r>
      <w:r w:rsidR="001A6F75" w:rsidRPr="003434C8">
        <w:rPr>
          <w:iCs/>
          <w:noProof/>
        </w:rPr>
        <w:t>202</w:t>
      </w:r>
      <w:r w:rsidR="00D47169">
        <w:rPr>
          <w:iCs/>
          <w:noProof/>
        </w:rPr>
        <w:t>5</w:t>
      </w:r>
      <w:r w:rsidR="00004D7C" w:rsidRPr="003434C8">
        <w:rPr>
          <w:iCs/>
          <w:noProof/>
        </w:rPr>
        <w:t xml:space="preserve"> </w:t>
      </w:r>
      <w:r w:rsidR="00517842" w:rsidRPr="003434C8">
        <w:rPr>
          <w:iCs/>
          <w:noProof/>
        </w:rPr>
        <w:t>рік</w:t>
      </w:r>
      <w:r w:rsidR="00CB5693" w:rsidRPr="003434C8">
        <w:rPr>
          <w:iCs/>
          <w:noProof/>
        </w:rPr>
        <w:t xml:space="preserve"> </w:t>
      </w:r>
      <w:r w:rsidR="00B303DE" w:rsidRPr="003434C8">
        <w:rPr>
          <w:iCs/>
          <w:noProof/>
        </w:rPr>
        <w:t>становить</w:t>
      </w:r>
      <w:r w:rsidR="009F6B6F">
        <w:rPr>
          <w:iCs/>
          <w:noProof/>
        </w:rPr>
        <w:t xml:space="preserve"> </w:t>
      </w:r>
      <w:r w:rsidR="009F6B6F" w:rsidRPr="009F6B6F">
        <w:rPr>
          <w:b/>
          <w:iCs/>
          <w:noProof/>
        </w:rPr>
        <w:t xml:space="preserve">74 165 531 </w:t>
      </w:r>
      <w:r w:rsidR="00C47484" w:rsidRPr="009F6B6F">
        <w:rPr>
          <w:b/>
          <w:iCs/>
          <w:noProof/>
        </w:rPr>
        <w:t>грн.</w:t>
      </w:r>
      <w:r w:rsidR="00B933EA" w:rsidRPr="003434C8">
        <w:rPr>
          <w:iCs/>
          <w:noProof/>
        </w:rPr>
        <w:t xml:space="preserve">, </w:t>
      </w:r>
      <w:r w:rsidR="00B303DE" w:rsidRPr="003434C8">
        <w:rPr>
          <w:iCs/>
          <w:noProof/>
        </w:rPr>
        <w:t>кількість заяв (скарг) судових рішень,</w:t>
      </w:r>
      <w:r w:rsidR="00B303DE" w:rsidRPr="003434C8">
        <w:rPr>
          <w:bCs/>
          <w:noProof/>
        </w:rPr>
        <w:t xml:space="preserve"> у яких справ</w:t>
      </w:r>
      <w:r w:rsidR="00CB5693" w:rsidRPr="003434C8">
        <w:rPr>
          <w:bCs/>
          <w:noProof/>
        </w:rPr>
        <w:t>ляється су</w:t>
      </w:r>
      <w:r w:rsidR="009F6B6F">
        <w:rPr>
          <w:bCs/>
          <w:noProof/>
        </w:rPr>
        <w:t xml:space="preserve">довий збір у звітному періоді </w:t>
      </w:r>
      <w:r w:rsidR="009F6B6F" w:rsidRPr="009F6B6F">
        <w:rPr>
          <w:b/>
          <w:bCs/>
          <w:noProof/>
        </w:rPr>
        <w:t>26 444</w:t>
      </w:r>
      <w:r w:rsidR="00B303DE" w:rsidRPr="003434C8">
        <w:rPr>
          <w:iCs/>
          <w:noProof/>
        </w:rPr>
        <w:t xml:space="preserve">, </w:t>
      </w:r>
      <w:r w:rsidR="00B303DE" w:rsidRPr="003434C8">
        <w:rPr>
          <w:bCs/>
          <w:noProof/>
        </w:rPr>
        <w:t>що</w:t>
      </w:r>
      <w:r w:rsidR="00B303DE" w:rsidRPr="003434C8">
        <w:rPr>
          <w:b/>
          <w:bCs/>
          <w:noProof/>
        </w:rPr>
        <w:t xml:space="preserve"> </w:t>
      </w:r>
      <w:r w:rsidR="00BB3C62">
        <w:rPr>
          <w:bCs/>
          <w:noProof/>
        </w:rPr>
        <w:t xml:space="preserve">становить </w:t>
      </w:r>
      <w:r w:rsidR="00E50AFE" w:rsidRPr="00E50AFE">
        <w:rPr>
          <w:b/>
          <w:bCs/>
          <w:noProof/>
        </w:rPr>
        <w:t>93</w:t>
      </w:r>
      <w:r w:rsidR="00B303DE" w:rsidRPr="00E50AFE">
        <w:rPr>
          <w:b/>
          <w:bCs/>
          <w:noProof/>
        </w:rPr>
        <w:t>%</w:t>
      </w:r>
      <w:r w:rsidR="00B303DE" w:rsidRPr="003434C8">
        <w:rPr>
          <w:b/>
          <w:bCs/>
          <w:noProof/>
        </w:rPr>
        <w:t xml:space="preserve"> </w:t>
      </w:r>
      <w:r w:rsidR="00B303DE" w:rsidRPr="003434C8">
        <w:rPr>
          <w:bCs/>
          <w:noProof/>
        </w:rPr>
        <w:t xml:space="preserve">сплаченого судового збору </w:t>
      </w:r>
      <w:r w:rsidR="00B303DE" w:rsidRPr="003434C8">
        <w:rPr>
          <w:iCs/>
          <w:noProof/>
        </w:rPr>
        <w:t>із за</w:t>
      </w:r>
      <w:r w:rsidR="00CB5693" w:rsidRPr="003434C8">
        <w:rPr>
          <w:iCs/>
          <w:noProof/>
        </w:rPr>
        <w:t>гальної кільк</w:t>
      </w:r>
      <w:r w:rsidR="00BB3C62">
        <w:rPr>
          <w:iCs/>
          <w:noProof/>
        </w:rPr>
        <w:t xml:space="preserve">ості заяв (скарг) </w:t>
      </w:r>
      <w:r w:rsidR="00BB3C62" w:rsidRPr="00BB3C62">
        <w:rPr>
          <w:b/>
          <w:iCs/>
          <w:noProof/>
        </w:rPr>
        <w:t>28 739</w:t>
      </w:r>
      <w:r w:rsidR="00B303DE" w:rsidRPr="003434C8">
        <w:rPr>
          <w:bCs/>
          <w:noProof/>
        </w:rPr>
        <w:t>,</w:t>
      </w:r>
      <w:r w:rsidR="00B303DE" w:rsidRPr="003434C8">
        <w:rPr>
          <w:b/>
          <w:bCs/>
          <w:noProof/>
        </w:rPr>
        <w:t xml:space="preserve"> </w:t>
      </w:r>
      <w:r w:rsidR="00B303DE" w:rsidRPr="003434C8">
        <w:rPr>
          <w:iCs/>
          <w:noProof/>
        </w:rPr>
        <w:t>а саме</w:t>
      </w:r>
      <w:r w:rsidR="00B933EA" w:rsidRPr="003434C8">
        <w:rPr>
          <w:iCs/>
          <w:noProof/>
        </w:rPr>
        <w:t xml:space="preserve"> за подання до адміністративного суду: </w:t>
      </w:r>
    </w:p>
    <w:p w:rsidR="00986D2B" w:rsidRPr="003434C8" w:rsidRDefault="00986D2B" w:rsidP="00D14627">
      <w:pPr>
        <w:ind w:firstLine="708"/>
        <w:jc w:val="both"/>
        <w:rPr>
          <w:iCs/>
          <w:noProof/>
        </w:rPr>
      </w:pPr>
      <w:r w:rsidRPr="003434C8">
        <w:rPr>
          <w:iCs/>
          <w:noProof/>
        </w:rPr>
        <w:t>- апеляційної скарги на рішення суду, заяви про приєднання до апеляційної скарги на рішення суду, заяви про перегляд судового рішення у зв'язку з нововиявленими обставинами</w:t>
      </w:r>
      <w:r w:rsidR="00455240" w:rsidRPr="003434C8">
        <w:rPr>
          <w:iCs/>
          <w:noProof/>
        </w:rPr>
        <w:t xml:space="preserve"> </w:t>
      </w:r>
      <w:r w:rsidR="001D596E">
        <w:rPr>
          <w:iCs/>
          <w:noProof/>
        </w:rPr>
        <w:t xml:space="preserve">сума судового збору </w:t>
      </w:r>
      <w:r w:rsidR="001D596E" w:rsidRPr="001D596E">
        <w:rPr>
          <w:b/>
          <w:iCs/>
          <w:noProof/>
        </w:rPr>
        <w:t>71 310 201</w:t>
      </w:r>
      <w:r w:rsidR="001D596E">
        <w:rPr>
          <w:iCs/>
          <w:noProof/>
        </w:rPr>
        <w:t xml:space="preserve"> </w:t>
      </w:r>
      <w:r w:rsidRPr="001D596E">
        <w:rPr>
          <w:b/>
          <w:iCs/>
          <w:noProof/>
        </w:rPr>
        <w:t>грн.;</w:t>
      </w:r>
    </w:p>
    <w:p w:rsidR="005B6CD0" w:rsidRPr="003434C8" w:rsidRDefault="00D14627" w:rsidP="00804837">
      <w:pPr>
        <w:tabs>
          <w:tab w:val="left" w:pos="0"/>
        </w:tabs>
        <w:contextualSpacing/>
        <w:jc w:val="both"/>
        <w:rPr>
          <w:iCs/>
          <w:noProof/>
        </w:rPr>
      </w:pPr>
      <w:r>
        <w:rPr>
          <w:iCs/>
          <w:noProof/>
        </w:rPr>
        <w:tab/>
      </w:r>
      <w:r w:rsidR="005B6CD0" w:rsidRPr="003434C8">
        <w:rPr>
          <w:iCs/>
          <w:noProof/>
        </w:rPr>
        <w:t>- апеляційної  скарги на ухвалу суду, заяви про приєднання до апеляційної скарги на ухвалу суду</w:t>
      </w:r>
      <w:r w:rsidR="00FB0C92">
        <w:rPr>
          <w:iCs/>
          <w:noProof/>
        </w:rPr>
        <w:t xml:space="preserve"> </w:t>
      </w:r>
      <w:r w:rsidR="00E50AFE">
        <w:rPr>
          <w:iCs/>
          <w:noProof/>
        </w:rPr>
        <w:t xml:space="preserve">сума судового збору </w:t>
      </w:r>
      <w:r w:rsidR="001D596E">
        <w:rPr>
          <w:b/>
          <w:iCs/>
          <w:noProof/>
        </w:rPr>
        <w:t xml:space="preserve">2 842 649 </w:t>
      </w:r>
      <w:r w:rsidR="005B6CD0" w:rsidRPr="001D596E">
        <w:rPr>
          <w:b/>
          <w:iCs/>
          <w:noProof/>
        </w:rPr>
        <w:t>грн.;</w:t>
      </w:r>
    </w:p>
    <w:p w:rsidR="005B6CD0" w:rsidRPr="003434C8" w:rsidRDefault="00D14627" w:rsidP="00804837">
      <w:pPr>
        <w:tabs>
          <w:tab w:val="left" w:pos="0"/>
        </w:tabs>
        <w:contextualSpacing/>
        <w:jc w:val="both"/>
        <w:rPr>
          <w:iCs/>
          <w:noProof/>
        </w:rPr>
      </w:pPr>
      <w:r>
        <w:rPr>
          <w:iCs/>
          <w:noProof/>
        </w:rPr>
        <w:tab/>
      </w:r>
      <w:r w:rsidR="005B6CD0" w:rsidRPr="003434C8">
        <w:rPr>
          <w:iCs/>
          <w:noProof/>
        </w:rPr>
        <w:t>- заяви про забезпечення доказів або позову, заяви про видачу виконавчого документа на підставі рішення іноземного суду, заяви про зміну чи встановлення способу, порядку і строку виконання судового рішення</w:t>
      </w:r>
      <w:r w:rsidR="00455240" w:rsidRPr="003434C8">
        <w:rPr>
          <w:iCs/>
          <w:noProof/>
        </w:rPr>
        <w:t xml:space="preserve"> </w:t>
      </w:r>
      <w:r w:rsidR="00E50AFE">
        <w:rPr>
          <w:iCs/>
          <w:noProof/>
        </w:rPr>
        <w:t xml:space="preserve">сума судового збору </w:t>
      </w:r>
      <w:r w:rsidR="001D596E" w:rsidRPr="001D596E">
        <w:rPr>
          <w:b/>
          <w:iCs/>
          <w:noProof/>
        </w:rPr>
        <w:t xml:space="preserve">9689 </w:t>
      </w:r>
      <w:r w:rsidR="005B6CD0" w:rsidRPr="001D596E">
        <w:rPr>
          <w:b/>
          <w:iCs/>
          <w:noProof/>
        </w:rPr>
        <w:t>грн.;</w:t>
      </w:r>
    </w:p>
    <w:p w:rsidR="005B6CD0" w:rsidRPr="003434C8" w:rsidRDefault="00D14627" w:rsidP="00804837">
      <w:pPr>
        <w:tabs>
          <w:tab w:val="left" w:pos="0"/>
        </w:tabs>
        <w:contextualSpacing/>
        <w:jc w:val="both"/>
        <w:rPr>
          <w:iCs/>
          <w:noProof/>
        </w:rPr>
      </w:pPr>
      <w:r>
        <w:rPr>
          <w:iCs/>
          <w:noProof/>
        </w:rPr>
        <w:tab/>
      </w:r>
      <w:r w:rsidR="005B6CD0" w:rsidRPr="003434C8">
        <w:rPr>
          <w:iCs/>
          <w:noProof/>
        </w:rPr>
        <w:t xml:space="preserve">- за повторну видачу копії судового рішення </w:t>
      </w:r>
      <w:r w:rsidR="00E50AFE">
        <w:rPr>
          <w:iCs/>
          <w:noProof/>
        </w:rPr>
        <w:t xml:space="preserve">сума судового збору </w:t>
      </w:r>
      <w:r w:rsidR="001D596E" w:rsidRPr="001D596E">
        <w:rPr>
          <w:b/>
          <w:iCs/>
          <w:noProof/>
        </w:rPr>
        <w:t xml:space="preserve">236 </w:t>
      </w:r>
      <w:r w:rsidR="005B6CD0" w:rsidRPr="001D596E">
        <w:rPr>
          <w:b/>
          <w:iCs/>
          <w:noProof/>
        </w:rPr>
        <w:t>грн.;</w:t>
      </w:r>
    </w:p>
    <w:p w:rsidR="002106DE" w:rsidRDefault="00D14627" w:rsidP="00BB6D2A">
      <w:pPr>
        <w:tabs>
          <w:tab w:val="left" w:pos="0"/>
        </w:tabs>
        <w:contextualSpacing/>
        <w:jc w:val="both"/>
        <w:rPr>
          <w:b/>
          <w:iCs/>
          <w:noProof/>
        </w:rPr>
      </w:pPr>
      <w:r>
        <w:rPr>
          <w:iCs/>
          <w:noProof/>
        </w:rPr>
        <w:tab/>
      </w:r>
      <w:r w:rsidR="005B6CD0" w:rsidRPr="003434C8">
        <w:rPr>
          <w:iCs/>
          <w:noProof/>
        </w:rPr>
        <w:t xml:space="preserve">- за видачу в електронному вигляді копії технічного запису судового засідання </w:t>
      </w:r>
      <w:r w:rsidR="001D596E">
        <w:rPr>
          <w:iCs/>
          <w:noProof/>
        </w:rPr>
        <w:t xml:space="preserve">сума судового збору </w:t>
      </w:r>
      <w:r w:rsidR="001D596E" w:rsidRPr="001D596E">
        <w:rPr>
          <w:b/>
          <w:iCs/>
          <w:noProof/>
        </w:rPr>
        <w:t>2712</w:t>
      </w:r>
      <w:r w:rsidR="001D596E">
        <w:rPr>
          <w:iCs/>
          <w:noProof/>
        </w:rPr>
        <w:t xml:space="preserve"> </w:t>
      </w:r>
      <w:r w:rsidR="002106DE">
        <w:rPr>
          <w:b/>
          <w:iCs/>
          <w:noProof/>
        </w:rPr>
        <w:t>грн.;</w:t>
      </w:r>
    </w:p>
    <w:p w:rsidR="002106DE" w:rsidRPr="002106DE" w:rsidRDefault="002106DE" w:rsidP="00BB6D2A">
      <w:pPr>
        <w:tabs>
          <w:tab w:val="left" w:pos="0"/>
        </w:tabs>
        <w:contextualSpacing/>
        <w:jc w:val="both"/>
        <w:rPr>
          <w:b/>
          <w:iCs/>
          <w:noProof/>
        </w:rPr>
      </w:pPr>
      <w:r w:rsidRPr="002106DE">
        <w:rPr>
          <w:iCs/>
          <w:noProof/>
        </w:rPr>
        <w:t>- за</w:t>
      </w:r>
      <w:r>
        <w:rPr>
          <w:iCs/>
          <w:noProof/>
        </w:rPr>
        <w:t xml:space="preserve"> виготовлення копій документів, долучених до справи сума судового збору </w:t>
      </w:r>
      <w:r w:rsidRPr="002106DE">
        <w:rPr>
          <w:b/>
          <w:iCs/>
          <w:noProof/>
        </w:rPr>
        <w:t xml:space="preserve">54 </w:t>
      </w:r>
      <w:r>
        <w:rPr>
          <w:b/>
          <w:iCs/>
          <w:noProof/>
        </w:rPr>
        <w:t>грн.</w:t>
      </w:r>
    </w:p>
    <w:p w:rsidR="00DF7FE7" w:rsidRDefault="00DF7FE7" w:rsidP="00EC320C">
      <w:pPr>
        <w:tabs>
          <w:tab w:val="left" w:pos="0"/>
        </w:tabs>
        <w:contextualSpacing/>
        <w:jc w:val="both"/>
        <w:rPr>
          <w:b/>
          <w:noProof/>
        </w:rPr>
      </w:pPr>
      <w:r>
        <w:rPr>
          <w:b/>
          <w:iCs/>
          <w:noProof/>
        </w:rPr>
        <w:tab/>
      </w:r>
      <w:r w:rsidR="00D05DC2" w:rsidRPr="003434C8">
        <w:rPr>
          <w:noProof/>
        </w:rPr>
        <w:t xml:space="preserve">Протягом </w:t>
      </w:r>
      <w:r w:rsidR="005B6CD0" w:rsidRPr="003434C8">
        <w:rPr>
          <w:noProof/>
        </w:rPr>
        <w:t xml:space="preserve">звітного періоду </w:t>
      </w:r>
      <w:r w:rsidR="00442F62" w:rsidRPr="003434C8">
        <w:rPr>
          <w:noProof/>
        </w:rPr>
        <w:t xml:space="preserve">за заявою (скаргою) </w:t>
      </w:r>
      <w:r w:rsidR="005B6CD0" w:rsidRPr="003434C8">
        <w:rPr>
          <w:noProof/>
        </w:rPr>
        <w:t xml:space="preserve">було повернуто </w:t>
      </w:r>
      <w:r w:rsidR="006709F0" w:rsidRPr="003434C8">
        <w:rPr>
          <w:noProof/>
        </w:rPr>
        <w:t xml:space="preserve">сплаченого </w:t>
      </w:r>
      <w:r w:rsidR="001D596E">
        <w:rPr>
          <w:noProof/>
        </w:rPr>
        <w:t xml:space="preserve">судового збору </w:t>
      </w:r>
      <w:r w:rsidR="00D6367A" w:rsidRPr="00D6367A">
        <w:rPr>
          <w:b/>
          <w:noProof/>
        </w:rPr>
        <w:t xml:space="preserve">2 026 927 </w:t>
      </w:r>
      <w:r>
        <w:rPr>
          <w:b/>
          <w:noProof/>
        </w:rPr>
        <w:t>грн.</w:t>
      </w:r>
    </w:p>
    <w:p w:rsidR="00CC507E" w:rsidRPr="00CC507E" w:rsidRDefault="00DF7FE7" w:rsidP="00CC507E">
      <w:pPr>
        <w:tabs>
          <w:tab w:val="left" w:pos="0"/>
        </w:tabs>
        <w:contextualSpacing/>
        <w:jc w:val="both"/>
        <w:rPr>
          <w:noProof/>
        </w:rPr>
      </w:pPr>
      <w:r>
        <w:rPr>
          <w:b/>
          <w:noProof/>
        </w:rPr>
        <w:tab/>
      </w:r>
      <w:r w:rsidR="005B6CD0" w:rsidRPr="003434C8">
        <w:rPr>
          <w:noProof/>
        </w:rPr>
        <w:t>Звільнено від сплати судового збору, зменшено розмір судового збору (статті 5 та  8 Закону України «Про судовий збір»)</w:t>
      </w:r>
      <w:r w:rsidR="006B0E95" w:rsidRPr="003434C8">
        <w:rPr>
          <w:noProof/>
        </w:rPr>
        <w:t xml:space="preserve"> </w:t>
      </w:r>
      <w:r w:rsidR="00D6367A">
        <w:rPr>
          <w:b/>
          <w:noProof/>
        </w:rPr>
        <w:t xml:space="preserve">3 769 797 </w:t>
      </w:r>
      <w:r w:rsidR="00D14627" w:rsidRPr="00D6367A">
        <w:rPr>
          <w:b/>
          <w:noProof/>
        </w:rPr>
        <w:t>грн.</w:t>
      </w:r>
    </w:p>
    <w:p w:rsidR="0088638E" w:rsidRPr="003434C8" w:rsidRDefault="0014250D" w:rsidP="00464FAE">
      <w:pPr>
        <w:ind w:left="7080" w:firstLine="708"/>
        <w:rPr>
          <w:b/>
          <w:iCs/>
          <w:noProof/>
        </w:rPr>
      </w:pPr>
      <w:r>
        <w:rPr>
          <w:b/>
          <w:noProof/>
        </w:rPr>
        <w:t xml:space="preserve">  </w:t>
      </w:r>
      <w:r w:rsidR="00BD071B">
        <w:rPr>
          <w:b/>
          <w:noProof/>
        </w:rPr>
        <w:t xml:space="preserve"> Таблиця №</w:t>
      </w:r>
      <w:r w:rsidR="00742132">
        <w:rPr>
          <w:b/>
          <w:noProof/>
        </w:rPr>
        <w:t>6</w:t>
      </w:r>
    </w:p>
    <w:p w:rsidR="00442F62" w:rsidRPr="003434C8" w:rsidRDefault="00E37270" w:rsidP="00CC507E">
      <w:pPr>
        <w:jc w:val="center"/>
        <w:rPr>
          <w:b/>
          <w:iCs/>
          <w:noProof/>
        </w:rPr>
      </w:pPr>
      <w:r w:rsidRPr="003434C8">
        <w:rPr>
          <w:b/>
          <w:iCs/>
          <w:noProof/>
        </w:rPr>
        <w:t>Пільги щодо сплати судового збору</w:t>
      </w:r>
    </w:p>
    <w:tbl>
      <w:tblPr>
        <w:tblStyle w:val="a7"/>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4361"/>
        <w:gridCol w:w="1713"/>
        <w:gridCol w:w="1228"/>
        <w:gridCol w:w="1446"/>
      </w:tblGrid>
      <w:tr w:rsidR="00A90F1F" w:rsidRPr="003434C8" w:rsidTr="0014250D">
        <w:trPr>
          <w:trHeight w:val="589"/>
        </w:trPr>
        <w:tc>
          <w:tcPr>
            <w:tcW w:w="603" w:type="dxa"/>
            <w:shd w:val="clear" w:color="auto" w:fill="auto"/>
            <w:vAlign w:val="center"/>
            <w:hideMark/>
          </w:tcPr>
          <w:p w:rsidR="00A90F1F" w:rsidRPr="00296152" w:rsidRDefault="00A90F1F" w:rsidP="00A90F1F">
            <w:pPr>
              <w:jc w:val="center"/>
              <w:rPr>
                <w:b/>
                <w:bCs/>
                <w:sz w:val="16"/>
                <w:szCs w:val="16"/>
                <w:lang w:val="en-US"/>
              </w:rPr>
            </w:pPr>
            <w:r w:rsidRPr="00296152">
              <w:rPr>
                <w:b/>
                <w:bCs/>
                <w:sz w:val="16"/>
                <w:szCs w:val="16"/>
              </w:rPr>
              <w:t xml:space="preserve">№ </w:t>
            </w:r>
            <w:r w:rsidRPr="00296152">
              <w:rPr>
                <w:b/>
                <w:bCs/>
                <w:sz w:val="16"/>
                <w:szCs w:val="16"/>
              </w:rPr>
              <w:br/>
              <w:t>з/п</w:t>
            </w:r>
          </w:p>
        </w:tc>
        <w:tc>
          <w:tcPr>
            <w:tcW w:w="4361" w:type="dxa"/>
            <w:shd w:val="clear" w:color="auto" w:fill="auto"/>
            <w:vAlign w:val="center"/>
            <w:hideMark/>
          </w:tcPr>
          <w:p w:rsidR="00A90F1F" w:rsidRPr="00296152" w:rsidRDefault="00A90F1F" w:rsidP="00A90F1F">
            <w:pPr>
              <w:rPr>
                <w:b/>
                <w:bCs/>
                <w:sz w:val="16"/>
                <w:szCs w:val="16"/>
              </w:rPr>
            </w:pPr>
            <w:r w:rsidRPr="00296152">
              <w:rPr>
                <w:b/>
                <w:bCs/>
                <w:sz w:val="16"/>
                <w:szCs w:val="16"/>
              </w:rPr>
              <w:t xml:space="preserve">Подано позивачами (особами) заяву (скаргу) </w:t>
            </w:r>
          </w:p>
        </w:tc>
        <w:tc>
          <w:tcPr>
            <w:tcW w:w="1713" w:type="dxa"/>
            <w:shd w:val="clear" w:color="auto" w:fill="auto"/>
            <w:vAlign w:val="center"/>
            <w:hideMark/>
          </w:tcPr>
          <w:p w:rsidR="00A90F1F" w:rsidRPr="00296152" w:rsidRDefault="00A90F1F" w:rsidP="00A90F1F">
            <w:pPr>
              <w:jc w:val="center"/>
              <w:rPr>
                <w:b/>
                <w:bCs/>
                <w:sz w:val="16"/>
                <w:szCs w:val="16"/>
              </w:rPr>
            </w:pPr>
            <w:r w:rsidRPr="00296152">
              <w:rPr>
                <w:b/>
                <w:bCs/>
                <w:sz w:val="16"/>
                <w:szCs w:val="16"/>
              </w:rPr>
              <w:t>Пункти частини першої статті 5 ЗУ «Про судовий збір»</w:t>
            </w:r>
          </w:p>
        </w:tc>
        <w:tc>
          <w:tcPr>
            <w:tcW w:w="1228" w:type="dxa"/>
            <w:shd w:val="clear" w:color="auto" w:fill="auto"/>
            <w:vAlign w:val="center"/>
            <w:hideMark/>
          </w:tcPr>
          <w:p w:rsidR="00A90F1F" w:rsidRPr="00296152" w:rsidRDefault="00A90F1F" w:rsidP="00A90F1F">
            <w:pPr>
              <w:jc w:val="center"/>
              <w:rPr>
                <w:b/>
                <w:bCs/>
                <w:sz w:val="16"/>
                <w:szCs w:val="16"/>
              </w:rPr>
            </w:pPr>
            <w:r w:rsidRPr="00296152">
              <w:rPr>
                <w:b/>
                <w:bCs/>
                <w:sz w:val="16"/>
                <w:szCs w:val="16"/>
              </w:rPr>
              <w:t>Кількість заяв (скарг)</w:t>
            </w:r>
          </w:p>
        </w:tc>
        <w:tc>
          <w:tcPr>
            <w:tcW w:w="1446" w:type="dxa"/>
            <w:shd w:val="clear" w:color="auto" w:fill="auto"/>
            <w:vAlign w:val="center"/>
            <w:hideMark/>
          </w:tcPr>
          <w:p w:rsidR="00A90F1F" w:rsidRPr="00296152" w:rsidRDefault="00A90F1F" w:rsidP="00A90F1F">
            <w:pPr>
              <w:jc w:val="center"/>
              <w:rPr>
                <w:b/>
                <w:bCs/>
                <w:sz w:val="16"/>
                <w:szCs w:val="16"/>
              </w:rPr>
            </w:pPr>
            <w:r w:rsidRPr="00296152">
              <w:rPr>
                <w:b/>
                <w:bCs/>
                <w:sz w:val="16"/>
                <w:szCs w:val="16"/>
              </w:rPr>
              <w:t>Розрахункова сума судового збору, грн.</w:t>
            </w:r>
          </w:p>
        </w:tc>
      </w:tr>
      <w:tr w:rsidR="00A90F1F" w:rsidRPr="003434C8" w:rsidTr="0014250D">
        <w:trPr>
          <w:trHeight w:val="149"/>
        </w:trPr>
        <w:tc>
          <w:tcPr>
            <w:tcW w:w="603" w:type="dxa"/>
            <w:shd w:val="clear" w:color="auto" w:fill="auto"/>
            <w:vAlign w:val="center"/>
          </w:tcPr>
          <w:p w:rsidR="00A90F1F" w:rsidRPr="00296152" w:rsidRDefault="00A90F1F" w:rsidP="00A90F1F">
            <w:pPr>
              <w:jc w:val="center"/>
              <w:rPr>
                <w:b/>
                <w:bCs/>
                <w:sz w:val="16"/>
                <w:szCs w:val="16"/>
              </w:rPr>
            </w:pPr>
            <w:r w:rsidRPr="00296152">
              <w:rPr>
                <w:b/>
                <w:bCs/>
                <w:sz w:val="16"/>
                <w:szCs w:val="16"/>
              </w:rPr>
              <w:t>А</w:t>
            </w:r>
          </w:p>
        </w:tc>
        <w:tc>
          <w:tcPr>
            <w:tcW w:w="4361" w:type="dxa"/>
            <w:shd w:val="clear" w:color="auto" w:fill="auto"/>
            <w:vAlign w:val="center"/>
            <w:hideMark/>
          </w:tcPr>
          <w:p w:rsidR="00A90F1F" w:rsidRPr="00296152" w:rsidRDefault="00A90F1F" w:rsidP="00A90F1F">
            <w:pPr>
              <w:jc w:val="center"/>
              <w:rPr>
                <w:b/>
                <w:bCs/>
                <w:sz w:val="16"/>
                <w:szCs w:val="16"/>
              </w:rPr>
            </w:pPr>
            <w:r w:rsidRPr="00296152">
              <w:rPr>
                <w:b/>
                <w:bCs/>
                <w:sz w:val="16"/>
                <w:szCs w:val="16"/>
              </w:rPr>
              <w:t>Б</w:t>
            </w:r>
          </w:p>
        </w:tc>
        <w:tc>
          <w:tcPr>
            <w:tcW w:w="1713" w:type="dxa"/>
            <w:shd w:val="clear" w:color="auto" w:fill="auto"/>
            <w:vAlign w:val="center"/>
            <w:hideMark/>
          </w:tcPr>
          <w:p w:rsidR="00A90F1F" w:rsidRPr="00296152" w:rsidRDefault="00A90F1F" w:rsidP="00A90F1F">
            <w:pPr>
              <w:jc w:val="center"/>
              <w:rPr>
                <w:b/>
                <w:bCs/>
                <w:sz w:val="16"/>
                <w:szCs w:val="16"/>
              </w:rPr>
            </w:pPr>
            <w:r w:rsidRPr="00296152">
              <w:rPr>
                <w:b/>
                <w:bCs/>
                <w:sz w:val="16"/>
                <w:szCs w:val="16"/>
              </w:rPr>
              <w:t>1</w:t>
            </w:r>
          </w:p>
        </w:tc>
        <w:tc>
          <w:tcPr>
            <w:tcW w:w="1228" w:type="dxa"/>
            <w:shd w:val="clear" w:color="auto" w:fill="auto"/>
            <w:vAlign w:val="center"/>
            <w:hideMark/>
          </w:tcPr>
          <w:p w:rsidR="00A90F1F" w:rsidRPr="00296152" w:rsidRDefault="00A90F1F" w:rsidP="00A90F1F">
            <w:pPr>
              <w:jc w:val="center"/>
              <w:rPr>
                <w:b/>
                <w:bCs/>
                <w:sz w:val="16"/>
                <w:szCs w:val="16"/>
              </w:rPr>
            </w:pPr>
            <w:r w:rsidRPr="00296152">
              <w:rPr>
                <w:b/>
                <w:bCs/>
                <w:sz w:val="16"/>
                <w:szCs w:val="16"/>
              </w:rPr>
              <w:t>2</w:t>
            </w:r>
          </w:p>
        </w:tc>
        <w:tc>
          <w:tcPr>
            <w:tcW w:w="1446" w:type="dxa"/>
            <w:shd w:val="clear" w:color="auto" w:fill="auto"/>
            <w:vAlign w:val="center"/>
            <w:hideMark/>
          </w:tcPr>
          <w:p w:rsidR="00A90F1F" w:rsidRPr="00296152" w:rsidRDefault="00A90F1F" w:rsidP="00A90F1F">
            <w:pPr>
              <w:jc w:val="center"/>
              <w:rPr>
                <w:b/>
                <w:bCs/>
                <w:sz w:val="16"/>
                <w:szCs w:val="16"/>
              </w:rPr>
            </w:pPr>
            <w:r w:rsidRPr="00296152">
              <w:rPr>
                <w:b/>
                <w:bCs/>
                <w:sz w:val="16"/>
                <w:szCs w:val="16"/>
              </w:rPr>
              <w:t>3</w:t>
            </w:r>
          </w:p>
        </w:tc>
      </w:tr>
      <w:tr w:rsidR="00BE2DBB" w:rsidRPr="003434C8" w:rsidTr="0014250D">
        <w:trPr>
          <w:trHeight w:val="212"/>
        </w:trPr>
        <w:tc>
          <w:tcPr>
            <w:tcW w:w="603" w:type="dxa"/>
            <w:shd w:val="clear" w:color="auto" w:fill="auto"/>
            <w:noWrap/>
            <w:vAlign w:val="center"/>
          </w:tcPr>
          <w:p w:rsidR="00BE2DBB" w:rsidRPr="00296152" w:rsidRDefault="00BE2DBB" w:rsidP="00BE2DBB">
            <w:pPr>
              <w:jc w:val="center"/>
              <w:rPr>
                <w:sz w:val="16"/>
                <w:szCs w:val="16"/>
                <w:lang w:val="en-US"/>
              </w:rPr>
            </w:pPr>
            <w:r w:rsidRPr="00296152">
              <w:rPr>
                <w:sz w:val="16"/>
                <w:szCs w:val="16"/>
              </w:rPr>
              <w:t>1</w:t>
            </w:r>
          </w:p>
        </w:tc>
        <w:tc>
          <w:tcPr>
            <w:tcW w:w="4361" w:type="dxa"/>
            <w:shd w:val="clear" w:color="auto" w:fill="auto"/>
            <w:vAlign w:val="center"/>
            <w:hideMark/>
          </w:tcPr>
          <w:p w:rsidR="00BE2DBB" w:rsidRPr="00296152" w:rsidRDefault="00BE2DBB" w:rsidP="00BE2DBB">
            <w:pPr>
              <w:rPr>
                <w:b/>
                <w:bCs/>
                <w:sz w:val="16"/>
                <w:szCs w:val="16"/>
              </w:rPr>
            </w:pPr>
            <w:r w:rsidRPr="00296152">
              <w:rPr>
                <w:b/>
                <w:bCs/>
                <w:sz w:val="16"/>
                <w:szCs w:val="16"/>
              </w:rPr>
              <w:t>УСЬОГО, у тому числі:</w:t>
            </w:r>
          </w:p>
        </w:tc>
        <w:tc>
          <w:tcPr>
            <w:tcW w:w="1713" w:type="dxa"/>
            <w:shd w:val="clear" w:color="auto" w:fill="auto"/>
            <w:vAlign w:val="center"/>
            <w:hideMark/>
          </w:tcPr>
          <w:p w:rsidR="00BE2DBB" w:rsidRPr="00296152" w:rsidRDefault="00BE2DBB" w:rsidP="00BE2DBB">
            <w:pPr>
              <w:jc w:val="right"/>
              <w:rPr>
                <w:b/>
                <w:bCs/>
                <w:sz w:val="16"/>
                <w:szCs w:val="16"/>
              </w:rPr>
            </w:pPr>
            <w:r w:rsidRPr="00296152">
              <w:rPr>
                <w:b/>
                <w:bCs/>
                <w:sz w:val="16"/>
                <w:szCs w:val="16"/>
              </w:rPr>
              <w:t> </w:t>
            </w:r>
          </w:p>
        </w:tc>
        <w:tc>
          <w:tcPr>
            <w:tcW w:w="1228" w:type="dxa"/>
            <w:shd w:val="clear" w:color="auto" w:fill="auto"/>
            <w:vAlign w:val="center"/>
            <w:hideMark/>
          </w:tcPr>
          <w:p w:rsidR="00BE2DBB" w:rsidRPr="00296152" w:rsidRDefault="00BE2DBB" w:rsidP="00BE2DBB">
            <w:pPr>
              <w:jc w:val="right"/>
              <w:rPr>
                <w:b/>
                <w:bCs/>
                <w:sz w:val="16"/>
                <w:szCs w:val="16"/>
              </w:rPr>
            </w:pPr>
            <w:r w:rsidRPr="00296152">
              <w:rPr>
                <w:b/>
                <w:bCs/>
                <w:sz w:val="16"/>
                <w:szCs w:val="16"/>
              </w:rPr>
              <w:t>1 635</w:t>
            </w:r>
          </w:p>
        </w:tc>
        <w:tc>
          <w:tcPr>
            <w:tcW w:w="1446" w:type="dxa"/>
            <w:shd w:val="clear" w:color="auto" w:fill="auto"/>
            <w:vAlign w:val="center"/>
            <w:hideMark/>
          </w:tcPr>
          <w:p w:rsidR="00BE2DBB" w:rsidRPr="00296152" w:rsidRDefault="00BE2DBB" w:rsidP="00BE2DBB">
            <w:pPr>
              <w:jc w:val="right"/>
              <w:rPr>
                <w:b/>
                <w:bCs/>
                <w:sz w:val="16"/>
                <w:szCs w:val="16"/>
              </w:rPr>
            </w:pPr>
            <w:r w:rsidRPr="00296152">
              <w:rPr>
                <w:b/>
                <w:bCs/>
                <w:sz w:val="16"/>
                <w:szCs w:val="16"/>
              </w:rPr>
              <w:t>3 769 797</w:t>
            </w:r>
          </w:p>
        </w:tc>
      </w:tr>
      <w:tr w:rsidR="00BE2DBB" w:rsidRPr="003434C8" w:rsidTr="0014250D">
        <w:trPr>
          <w:trHeight w:val="149"/>
        </w:trPr>
        <w:tc>
          <w:tcPr>
            <w:tcW w:w="603" w:type="dxa"/>
            <w:shd w:val="clear" w:color="auto" w:fill="auto"/>
            <w:noWrap/>
            <w:vAlign w:val="center"/>
          </w:tcPr>
          <w:p w:rsidR="00BE2DBB" w:rsidRPr="00296152" w:rsidRDefault="00BE2DBB" w:rsidP="00BE2DBB">
            <w:pPr>
              <w:jc w:val="center"/>
              <w:rPr>
                <w:sz w:val="16"/>
                <w:szCs w:val="16"/>
              </w:rPr>
            </w:pPr>
            <w:r w:rsidRPr="00296152">
              <w:rPr>
                <w:sz w:val="16"/>
                <w:szCs w:val="16"/>
              </w:rPr>
              <w:t>2</w:t>
            </w:r>
          </w:p>
        </w:tc>
        <w:tc>
          <w:tcPr>
            <w:tcW w:w="4361" w:type="dxa"/>
            <w:shd w:val="clear" w:color="auto" w:fill="auto"/>
            <w:vAlign w:val="center"/>
            <w:hideMark/>
          </w:tcPr>
          <w:p w:rsidR="00BE2DBB" w:rsidRPr="00296152" w:rsidRDefault="00BE2DBB" w:rsidP="00BE2DBB">
            <w:pPr>
              <w:rPr>
                <w:sz w:val="16"/>
                <w:szCs w:val="16"/>
              </w:rPr>
            </w:pPr>
            <w:r w:rsidRPr="00296152">
              <w:rPr>
                <w:sz w:val="16"/>
                <w:szCs w:val="16"/>
              </w:rPr>
              <w:t xml:space="preserve">позивачі - у справах про стягнення заробітної плати та поновлення на роботі </w:t>
            </w:r>
          </w:p>
        </w:tc>
        <w:tc>
          <w:tcPr>
            <w:tcW w:w="1713" w:type="dxa"/>
            <w:shd w:val="clear" w:color="auto" w:fill="auto"/>
            <w:vAlign w:val="center"/>
            <w:hideMark/>
          </w:tcPr>
          <w:p w:rsidR="00BE2DBB" w:rsidRPr="00296152" w:rsidRDefault="00BE2DBB" w:rsidP="00BE2DBB">
            <w:pPr>
              <w:jc w:val="center"/>
              <w:rPr>
                <w:b/>
                <w:bCs/>
                <w:sz w:val="16"/>
                <w:szCs w:val="16"/>
              </w:rPr>
            </w:pPr>
            <w:r w:rsidRPr="00296152">
              <w:rPr>
                <w:b/>
                <w:bCs/>
                <w:sz w:val="16"/>
                <w:szCs w:val="16"/>
              </w:rPr>
              <w:t>1</w:t>
            </w:r>
          </w:p>
        </w:tc>
        <w:tc>
          <w:tcPr>
            <w:tcW w:w="1228" w:type="dxa"/>
            <w:shd w:val="clear" w:color="auto" w:fill="auto"/>
            <w:vAlign w:val="center"/>
            <w:hideMark/>
          </w:tcPr>
          <w:p w:rsidR="00BE2DBB" w:rsidRPr="00296152" w:rsidRDefault="00BE2DBB" w:rsidP="00BE2DBB">
            <w:pPr>
              <w:jc w:val="right"/>
              <w:rPr>
                <w:sz w:val="16"/>
                <w:szCs w:val="16"/>
              </w:rPr>
            </w:pPr>
            <w:r w:rsidRPr="00296152">
              <w:rPr>
                <w:sz w:val="16"/>
                <w:szCs w:val="16"/>
              </w:rPr>
              <w:t>210</w:t>
            </w:r>
          </w:p>
        </w:tc>
        <w:tc>
          <w:tcPr>
            <w:tcW w:w="1446" w:type="dxa"/>
            <w:shd w:val="clear" w:color="auto" w:fill="auto"/>
            <w:vAlign w:val="center"/>
            <w:hideMark/>
          </w:tcPr>
          <w:p w:rsidR="00BE2DBB" w:rsidRPr="00296152" w:rsidRDefault="00BE2DBB" w:rsidP="00BE2DBB">
            <w:pPr>
              <w:jc w:val="right"/>
              <w:rPr>
                <w:sz w:val="16"/>
                <w:szCs w:val="16"/>
              </w:rPr>
            </w:pPr>
            <w:r w:rsidRPr="00296152">
              <w:rPr>
                <w:sz w:val="16"/>
                <w:szCs w:val="16"/>
              </w:rPr>
              <w:t>438 790</w:t>
            </w:r>
          </w:p>
        </w:tc>
      </w:tr>
      <w:tr w:rsidR="00BE2DBB" w:rsidRPr="003434C8" w:rsidTr="0014250D">
        <w:trPr>
          <w:trHeight w:val="312"/>
        </w:trPr>
        <w:tc>
          <w:tcPr>
            <w:tcW w:w="603" w:type="dxa"/>
            <w:shd w:val="clear" w:color="auto" w:fill="auto"/>
            <w:noWrap/>
            <w:vAlign w:val="center"/>
          </w:tcPr>
          <w:p w:rsidR="00BE2DBB" w:rsidRPr="00296152" w:rsidRDefault="00BE2DBB" w:rsidP="00BE2DBB">
            <w:pPr>
              <w:jc w:val="center"/>
              <w:rPr>
                <w:sz w:val="16"/>
                <w:szCs w:val="16"/>
              </w:rPr>
            </w:pPr>
            <w:r w:rsidRPr="00296152">
              <w:rPr>
                <w:sz w:val="16"/>
                <w:szCs w:val="16"/>
              </w:rPr>
              <w:t>3</w:t>
            </w:r>
          </w:p>
        </w:tc>
        <w:tc>
          <w:tcPr>
            <w:tcW w:w="4361" w:type="dxa"/>
            <w:shd w:val="clear" w:color="auto" w:fill="auto"/>
            <w:vAlign w:val="center"/>
            <w:hideMark/>
          </w:tcPr>
          <w:p w:rsidR="00BE2DBB" w:rsidRPr="00296152" w:rsidRDefault="00BE2DBB" w:rsidP="00BE2DBB">
            <w:pPr>
              <w:rPr>
                <w:sz w:val="16"/>
                <w:szCs w:val="16"/>
              </w:rPr>
            </w:pPr>
            <w:r w:rsidRPr="00296152">
              <w:rPr>
                <w:sz w:val="16"/>
                <w:szCs w:val="16"/>
              </w:rPr>
              <w:t>позивачі - у справах про відшкодування шкоди, заподіяної каліцтвом або іншим ушкодженням здоров'я, а також смертю фізичної особи</w:t>
            </w:r>
          </w:p>
        </w:tc>
        <w:tc>
          <w:tcPr>
            <w:tcW w:w="1713" w:type="dxa"/>
            <w:shd w:val="clear" w:color="auto" w:fill="auto"/>
            <w:vAlign w:val="center"/>
            <w:hideMark/>
          </w:tcPr>
          <w:p w:rsidR="00BE2DBB" w:rsidRPr="00296152" w:rsidRDefault="00BE2DBB" w:rsidP="00BE2DBB">
            <w:pPr>
              <w:jc w:val="center"/>
              <w:rPr>
                <w:b/>
                <w:bCs/>
                <w:sz w:val="16"/>
                <w:szCs w:val="16"/>
              </w:rPr>
            </w:pPr>
            <w:r w:rsidRPr="00296152">
              <w:rPr>
                <w:b/>
                <w:bCs/>
                <w:sz w:val="16"/>
                <w:szCs w:val="16"/>
              </w:rPr>
              <w:t>2</w:t>
            </w:r>
          </w:p>
        </w:tc>
        <w:tc>
          <w:tcPr>
            <w:tcW w:w="1228" w:type="dxa"/>
            <w:shd w:val="clear" w:color="auto" w:fill="auto"/>
            <w:vAlign w:val="center"/>
            <w:hideMark/>
          </w:tcPr>
          <w:p w:rsidR="00BE2DBB" w:rsidRPr="00296152" w:rsidRDefault="00BE2DBB" w:rsidP="00BE2DBB">
            <w:pPr>
              <w:jc w:val="right"/>
              <w:rPr>
                <w:sz w:val="16"/>
                <w:szCs w:val="16"/>
              </w:rPr>
            </w:pPr>
            <w:r w:rsidRPr="00296152">
              <w:rPr>
                <w:sz w:val="16"/>
                <w:szCs w:val="16"/>
              </w:rPr>
              <w:t>2</w:t>
            </w:r>
          </w:p>
        </w:tc>
        <w:tc>
          <w:tcPr>
            <w:tcW w:w="1446" w:type="dxa"/>
            <w:shd w:val="clear" w:color="auto" w:fill="auto"/>
            <w:vAlign w:val="center"/>
            <w:hideMark/>
          </w:tcPr>
          <w:p w:rsidR="00BE2DBB" w:rsidRPr="00296152" w:rsidRDefault="00BE2DBB" w:rsidP="00BE2DBB">
            <w:pPr>
              <w:jc w:val="right"/>
              <w:rPr>
                <w:sz w:val="16"/>
                <w:szCs w:val="16"/>
              </w:rPr>
            </w:pPr>
            <w:r w:rsidRPr="00296152">
              <w:rPr>
                <w:sz w:val="16"/>
                <w:szCs w:val="16"/>
              </w:rPr>
              <w:t>4 845</w:t>
            </w:r>
          </w:p>
        </w:tc>
      </w:tr>
      <w:tr w:rsidR="00BE2DBB" w:rsidRPr="003434C8" w:rsidTr="0014250D">
        <w:trPr>
          <w:trHeight w:val="467"/>
        </w:trPr>
        <w:tc>
          <w:tcPr>
            <w:tcW w:w="603" w:type="dxa"/>
            <w:shd w:val="clear" w:color="auto" w:fill="auto"/>
            <w:noWrap/>
            <w:vAlign w:val="center"/>
          </w:tcPr>
          <w:p w:rsidR="00BE2DBB" w:rsidRPr="00296152" w:rsidRDefault="00BE2DBB" w:rsidP="00BE2DBB">
            <w:pPr>
              <w:jc w:val="center"/>
              <w:rPr>
                <w:sz w:val="16"/>
                <w:szCs w:val="16"/>
              </w:rPr>
            </w:pPr>
            <w:r w:rsidRPr="00296152">
              <w:rPr>
                <w:sz w:val="16"/>
                <w:szCs w:val="16"/>
              </w:rPr>
              <w:t>4</w:t>
            </w:r>
          </w:p>
        </w:tc>
        <w:tc>
          <w:tcPr>
            <w:tcW w:w="4361" w:type="dxa"/>
            <w:shd w:val="clear" w:color="auto" w:fill="auto"/>
            <w:vAlign w:val="center"/>
            <w:hideMark/>
          </w:tcPr>
          <w:p w:rsidR="00BE2DBB" w:rsidRPr="00296152" w:rsidRDefault="00BE2DBB" w:rsidP="00BE2DBB">
            <w:pPr>
              <w:rPr>
                <w:sz w:val="16"/>
                <w:szCs w:val="16"/>
              </w:rPr>
            </w:pPr>
            <w:r w:rsidRPr="00296152">
              <w:rPr>
                <w:sz w:val="16"/>
                <w:szCs w:val="16"/>
              </w:rPr>
              <w:t>позивачі - у справах про стягнення аліментів, збільшення їх розміру, оплату додаткових витрат на дитину, стягнення неустойки (пені) за прострочення сплати аліментів, індексацію аліментів чи зміну способу їх стягнення, а також заявники у разі подання заяви щодо видачі судового наказу про стягнення аліментів</w:t>
            </w:r>
          </w:p>
        </w:tc>
        <w:tc>
          <w:tcPr>
            <w:tcW w:w="1713" w:type="dxa"/>
            <w:shd w:val="clear" w:color="auto" w:fill="auto"/>
            <w:vAlign w:val="center"/>
            <w:hideMark/>
          </w:tcPr>
          <w:p w:rsidR="00BE2DBB" w:rsidRPr="00296152" w:rsidRDefault="00BE2DBB" w:rsidP="00BE2DBB">
            <w:pPr>
              <w:jc w:val="center"/>
              <w:rPr>
                <w:b/>
                <w:bCs/>
                <w:sz w:val="16"/>
                <w:szCs w:val="16"/>
              </w:rPr>
            </w:pPr>
            <w:r w:rsidRPr="00296152">
              <w:rPr>
                <w:b/>
                <w:bCs/>
                <w:sz w:val="16"/>
                <w:szCs w:val="16"/>
              </w:rPr>
              <w:t>3</w:t>
            </w:r>
          </w:p>
        </w:tc>
        <w:tc>
          <w:tcPr>
            <w:tcW w:w="1228" w:type="dxa"/>
            <w:shd w:val="clear" w:color="auto" w:fill="auto"/>
            <w:vAlign w:val="center"/>
            <w:hideMark/>
          </w:tcPr>
          <w:p w:rsidR="00BE2DBB" w:rsidRPr="00296152" w:rsidRDefault="00BE2DBB" w:rsidP="00BE2DBB">
            <w:pPr>
              <w:jc w:val="right"/>
              <w:rPr>
                <w:sz w:val="16"/>
                <w:szCs w:val="16"/>
              </w:rPr>
            </w:pPr>
            <w:r w:rsidRPr="00296152">
              <w:rPr>
                <w:sz w:val="16"/>
                <w:szCs w:val="16"/>
              </w:rPr>
              <w:t>0</w:t>
            </w:r>
          </w:p>
        </w:tc>
        <w:tc>
          <w:tcPr>
            <w:tcW w:w="1446" w:type="dxa"/>
            <w:shd w:val="clear" w:color="auto" w:fill="auto"/>
            <w:vAlign w:val="center"/>
            <w:hideMark/>
          </w:tcPr>
          <w:p w:rsidR="00BE2DBB" w:rsidRPr="00296152" w:rsidRDefault="00BE2DBB" w:rsidP="00BE2DBB">
            <w:pPr>
              <w:jc w:val="right"/>
              <w:rPr>
                <w:sz w:val="16"/>
                <w:szCs w:val="16"/>
              </w:rPr>
            </w:pPr>
            <w:r w:rsidRPr="00296152">
              <w:rPr>
                <w:sz w:val="16"/>
                <w:szCs w:val="16"/>
              </w:rPr>
              <w:t>0</w:t>
            </w:r>
          </w:p>
        </w:tc>
      </w:tr>
      <w:tr w:rsidR="00BE2DBB" w:rsidRPr="003434C8" w:rsidTr="0014250D">
        <w:trPr>
          <w:trHeight w:val="467"/>
        </w:trPr>
        <w:tc>
          <w:tcPr>
            <w:tcW w:w="603" w:type="dxa"/>
            <w:shd w:val="clear" w:color="auto" w:fill="auto"/>
            <w:noWrap/>
            <w:vAlign w:val="center"/>
          </w:tcPr>
          <w:p w:rsidR="00BE2DBB" w:rsidRPr="00296152" w:rsidRDefault="00BE2DBB" w:rsidP="00BE2DBB">
            <w:pPr>
              <w:jc w:val="center"/>
              <w:rPr>
                <w:sz w:val="16"/>
                <w:szCs w:val="16"/>
              </w:rPr>
            </w:pPr>
            <w:r w:rsidRPr="00296152">
              <w:rPr>
                <w:sz w:val="16"/>
                <w:szCs w:val="16"/>
              </w:rPr>
              <w:t>5</w:t>
            </w:r>
          </w:p>
        </w:tc>
        <w:tc>
          <w:tcPr>
            <w:tcW w:w="4361" w:type="dxa"/>
            <w:shd w:val="clear" w:color="auto" w:fill="auto"/>
            <w:vAlign w:val="center"/>
            <w:hideMark/>
          </w:tcPr>
          <w:p w:rsidR="00BE2DBB" w:rsidRPr="00296152" w:rsidRDefault="00BE2DBB" w:rsidP="00BE2DBB">
            <w:pPr>
              <w:rPr>
                <w:sz w:val="16"/>
                <w:szCs w:val="16"/>
              </w:rPr>
            </w:pPr>
            <w:r w:rsidRPr="00296152">
              <w:rPr>
                <w:sz w:val="16"/>
                <w:szCs w:val="16"/>
              </w:rPr>
              <w:t>позивачі - у справах щодо спорів, пов'язаних з виплатою компенсації, поверненням майна, або у справах щодо спорів, пов'язаних з відшкодуванням його вартості громадянам, реабілітованим відповідно до Закону України "Про реабілітацію жертв політичних репресій на Україні"</w:t>
            </w:r>
          </w:p>
        </w:tc>
        <w:tc>
          <w:tcPr>
            <w:tcW w:w="1713" w:type="dxa"/>
            <w:shd w:val="clear" w:color="auto" w:fill="auto"/>
            <w:vAlign w:val="center"/>
            <w:hideMark/>
          </w:tcPr>
          <w:p w:rsidR="00BE2DBB" w:rsidRPr="00296152" w:rsidRDefault="00BE2DBB" w:rsidP="00BE2DBB">
            <w:pPr>
              <w:jc w:val="center"/>
              <w:rPr>
                <w:b/>
                <w:bCs/>
                <w:sz w:val="16"/>
                <w:szCs w:val="16"/>
              </w:rPr>
            </w:pPr>
            <w:r w:rsidRPr="00296152">
              <w:rPr>
                <w:b/>
                <w:bCs/>
                <w:sz w:val="16"/>
                <w:szCs w:val="16"/>
              </w:rPr>
              <w:t>4</w:t>
            </w:r>
          </w:p>
        </w:tc>
        <w:tc>
          <w:tcPr>
            <w:tcW w:w="1228" w:type="dxa"/>
            <w:shd w:val="clear" w:color="auto" w:fill="auto"/>
            <w:vAlign w:val="center"/>
            <w:hideMark/>
          </w:tcPr>
          <w:p w:rsidR="00BE2DBB" w:rsidRPr="00296152" w:rsidRDefault="00BE2DBB" w:rsidP="00BE2DBB">
            <w:pPr>
              <w:jc w:val="right"/>
              <w:rPr>
                <w:sz w:val="16"/>
                <w:szCs w:val="16"/>
              </w:rPr>
            </w:pPr>
            <w:r w:rsidRPr="00296152">
              <w:rPr>
                <w:sz w:val="16"/>
                <w:szCs w:val="16"/>
              </w:rPr>
              <w:t>0</w:t>
            </w:r>
          </w:p>
        </w:tc>
        <w:tc>
          <w:tcPr>
            <w:tcW w:w="1446" w:type="dxa"/>
            <w:shd w:val="clear" w:color="auto" w:fill="auto"/>
            <w:vAlign w:val="center"/>
            <w:hideMark/>
          </w:tcPr>
          <w:p w:rsidR="00BE2DBB" w:rsidRPr="00296152" w:rsidRDefault="00BE2DBB" w:rsidP="00BE2DBB">
            <w:pPr>
              <w:jc w:val="right"/>
              <w:rPr>
                <w:sz w:val="16"/>
                <w:szCs w:val="16"/>
              </w:rPr>
            </w:pPr>
            <w:r w:rsidRPr="00296152">
              <w:rPr>
                <w:sz w:val="16"/>
                <w:szCs w:val="16"/>
              </w:rPr>
              <w:t>0</w:t>
            </w:r>
          </w:p>
        </w:tc>
      </w:tr>
      <w:tr w:rsidR="00BE2DBB" w:rsidRPr="003434C8" w:rsidTr="0014250D">
        <w:trPr>
          <w:trHeight w:val="161"/>
        </w:trPr>
        <w:tc>
          <w:tcPr>
            <w:tcW w:w="603" w:type="dxa"/>
            <w:shd w:val="clear" w:color="auto" w:fill="auto"/>
            <w:noWrap/>
            <w:vAlign w:val="center"/>
          </w:tcPr>
          <w:p w:rsidR="00BE2DBB" w:rsidRPr="00296152" w:rsidRDefault="00BE2DBB" w:rsidP="00BE2DBB">
            <w:pPr>
              <w:jc w:val="center"/>
              <w:rPr>
                <w:sz w:val="16"/>
                <w:szCs w:val="16"/>
              </w:rPr>
            </w:pPr>
            <w:r w:rsidRPr="00296152">
              <w:rPr>
                <w:sz w:val="16"/>
                <w:szCs w:val="16"/>
              </w:rPr>
              <w:t>6</w:t>
            </w:r>
          </w:p>
        </w:tc>
        <w:tc>
          <w:tcPr>
            <w:tcW w:w="4361" w:type="dxa"/>
            <w:shd w:val="clear" w:color="auto" w:fill="auto"/>
            <w:vAlign w:val="center"/>
            <w:hideMark/>
          </w:tcPr>
          <w:p w:rsidR="00BE2DBB" w:rsidRPr="00296152" w:rsidRDefault="00BE2DBB" w:rsidP="00BE2DBB">
            <w:pPr>
              <w:rPr>
                <w:sz w:val="16"/>
                <w:szCs w:val="16"/>
              </w:rPr>
            </w:pPr>
            <w:r w:rsidRPr="00296152">
              <w:rPr>
                <w:sz w:val="16"/>
                <w:szCs w:val="16"/>
              </w:rPr>
              <w:t>особи, які страждають на психічні розлади, та їх представники - у справах щодо спорів, пов'язаних з розглядом питань стосовно захисту прав і законних інтересів особи під час надання психіатричної допомоги</w:t>
            </w:r>
          </w:p>
        </w:tc>
        <w:tc>
          <w:tcPr>
            <w:tcW w:w="1713" w:type="dxa"/>
            <w:shd w:val="clear" w:color="auto" w:fill="auto"/>
            <w:vAlign w:val="center"/>
            <w:hideMark/>
          </w:tcPr>
          <w:p w:rsidR="00BE2DBB" w:rsidRPr="00296152" w:rsidRDefault="00BE2DBB" w:rsidP="00BE2DBB">
            <w:pPr>
              <w:jc w:val="center"/>
              <w:rPr>
                <w:b/>
                <w:bCs/>
                <w:sz w:val="16"/>
                <w:szCs w:val="16"/>
              </w:rPr>
            </w:pPr>
            <w:r w:rsidRPr="00296152">
              <w:rPr>
                <w:b/>
                <w:bCs/>
                <w:sz w:val="16"/>
                <w:szCs w:val="16"/>
              </w:rPr>
              <w:t>5</w:t>
            </w:r>
          </w:p>
        </w:tc>
        <w:tc>
          <w:tcPr>
            <w:tcW w:w="1228" w:type="dxa"/>
            <w:shd w:val="clear" w:color="auto" w:fill="auto"/>
            <w:vAlign w:val="center"/>
            <w:hideMark/>
          </w:tcPr>
          <w:p w:rsidR="00BE2DBB" w:rsidRPr="00296152" w:rsidRDefault="00BE2DBB" w:rsidP="00BE2DBB">
            <w:pPr>
              <w:jc w:val="right"/>
              <w:rPr>
                <w:sz w:val="16"/>
                <w:szCs w:val="16"/>
              </w:rPr>
            </w:pPr>
            <w:r w:rsidRPr="00296152">
              <w:rPr>
                <w:sz w:val="16"/>
                <w:szCs w:val="16"/>
              </w:rPr>
              <w:t>0</w:t>
            </w:r>
          </w:p>
        </w:tc>
        <w:tc>
          <w:tcPr>
            <w:tcW w:w="1446" w:type="dxa"/>
            <w:shd w:val="clear" w:color="auto" w:fill="auto"/>
            <w:vAlign w:val="center"/>
            <w:hideMark/>
          </w:tcPr>
          <w:p w:rsidR="00BE2DBB" w:rsidRPr="00296152" w:rsidRDefault="00BE2DBB" w:rsidP="00BE2DBB">
            <w:pPr>
              <w:jc w:val="right"/>
              <w:rPr>
                <w:sz w:val="16"/>
                <w:szCs w:val="16"/>
              </w:rPr>
            </w:pPr>
            <w:r w:rsidRPr="00296152">
              <w:rPr>
                <w:sz w:val="16"/>
                <w:szCs w:val="16"/>
              </w:rPr>
              <w:t>0</w:t>
            </w:r>
          </w:p>
        </w:tc>
      </w:tr>
      <w:tr w:rsidR="00BE2DBB" w:rsidRPr="003434C8" w:rsidTr="0014250D">
        <w:trPr>
          <w:trHeight w:val="312"/>
        </w:trPr>
        <w:tc>
          <w:tcPr>
            <w:tcW w:w="603" w:type="dxa"/>
            <w:shd w:val="clear" w:color="auto" w:fill="auto"/>
            <w:noWrap/>
            <w:vAlign w:val="center"/>
          </w:tcPr>
          <w:p w:rsidR="00BE2DBB" w:rsidRPr="00296152" w:rsidRDefault="00BE2DBB" w:rsidP="00BE2DBB">
            <w:pPr>
              <w:jc w:val="center"/>
              <w:rPr>
                <w:sz w:val="16"/>
                <w:szCs w:val="16"/>
              </w:rPr>
            </w:pPr>
            <w:r w:rsidRPr="00296152">
              <w:rPr>
                <w:sz w:val="16"/>
                <w:szCs w:val="16"/>
              </w:rPr>
              <w:t>7</w:t>
            </w:r>
          </w:p>
        </w:tc>
        <w:tc>
          <w:tcPr>
            <w:tcW w:w="4361" w:type="dxa"/>
            <w:shd w:val="clear" w:color="auto" w:fill="auto"/>
            <w:vAlign w:val="center"/>
            <w:hideMark/>
          </w:tcPr>
          <w:p w:rsidR="00BE2DBB" w:rsidRPr="00296152" w:rsidRDefault="00BE2DBB" w:rsidP="00BE2DBB">
            <w:pPr>
              <w:rPr>
                <w:sz w:val="16"/>
                <w:szCs w:val="16"/>
              </w:rPr>
            </w:pPr>
            <w:r w:rsidRPr="00296152">
              <w:rPr>
                <w:sz w:val="16"/>
                <w:szCs w:val="16"/>
              </w:rPr>
              <w:t>позивачі - у справах про відшкодування матеріальних збитків, завданих внаслідок вчинення кримінального правопорушення</w:t>
            </w:r>
          </w:p>
        </w:tc>
        <w:tc>
          <w:tcPr>
            <w:tcW w:w="1713" w:type="dxa"/>
            <w:shd w:val="clear" w:color="auto" w:fill="auto"/>
            <w:vAlign w:val="center"/>
            <w:hideMark/>
          </w:tcPr>
          <w:p w:rsidR="00BE2DBB" w:rsidRPr="00296152" w:rsidRDefault="00BE2DBB" w:rsidP="00BE2DBB">
            <w:pPr>
              <w:jc w:val="center"/>
              <w:rPr>
                <w:b/>
                <w:bCs/>
                <w:sz w:val="16"/>
                <w:szCs w:val="16"/>
              </w:rPr>
            </w:pPr>
            <w:r w:rsidRPr="00296152">
              <w:rPr>
                <w:b/>
                <w:bCs/>
                <w:sz w:val="16"/>
                <w:szCs w:val="16"/>
              </w:rPr>
              <w:t>6</w:t>
            </w:r>
          </w:p>
        </w:tc>
        <w:tc>
          <w:tcPr>
            <w:tcW w:w="1228" w:type="dxa"/>
            <w:shd w:val="clear" w:color="auto" w:fill="auto"/>
            <w:vAlign w:val="center"/>
            <w:hideMark/>
          </w:tcPr>
          <w:p w:rsidR="00BE2DBB" w:rsidRPr="00296152" w:rsidRDefault="00BE2DBB" w:rsidP="00BE2DBB">
            <w:pPr>
              <w:jc w:val="right"/>
              <w:rPr>
                <w:sz w:val="16"/>
                <w:szCs w:val="16"/>
              </w:rPr>
            </w:pPr>
            <w:r w:rsidRPr="00296152">
              <w:rPr>
                <w:sz w:val="16"/>
                <w:szCs w:val="16"/>
              </w:rPr>
              <w:t>0</w:t>
            </w:r>
          </w:p>
        </w:tc>
        <w:tc>
          <w:tcPr>
            <w:tcW w:w="1446" w:type="dxa"/>
            <w:shd w:val="clear" w:color="auto" w:fill="auto"/>
            <w:vAlign w:val="center"/>
            <w:hideMark/>
          </w:tcPr>
          <w:p w:rsidR="00BE2DBB" w:rsidRPr="00296152" w:rsidRDefault="00BE2DBB" w:rsidP="00BE2DBB">
            <w:pPr>
              <w:jc w:val="right"/>
              <w:rPr>
                <w:sz w:val="16"/>
                <w:szCs w:val="16"/>
              </w:rPr>
            </w:pPr>
            <w:r w:rsidRPr="00296152">
              <w:rPr>
                <w:sz w:val="16"/>
                <w:szCs w:val="16"/>
              </w:rPr>
              <w:t>0</w:t>
            </w:r>
          </w:p>
        </w:tc>
      </w:tr>
      <w:tr w:rsidR="00BE2DBB" w:rsidRPr="003434C8" w:rsidTr="0014250D">
        <w:trPr>
          <w:trHeight w:val="312"/>
        </w:trPr>
        <w:tc>
          <w:tcPr>
            <w:tcW w:w="603" w:type="dxa"/>
            <w:shd w:val="clear" w:color="auto" w:fill="auto"/>
            <w:noWrap/>
            <w:vAlign w:val="center"/>
          </w:tcPr>
          <w:p w:rsidR="00BE2DBB" w:rsidRPr="00296152" w:rsidRDefault="00BE2DBB" w:rsidP="00BE2DBB">
            <w:pPr>
              <w:jc w:val="center"/>
              <w:rPr>
                <w:sz w:val="16"/>
                <w:szCs w:val="16"/>
              </w:rPr>
            </w:pPr>
            <w:r w:rsidRPr="00296152">
              <w:rPr>
                <w:sz w:val="16"/>
                <w:szCs w:val="16"/>
              </w:rPr>
              <w:t>8</w:t>
            </w:r>
          </w:p>
        </w:tc>
        <w:tc>
          <w:tcPr>
            <w:tcW w:w="4361" w:type="dxa"/>
            <w:shd w:val="clear" w:color="auto" w:fill="auto"/>
            <w:vAlign w:val="center"/>
            <w:hideMark/>
          </w:tcPr>
          <w:p w:rsidR="00BE2DBB" w:rsidRPr="00296152" w:rsidRDefault="00BE2DBB" w:rsidP="00BE2DBB">
            <w:pPr>
              <w:rPr>
                <w:sz w:val="16"/>
                <w:szCs w:val="16"/>
              </w:rPr>
            </w:pPr>
            <w:r w:rsidRPr="00296152">
              <w:rPr>
                <w:sz w:val="16"/>
                <w:szCs w:val="16"/>
              </w:rPr>
              <w:t>громадяни, які у випадках, передбачених законодавством, звернулися із заявами до суду щодо захисту прав та інтересів інших осіб</w:t>
            </w:r>
          </w:p>
        </w:tc>
        <w:tc>
          <w:tcPr>
            <w:tcW w:w="1713" w:type="dxa"/>
            <w:shd w:val="clear" w:color="auto" w:fill="auto"/>
            <w:vAlign w:val="center"/>
            <w:hideMark/>
          </w:tcPr>
          <w:p w:rsidR="00BE2DBB" w:rsidRPr="00296152" w:rsidRDefault="00BE2DBB" w:rsidP="00BE2DBB">
            <w:pPr>
              <w:jc w:val="center"/>
              <w:rPr>
                <w:b/>
                <w:bCs/>
                <w:sz w:val="16"/>
                <w:szCs w:val="16"/>
              </w:rPr>
            </w:pPr>
            <w:r w:rsidRPr="00296152">
              <w:rPr>
                <w:b/>
                <w:bCs/>
                <w:sz w:val="16"/>
                <w:szCs w:val="16"/>
              </w:rPr>
              <w:t>7</w:t>
            </w:r>
          </w:p>
        </w:tc>
        <w:tc>
          <w:tcPr>
            <w:tcW w:w="1228" w:type="dxa"/>
            <w:shd w:val="clear" w:color="auto" w:fill="auto"/>
            <w:vAlign w:val="center"/>
            <w:hideMark/>
          </w:tcPr>
          <w:p w:rsidR="00BE2DBB" w:rsidRPr="00296152" w:rsidRDefault="00BE2DBB" w:rsidP="00BE2DBB">
            <w:pPr>
              <w:jc w:val="right"/>
              <w:rPr>
                <w:sz w:val="16"/>
                <w:szCs w:val="16"/>
              </w:rPr>
            </w:pPr>
            <w:r w:rsidRPr="00296152">
              <w:rPr>
                <w:sz w:val="16"/>
                <w:szCs w:val="16"/>
              </w:rPr>
              <w:t>4</w:t>
            </w:r>
          </w:p>
        </w:tc>
        <w:tc>
          <w:tcPr>
            <w:tcW w:w="1446" w:type="dxa"/>
            <w:shd w:val="clear" w:color="auto" w:fill="auto"/>
            <w:vAlign w:val="center"/>
            <w:hideMark/>
          </w:tcPr>
          <w:p w:rsidR="00BE2DBB" w:rsidRPr="00296152" w:rsidRDefault="00BE2DBB" w:rsidP="00BE2DBB">
            <w:pPr>
              <w:jc w:val="right"/>
              <w:rPr>
                <w:sz w:val="16"/>
                <w:szCs w:val="16"/>
              </w:rPr>
            </w:pPr>
            <w:r w:rsidRPr="00296152">
              <w:rPr>
                <w:sz w:val="16"/>
                <w:szCs w:val="16"/>
              </w:rPr>
              <w:t>7 268</w:t>
            </w:r>
          </w:p>
        </w:tc>
      </w:tr>
      <w:tr w:rsidR="00BE2DBB" w:rsidRPr="003434C8" w:rsidTr="0014250D">
        <w:trPr>
          <w:trHeight w:val="312"/>
        </w:trPr>
        <w:tc>
          <w:tcPr>
            <w:tcW w:w="603" w:type="dxa"/>
            <w:shd w:val="clear" w:color="auto" w:fill="auto"/>
            <w:noWrap/>
            <w:vAlign w:val="center"/>
          </w:tcPr>
          <w:p w:rsidR="00BE2DBB" w:rsidRPr="00296152" w:rsidRDefault="00BE2DBB" w:rsidP="00BE2DBB">
            <w:pPr>
              <w:jc w:val="center"/>
              <w:rPr>
                <w:sz w:val="16"/>
                <w:szCs w:val="16"/>
              </w:rPr>
            </w:pPr>
            <w:r w:rsidRPr="00296152">
              <w:rPr>
                <w:sz w:val="16"/>
                <w:szCs w:val="16"/>
              </w:rPr>
              <w:t>9</w:t>
            </w:r>
          </w:p>
        </w:tc>
        <w:tc>
          <w:tcPr>
            <w:tcW w:w="4361" w:type="dxa"/>
            <w:shd w:val="clear" w:color="auto" w:fill="auto"/>
            <w:vAlign w:val="center"/>
            <w:hideMark/>
          </w:tcPr>
          <w:p w:rsidR="00BE2DBB" w:rsidRPr="00296152" w:rsidRDefault="00BE2DBB" w:rsidP="00BE2DBB">
            <w:pPr>
              <w:rPr>
                <w:sz w:val="16"/>
                <w:szCs w:val="16"/>
              </w:rPr>
            </w:pPr>
            <w:r w:rsidRPr="00296152">
              <w:rPr>
                <w:sz w:val="16"/>
                <w:szCs w:val="16"/>
              </w:rPr>
              <w:t>особи з інвалідністю внаслідок Другої світової війни та сім'ї воїнів (партизанів), які загинули чи пропали безвісти, і прирівняні до них у встановленому порядку особи</w:t>
            </w:r>
          </w:p>
        </w:tc>
        <w:tc>
          <w:tcPr>
            <w:tcW w:w="1713" w:type="dxa"/>
            <w:shd w:val="clear" w:color="auto" w:fill="auto"/>
            <w:vAlign w:val="center"/>
            <w:hideMark/>
          </w:tcPr>
          <w:p w:rsidR="00BE2DBB" w:rsidRPr="00296152" w:rsidRDefault="00BE2DBB" w:rsidP="00BE2DBB">
            <w:pPr>
              <w:jc w:val="center"/>
              <w:rPr>
                <w:b/>
                <w:bCs/>
                <w:sz w:val="16"/>
                <w:szCs w:val="16"/>
              </w:rPr>
            </w:pPr>
            <w:r w:rsidRPr="00296152">
              <w:rPr>
                <w:b/>
                <w:bCs/>
                <w:sz w:val="16"/>
                <w:szCs w:val="16"/>
              </w:rPr>
              <w:t>8</w:t>
            </w:r>
          </w:p>
        </w:tc>
        <w:tc>
          <w:tcPr>
            <w:tcW w:w="1228" w:type="dxa"/>
            <w:shd w:val="clear" w:color="auto" w:fill="auto"/>
            <w:vAlign w:val="center"/>
            <w:hideMark/>
          </w:tcPr>
          <w:p w:rsidR="00BE2DBB" w:rsidRPr="00296152" w:rsidRDefault="00BE2DBB" w:rsidP="00BE2DBB">
            <w:pPr>
              <w:jc w:val="right"/>
              <w:rPr>
                <w:sz w:val="16"/>
                <w:szCs w:val="16"/>
              </w:rPr>
            </w:pPr>
            <w:r w:rsidRPr="00296152">
              <w:rPr>
                <w:sz w:val="16"/>
                <w:szCs w:val="16"/>
              </w:rPr>
              <w:t>69</w:t>
            </w:r>
          </w:p>
        </w:tc>
        <w:tc>
          <w:tcPr>
            <w:tcW w:w="1446" w:type="dxa"/>
            <w:shd w:val="clear" w:color="auto" w:fill="auto"/>
            <w:vAlign w:val="center"/>
            <w:hideMark/>
          </w:tcPr>
          <w:p w:rsidR="00BE2DBB" w:rsidRPr="00296152" w:rsidRDefault="00BE2DBB" w:rsidP="00BE2DBB">
            <w:pPr>
              <w:jc w:val="right"/>
              <w:rPr>
                <w:sz w:val="16"/>
                <w:szCs w:val="16"/>
              </w:rPr>
            </w:pPr>
            <w:r w:rsidRPr="00296152">
              <w:rPr>
                <w:sz w:val="16"/>
                <w:szCs w:val="16"/>
              </w:rPr>
              <w:t>166 850</w:t>
            </w:r>
          </w:p>
        </w:tc>
      </w:tr>
      <w:tr w:rsidR="00BE2DBB" w:rsidRPr="003434C8" w:rsidTr="0014250D">
        <w:trPr>
          <w:trHeight w:val="159"/>
        </w:trPr>
        <w:tc>
          <w:tcPr>
            <w:tcW w:w="603" w:type="dxa"/>
            <w:shd w:val="clear" w:color="auto" w:fill="auto"/>
            <w:noWrap/>
            <w:vAlign w:val="center"/>
          </w:tcPr>
          <w:p w:rsidR="00BE2DBB" w:rsidRPr="00296152" w:rsidRDefault="00BE2DBB" w:rsidP="00BE2DBB">
            <w:pPr>
              <w:jc w:val="center"/>
              <w:rPr>
                <w:sz w:val="16"/>
                <w:szCs w:val="16"/>
              </w:rPr>
            </w:pPr>
            <w:r w:rsidRPr="00296152">
              <w:rPr>
                <w:sz w:val="16"/>
                <w:szCs w:val="16"/>
              </w:rPr>
              <w:lastRenderedPageBreak/>
              <w:t>10</w:t>
            </w:r>
          </w:p>
        </w:tc>
        <w:tc>
          <w:tcPr>
            <w:tcW w:w="4361" w:type="dxa"/>
            <w:shd w:val="clear" w:color="auto" w:fill="auto"/>
            <w:vAlign w:val="center"/>
            <w:hideMark/>
          </w:tcPr>
          <w:p w:rsidR="00BE2DBB" w:rsidRPr="00296152" w:rsidRDefault="00BE2DBB" w:rsidP="00BE2DBB">
            <w:pPr>
              <w:rPr>
                <w:sz w:val="16"/>
                <w:szCs w:val="16"/>
              </w:rPr>
            </w:pPr>
            <w:r w:rsidRPr="00296152">
              <w:rPr>
                <w:sz w:val="16"/>
                <w:szCs w:val="16"/>
              </w:rPr>
              <w:t>особи з інвалідністю I та II груп, законні представники дітей з інвалідністю і недієздатних осіб з інвалідністю</w:t>
            </w:r>
          </w:p>
        </w:tc>
        <w:tc>
          <w:tcPr>
            <w:tcW w:w="1713" w:type="dxa"/>
            <w:shd w:val="clear" w:color="auto" w:fill="auto"/>
            <w:vAlign w:val="center"/>
            <w:hideMark/>
          </w:tcPr>
          <w:p w:rsidR="00BE2DBB" w:rsidRPr="00296152" w:rsidRDefault="00BE2DBB" w:rsidP="00BE2DBB">
            <w:pPr>
              <w:jc w:val="center"/>
              <w:rPr>
                <w:b/>
                <w:bCs/>
                <w:sz w:val="16"/>
                <w:szCs w:val="16"/>
              </w:rPr>
            </w:pPr>
            <w:r w:rsidRPr="00296152">
              <w:rPr>
                <w:b/>
                <w:bCs/>
                <w:sz w:val="16"/>
                <w:szCs w:val="16"/>
              </w:rPr>
              <w:t>9</w:t>
            </w:r>
          </w:p>
        </w:tc>
        <w:tc>
          <w:tcPr>
            <w:tcW w:w="1228" w:type="dxa"/>
            <w:shd w:val="clear" w:color="auto" w:fill="auto"/>
            <w:vAlign w:val="center"/>
            <w:hideMark/>
          </w:tcPr>
          <w:p w:rsidR="00BE2DBB" w:rsidRPr="00296152" w:rsidRDefault="00BE2DBB" w:rsidP="00BE2DBB">
            <w:pPr>
              <w:jc w:val="right"/>
              <w:rPr>
                <w:sz w:val="16"/>
                <w:szCs w:val="16"/>
              </w:rPr>
            </w:pPr>
            <w:r w:rsidRPr="00296152">
              <w:rPr>
                <w:sz w:val="16"/>
                <w:szCs w:val="16"/>
              </w:rPr>
              <w:t>390</w:t>
            </w:r>
          </w:p>
        </w:tc>
        <w:tc>
          <w:tcPr>
            <w:tcW w:w="1446" w:type="dxa"/>
            <w:shd w:val="clear" w:color="auto" w:fill="auto"/>
            <w:vAlign w:val="center"/>
            <w:hideMark/>
          </w:tcPr>
          <w:p w:rsidR="00BE2DBB" w:rsidRPr="00296152" w:rsidRDefault="00BE2DBB" w:rsidP="00BE2DBB">
            <w:pPr>
              <w:jc w:val="right"/>
              <w:rPr>
                <w:sz w:val="16"/>
                <w:szCs w:val="16"/>
              </w:rPr>
            </w:pPr>
            <w:r w:rsidRPr="00296152">
              <w:rPr>
                <w:sz w:val="16"/>
                <w:szCs w:val="16"/>
              </w:rPr>
              <w:t>989 885</w:t>
            </w:r>
          </w:p>
        </w:tc>
      </w:tr>
      <w:tr w:rsidR="00BE2DBB" w:rsidRPr="003434C8" w:rsidTr="0014250D">
        <w:trPr>
          <w:trHeight w:val="149"/>
        </w:trPr>
        <w:tc>
          <w:tcPr>
            <w:tcW w:w="603" w:type="dxa"/>
            <w:shd w:val="clear" w:color="auto" w:fill="auto"/>
            <w:noWrap/>
            <w:vAlign w:val="center"/>
          </w:tcPr>
          <w:p w:rsidR="00BE2DBB" w:rsidRPr="00296152" w:rsidRDefault="00BE2DBB" w:rsidP="00BE2DBB">
            <w:pPr>
              <w:jc w:val="center"/>
              <w:rPr>
                <w:sz w:val="16"/>
                <w:szCs w:val="16"/>
              </w:rPr>
            </w:pPr>
            <w:r w:rsidRPr="00296152">
              <w:rPr>
                <w:sz w:val="16"/>
                <w:szCs w:val="16"/>
              </w:rPr>
              <w:t>11</w:t>
            </w:r>
          </w:p>
        </w:tc>
        <w:tc>
          <w:tcPr>
            <w:tcW w:w="4361" w:type="dxa"/>
            <w:shd w:val="clear" w:color="auto" w:fill="auto"/>
            <w:vAlign w:val="center"/>
            <w:hideMark/>
          </w:tcPr>
          <w:p w:rsidR="00BE2DBB" w:rsidRPr="00296152" w:rsidRDefault="00BE2DBB" w:rsidP="00BE2DBB">
            <w:pPr>
              <w:rPr>
                <w:sz w:val="16"/>
                <w:szCs w:val="16"/>
              </w:rPr>
            </w:pPr>
            <w:r w:rsidRPr="00296152">
              <w:rPr>
                <w:sz w:val="16"/>
                <w:szCs w:val="16"/>
              </w:rPr>
              <w:t>позивачі - громадяни, віднесені до 1 та 2 категорій постраждалих внаслідок Чорнобильської катастрофи</w:t>
            </w:r>
          </w:p>
        </w:tc>
        <w:tc>
          <w:tcPr>
            <w:tcW w:w="1713" w:type="dxa"/>
            <w:shd w:val="clear" w:color="auto" w:fill="auto"/>
            <w:vAlign w:val="center"/>
            <w:hideMark/>
          </w:tcPr>
          <w:p w:rsidR="00BE2DBB" w:rsidRPr="00296152" w:rsidRDefault="00BE2DBB" w:rsidP="00BE2DBB">
            <w:pPr>
              <w:jc w:val="center"/>
              <w:rPr>
                <w:b/>
                <w:bCs/>
                <w:sz w:val="16"/>
                <w:szCs w:val="16"/>
              </w:rPr>
            </w:pPr>
            <w:r w:rsidRPr="00296152">
              <w:rPr>
                <w:b/>
                <w:bCs/>
                <w:sz w:val="16"/>
                <w:szCs w:val="16"/>
              </w:rPr>
              <w:t>10</w:t>
            </w:r>
          </w:p>
        </w:tc>
        <w:tc>
          <w:tcPr>
            <w:tcW w:w="1228" w:type="dxa"/>
            <w:shd w:val="clear" w:color="auto" w:fill="auto"/>
            <w:vAlign w:val="center"/>
            <w:hideMark/>
          </w:tcPr>
          <w:p w:rsidR="00BE2DBB" w:rsidRPr="00296152" w:rsidRDefault="00BE2DBB" w:rsidP="00BE2DBB">
            <w:pPr>
              <w:jc w:val="right"/>
              <w:rPr>
                <w:sz w:val="16"/>
                <w:szCs w:val="16"/>
              </w:rPr>
            </w:pPr>
            <w:r w:rsidRPr="00296152">
              <w:rPr>
                <w:sz w:val="16"/>
                <w:szCs w:val="16"/>
              </w:rPr>
              <w:t>68</w:t>
            </w:r>
          </w:p>
        </w:tc>
        <w:tc>
          <w:tcPr>
            <w:tcW w:w="1446" w:type="dxa"/>
            <w:shd w:val="clear" w:color="auto" w:fill="auto"/>
            <w:vAlign w:val="center"/>
            <w:hideMark/>
          </w:tcPr>
          <w:p w:rsidR="00BE2DBB" w:rsidRPr="00296152" w:rsidRDefault="00BE2DBB" w:rsidP="00BE2DBB">
            <w:pPr>
              <w:jc w:val="right"/>
              <w:rPr>
                <w:sz w:val="16"/>
                <w:szCs w:val="16"/>
              </w:rPr>
            </w:pPr>
            <w:r w:rsidRPr="00296152">
              <w:rPr>
                <w:sz w:val="16"/>
                <w:szCs w:val="16"/>
              </w:rPr>
              <w:t>152 014</w:t>
            </w:r>
          </w:p>
        </w:tc>
      </w:tr>
      <w:tr w:rsidR="00BE2DBB" w:rsidRPr="003434C8" w:rsidTr="0014250D">
        <w:trPr>
          <w:trHeight w:val="149"/>
        </w:trPr>
        <w:tc>
          <w:tcPr>
            <w:tcW w:w="603" w:type="dxa"/>
            <w:shd w:val="clear" w:color="auto" w:fill="auto"/>
            <w:noWrap/>
            <w:vAlign w:val="center"/>
          </w:tcPr>
          <w:p w:rsidR="00BE2DBB" w:rsidRPr="00296152" w:rsidRDefault="00BE2DBB" w:rsidP="00BE2DBB">
            <w:pPr>
              <w:jc w:val="center"/>
              <w:rPr>
                <w:sz w:val="16"/>
                <w:szCs w:val="16"/>
              </w:rPr>
            </w:pPr>
            <w:r w:rsidRPr="00296152">
              <w:rPr>
                <w:sz w:val="16"/>
                <w:szCs w:val="16"/>
              </w:rPr>
              <w:t>12</w:t>
            </w:r>
          </w:p>
        </w:tc>
        <w:tc>
          <w:tcPr>
            <w:tcW w:w="4361" w:type="dxa"/>
            <w:shd w:val="clear" w:color="auto" w:fill="auto"/>
            <w:vAlign w:val="center"/>
            <w:hideMark/>
          </w:tcPr>
          <w:p w:rsidR="00BE2DBB" w:rsidRPr="00296152" w:rsidRDefault="00BE2DBB" w:rsidP="00BE2DBB">
            <w:pPr>
              <w:rPr>
                <w:sz w:val="16"/>
                <w:szCs w:val="16"/>
              </w:rPr>
            </w:pPr>
            <w:r w:rsidRPr="00296152">
              <w:rPr>
                <w:sz w:val="16"/>
                <w:szCs w:val="16"/>
              </w:rPr>
              <w:t>виборці - у справах про уточнення списку виборців</w:t>
            </w:r>
          </w:p>
        </w:tc>
        <w:tc>
          <w:tcPr>
            <w:tcW w:w="1713" w:type="dxa"/>
            <w:shd w:val="clear" w:color="auto" w:fill="auto"/>
            <w:vAlign w:val="center"/>
            <w:hideMark/>
          </w:tcPr>
          <w:p w:rsidR="00BE2DBB" w:rsidRPr="00296152" w:rsidRDefault="00BE2DBB" w:rsidP="00BE2DBB">
            <w:pPr>
              <w:jc w:val="center"/>
              <w:rPr>
                <w:b/>
                <w:bCs/>
                <w:sz w:val="16"/>
                <w:szCs w:val="16"/>
              </w:rPr>
            </w:pPr>
            <w:r w:rsidRPr="00296152">
              <w:rPr>
                <w:b/>
                <w:bCs/>
                <w:sz w:val="16"/>
                <w:szCs w:val="16"/>
              </w:rPr>
              <w:t>11</w:t>
            </w:r>
          </w:p>
        </w:tc>
        <w:tc>
          <w:tcPr>
            <w:tcW w:w="1228" w:type="dxa"/>
            <w:shd w:val="clear" w:color="auto" w:fill="auto"/>
            <w:vAlign w:val="center"/>
            <w:hideMark/>
          </w:tcPr>
          <w:p w:rsidR="00BE2DBB" w:rsidRPr="00296152" w:rsidRDefault="00BE2DBB" w:rsidP="00BE2DBB">
            <w:pPr>
              <w:jc w:val="right"/>
              <w:rPr>
                <w:sz w:val="16"/>
                <w:szCs w:val="16"/>
              </w:rPr>
            </w:pPr>
            <w:r w:rsidRPr="00296152">
              <w:rPr>
                <w:sz w:val="16"/>
                <w:szCs w:val="16"/>
              </w:rPr>
              <w:t>0</w:t>
            </w:r>
          </w:p>
        </w:tc>
        <w:tc>
          <w:tcPr>
            <w:tcW w:w="1446" w:type="dxa"/>
            <w:shd w:val="clear" w:color="auto" w:fill="auto"/>
            <w:vAlign w:val="center"/>
            <w:hideMark/>
          </w:tcPr>
          <w:p w:rsidR="00BE2DBB" w:rsidRPr="00296152" w:rsidRDefault="00BE2DBB" w:rsidP="00BE2DBB">
            <w:pPr>
              <w:jc w:val="right"/>
              <w:rPr>
                <w:sz w:val="16"/>
                <w:szCs w:val="16"/>
              </w:rPr>
            </w:pPr>
            <w:r w:rsidRPr="00296152">
              <w:rPr>
                <w:sz w:val="16"/>
                <w:szCs w:val="16"/>
              </w:rPr>
              <w:t>0</w:t>
            </w:r>
          </w:p>
        </w:tc>
      </w:tr>
      <w:tr w:rsidR="00BE2DBB" w:rsidRPr="003434C8" w:rsidTr="0014250D">
        <w:trPr>
          <w:trHeight w:val="312"/>
        </w:trPr>
        <w:tc>
          <w:tcPr>
            <w:tcW w:w="603" w:type="dxa"/>
            <w:shd w:val="clear" w:color="auto" w:fill="auto"/>
            <w:noWrap/>
            <w:vAlign w:val="center"/>
          </w:tcPr>
          <w:p w:rsidR="00BE2DBB" w:rsidRPr="00296152" w:rsidRDefault="00BE2DBB" w:rsidP="00BE2DBB">
            <w:pPr>
              <w:jc w:val="center"/>
              <w:rPr>
                <w:sz w:val="16"/>
                <w:szCs w:val="16"/>
              </w:rPr>
            </w:pPr>
            <w:r w:rsidRPr="00296152">
              <w:rPr>
                <w:sz w:val="16"/>
                <w:szCs w:val="16"/>
              </w:rPr>
              <w:t>13</w:t>
            </w:r>
          </w:p>
        </w:tc>
        <w:tc>
          <w:tcPr>
            <w:tcW w:w="4361" w:type="dxa"/>
            <w:shd w:val="clear" w:color="auto" w:fill="auto"/>
            <w:vAlign w:val="center"/>
            <w:hideMark/>
          </w:tcPr>
          <w:p w:rsidR="00BE2DBB" w:rsidRPr="00296152" w:rsidRDefault="00BE2DBB" w:rsidP="00BE2DBB">
            <w:pPr>
              <w:rPr>
                <w:sz w:val="16"/>
                <w:szCs w:val="16"/>
              </w:rPr>
            </w:pPr>
            <w:r w:rsidRPr="00296152">
              <w:rPr>
                <w:sz w:val="16"/>
                <w:szCs w:val="16"/>
              </w:rPr>
              <w:t>військовослужбовці, військовозобов'язані та резервісти, які призвані на навчальні (або перевірочні) та спеціальні збори, - у справах, пов'язаних з виконанням військового обов'язку, а також під час виконання службових обов'язків</w:t>
            </w:r>
          </w:p>
        </w:tc>
        <w:tc>
          <w:tcPr>
            <w:tcW w:w="1713" w:type="dxa"/>
            <w:shd w:val="clear" w:color="auto" w:fill="auto"/>
            <w:vAlign w:val="center"/>
            <w:hideMark/>
          </w:tcPr>
          <w:p w:rsidR="00BE2DBB" w:rsidRPr="00296152" w:rsidRDefault="00BE2DBB" w:rsidP="00BE2DBB">
            <w:pPr>
              <w:jc w:val="center"/>
              <w:rPr>
                <w:b/>
                <w:bCs/>
                <w:sz w:val="16"/>
                <w:szCs w:val="16"/>
              </w:rPr>
            </w:pPr>
            <w:r w:rsidRPr="00296152">
              <w:rPr>
                <w:b/>
                <w:bCs/>
                <w:sz w:val="16"/>
                <w:szCs w:val="16"/>
              </w:rPr>
              <w:t>12</w:t>
            </w:r>
          </w:p>
        </w:tc>
        <w:tc>
          <w:tcPr>
            <w:tcW w:w="1228" w:type="dxa"/>
            <w:shd w:val="clear" w:color="auto" w:fill="auto"/>
            <w:vAlign w:val="center"/>
            <w:hideMark/>
          </w:tcPr>
          <w:p w:rsidR="00BE2DBB" w:rsidRPr="00296152" w:rsidRDefault="00BE2DBB" w:rsidP="00BE2DBB">
            <w:pPr>
              <w:jc w:val="right"/>
              <w:rPr>
                <w:sz w:val="16"/>
                <w:szCs w:val="16"/>
              </w:rPr>
            </w:pPr>
            <w:r w:rsidRPr="00296152">
              <w:rPr>
                <w:sz w:val="16"/>
                <w:szCs w:val="16"/>
              </w:rPr>
              <w:t>91</w:t>
            </w:r>
          </w:p>
        </w:tc>
        <w:tc>
          <w:tcPr>
            <w:tcW w:w="1446" w:type="dxa"/>
            <w:shd w:val="clear" w:color="auto" w:fill="auto"/>
            <w:vAlign w:val="center"/>
            <w:hideMark/>
          </w:tcPr>
          <w:p w:rsidR="00BE2DBB" w:rsidRPr="00296152" w:rsidRDefault="00BE2DBB" w:rsidP="00BE2DBB">
            <w:pPr>
              <w:jc w:val="right"/>
              <w:rPr>
                <w:sz w:val="16"/>
                <w:szCs w:val="16"/>
              </w:rPr>
            </w:pPr>
            <w:r w:rsidRPr="00296152">
              <w:rPr>
                <w:sz w:val="16"/>
                <w:szCs w:val="16"/>
              </w:rPr>
              <w:t>188 356</w:t>
            </w:r>
          </w:p>
        </w:tc>
      </w:tr>
      <w:tr w:rsidR="00BE2DBB" w:rsidRPr="003434C8" w:rsidTr="0014250D">
        <w:trPr>
          <w:trHeight w:val="149"/>
        </w:trPr>
        <w:tc>
          <w:tcPr>
            <w:tcW w:w="603" w:type="dxa"/>
            <w:shd w:val="clear" w:color="auto" w:fill="auto"/>
            <w:noWrap/>
            <w:vAlign w:val="center"/>
          </w:tcPr>
          <w:p w:rsidR="00BE2DBB" w:rsidRPr="00296152" w:rsidRDefault="00BE2DBB" w:rsidP="00BE2DBB">
            <w:pPr>
              <w:jc w:val="center"/>
              <w:rPr>
                <w:sz w:val="16"/>
                <w:szCs w:val="16"/>
              </w:rPr>
            </w:pPr>
            <w:r w:rsidRPr="00296152">
              <w:rPr>
                <w:sz w:val="16"/>
                <w:szCs w:val="16"/>
              </w:rPr>
              <w:t>14</w:t>
            </w:r>
          </w:p>
        </w:tc>
        <w:tc>
          <w:tcPr>
            <w:tcW w:w="4361" w:type="dxa"/>
            <w:shd w:val="clear" w:color="auto" w:fill="auto"/>
            <w:vAlign w:val="center"/>
            <w:hideMark/>
          </w:tcPr>
          <w:p w:rsidR="00BE2DBB" w:rsidRPr="00296152" w:rsidRDefault="00BE2DBB" w:rsidP="00BE2DBB">
            <w:pPr>
              <w:rPr>
                <w:sz w:val="16"/>
                <w:szCs w:val="16"/>
              </w:rPr>
            </w:pPr>
            <w:r w:rsidRPr="00296152">
              <w:rPr>
                <w:sz w:val="16"/>
                <w:szCs w:val="16"/>
              </w:rPr>
              <w:t>учасники бойових дій, постраждалі учасники Революції Гідності, Герої України - у справах, пов'язаних з порушенням їхніх прав</w:t>
            </w:r>
          </w:p>
        </w:tc>
        <w:tc>
          <w:tcPr>
            <w:tcW w:w="1713" w:type="dxa"/>
            <w:shd w:val="clear" w:color="auto" w:fill="auto"/>
            <w:vAlign w:val="center"/>
            <w:hideMark/>
          </w:tcPr>
          <w:p w:rsidR="00BE2DBB" w:rsidRPr="00296152" w:rsidRDefault="00BE2DBB" w:rsidP="00BE2DBB">
            <w:pPr>
              <w:jc w:val="center"/>
              <w:rPr>
                <w:b/>
                <w:bCs/>
                <w:sz w:val="16"/>
                <w:szCs w:val="16"/>
              </w:rPr>
            </w:pPr>
            <w:r w:rsidRPr="00296152">
              <w:rPr>
                <w:b/>
                <w:bCs/>
                <w:sz w:val="16"/>
                <w:szCs w:val="16"/>
              </w:rPr>
              <w:t>13</w:t>
            </w:r>
          </w:p>
        </w:tc>
        <w:tc>
          <w:tcPr>
            <w:tcW w:w="1228" w:type="dxa"/>
            <w:shd w:val="clear" w:color="auto" w:fill="auto"/>
            <w:vAlign w:val="center"/>
            <w:hideMark/>
          </w:tcPr>
          <w:p w:rsidR="00BE2DBB" w:rsidRPr="00296152" w:rsidRDefault="00BE2DBB" w:rsidP="00BE2DBB">
            <w:pPr>
              <w:jc w:val="right"/>
              <w:rPr>
                <w:sz w:val="16"/>
                <w:szCs w:val="16"/>
              </w:rPr>
            </w:pPr>
            <w:r w:rsidRPr="00296152">
              <w:rPr>
                <w:sz w:val="16"/>
                <w:szCs w:val="16"/>
              </w:rPr>
              <w:t>730</w:t>
            </w:r>
          </w:p>
        </w:tc>
        <w:tc>
          <w:tcPr>
            <w:tcW w:w="1446" w:type="dxa"/>
            <w:shd w:val="clear" w:color="auto" w:fill="auto"/>
            <w:vAlign w:val="center"/>
            <w:hideMark/>
          </w:tcPr>
          <w:p w:rsidR="00BE2DBB" w:rsidRPr="00296152" w:rsidRDefault="00BE2DBB" w:rsidP="00BE2DBB">
            <w:pPr>
              <w:jc w:val="right"/>
              <w:rPr>
                <w:sz w:val="16"/>
                <w:szCs w:val="16"/>
              </w:rPr>
            </w:pPr>
            <w:r w:rsidRPr="00296152">
              <w:rPr>
                <w:sz w:val="16"/>
                <w:szCs w:val="16"/>
              </w:rPr>
              <w:t>1 600 436</w:t>
            </w:r>
          </w:p>
        </w:tc>
      </w:tr>
      <w:tr w:rsidR="00BE2DBB" w:rsidRPr="003434C8" w:rsidTr="0014250D">
        <w:trPr>
          <w:trHeight w:val="161"/>
        </w:trPr>
        <w:tc>
          <w:tcPr>
            <w:tcW w:w="603" w:type="dxa"/>
            <w:shd w:val="clear" w:color="auto" w:fill="auto"/>
            <w:noWrap/>
            <w:vAlign w:val="center"/>
          </w:tcPr>
          <w:p w:rsidR="00BE2DBB" w:rsidRPr="00296152" w:rsidRDefault="00BE2DBB" w:rsidP="00BE2DBB">
            <w:pPr>
              <w:jc w:val="center"/>
              <w:rPr>
                <w:sz w:val="16"/>
                <w:szCs w:val="16"/>
              </w:rPr>
            </w:pPr>
            <w:r w:rsidRPr="00296152">
              <w:rPr>
                <w:sz w:val="16"/>
                <w:szCs w:val="16"/>
              </w:rPr>
              <w:t>15</w:t>
            </w:r>
          </w:p>
        </w:tc>
        <w:tc>
          <w:tcPr>
            <w:tcW w:w="4361" w:type="dxa"/>
            <w:shd w:val="clear" w:color="auto" w:fill="auto"/>
            <w:vAlign w:val="center"/>
            <w:hideMark/>
          </w:tcPr>
          <w:p w:rsidR="00BE2DBB" w:rsidRPr="00296152" w:rsidRDefault="00BE2DBB" w:rsidP="00BE2DBB">
            <w:pPr>
              <w:rPr>
                <w:sz w:val="16"/>
                <w:szCs w:val="16"/>
              </w:rPr>
            </w:pPr>
            <w:r w:rsidRPr="00296152">
              <w:rPr>
                <w:sz w:val="16"/>
                <w:szCs w:val="16"/>
              </w:rPr>
              <w:t>позивачі - у справах у порядку, визначеному статтею 12 Закону України "Про біженців та осіб, які потребують додаткового або тимчасового захисту"</w:t>
            </w:r>
          </w:p>
        </w:tc>
        <w:tc>
          <w:tcPr>
            <w:tcW w:w="1713" w:type="dxa"/>
            <w:shd w:val="clear" w:color="auto" w:fill="auto"/>
            <w:vAlign w:val="center"/>
            <w:hideMark/>
          </w:tcPr>
          <w:p w:rsidR="00BE2DBB" w:rsidRPr="00296152" w:rsidRDefault="00BE2DBB" w:rsidP="00BE2DBB">
            <w:pPr>
              <w:jc w:val="center"/>
              <w:rPr>
                <w:b/>
                <w:bCs/>
                <w:sz w:val="16"/>
                <w:szCs w:val="16"/>
              </w:rPr>
            </w:pPr>
            <w:r w:rsidRPr="00296152">
              <w:rPr>
                <w:b/>
                <w:bCs/>
                <w:sz w:val="16"/>
                <w:szCs w:val="16"/>
              </w:rPr>
              <w:t>14</w:t>
            </w:r>
          </w:p>
        </w:tc>
        <w:tc>
          <w:tcPr>
            <w:tcW w:w="1228" w:type="dxa"/>
            <w:shd w:val="clear" w:color="auto" w:fill="auto"/>
            <w:vAlign w:val="center"/>
            <w:hideMark/>
          </w:tcPr>
          <w:p w:rsidR="00BE2DBB" w:rsidRPr="00296152" w:rsidRDefault="00BE2DBB" w:rsidP="00BE2DBB">
            <w:pPr>
              <w:jc w:val="right"/>
              <w:rPr>
                <w:sz w:val="16"/>
                <w:szCs w:val="16"/>
              </w:rPr>
            </w:pPr>
            <w:r w:rsidRPr="00296152">
              <w:rPr>
                <w:sz w:val="16"/>
                <w:szCs w:val="16"/>
              </w:rPr>
              <w:t>9</w:t>
            </w:r>
          </w:p>
        </w:tc>
        <w:tc>
          <w:tcPr>
            <w:tcW w:w="1446" w:type="dxa"/>
            <w:shd w:val="clear" w:color="auto" w:fill="auto"/>
            <w:vAlign w:val="center"/>
            <w:hideMark/>
          </w:tcPr>
          <w:p w:rsidR="00BE2DBB" w:rsidRPr="00296152" w:rsidRDefault="00BE2DBB" w:rsidP="00BE2DBB">
            <w:pPr>
              <w:jc w:val="right"/>
              <w:rPr>
                <w:sz w:val="16"/>
                <w:szCs w:val="16"/>
              </w:rPr>
            </w:pPr>
            <w:r w:rsidRPr="00296152">
              <w:rPr>
                <w:sz w:val="16"/>
                <w:szCs w:val="16"/>
              </w:rPr>
              <w:t>16 353</w:t>
            </w:r>
          </w:p>
        </w:tc>
      </w:tr>
      <w:tr w:rsidR="00BE2DBB" w:rsidRPr="003434C8" w:rsidTr="0014250D">
        <w:trPr>
          <w:trHeight w:val="625"/>
        </w:trPr>
        <w:tc>
          <w:tcPr>
            <w:tcW w:w="603" w:type="dxa"/>
            <w:shd w:val="clear" w:color="auto" w:fill="auto"/>
            <w:noWrap/>
            <w:vAlign w:val="center"/>
          </w:tcPr>
          <w:p w:rsidR="00BE2DBB" w:rsidRPr="00296152" w:rsidRDefault="00BE2DBB" w:rsidP="00BE2DBB">
            <w:pPr>
              <w:jc w:val="center"/>
              <w:rPr>
                <w:sz w:val="16"/>
                <w:szCs w:val="16"/>
              </w:rPr>
            </w:pPr>
            <w:r w:rsidRPr="00296152">
              <w:rPr>
                <w:sz w:val="16"/>
                <w:szCs w:val="16"/>
              </w:rPr>
              <w:t>16</w:t>
            </w:r>
          </w:p>
        </w:tc>
        <w:tc>
          <w:tcPr>
            <w:tcW w:w="4361" w:type="dxa"/>
            <w:shd w:val="clear" w:color="auto" w:fill="auto"/>
            <w:vAlign w:val="center"/>
            <w:hideMark/>
          </w:tcPr>
          <w:p w:rsidR="00BE2DBB" w:rsidRPr="00296152" w:rsidRDefault="00BE2DBB" w:rsidP="00BE2DBB">
            <w:pPr>
              <w:rPr>
                <w:sz w:val="16"/>
                <w:szCs w:val="16"/>
              </w:rPr>
            </w:pPr>
            <w:r w:rsidRPr="00296152">
              <w:rPr>
                <w:sz w:val="16"/>
                <w:szCs w:val="16"/>
              </w:rPr>
              <w:t>фізичні особи (крім суб'єктів підприємницької діяльності) - кредитори, які звертаються з грошовими вимогами до боржника щодо виплати заборгованості із заробітної плати, зобов'язань внаслідок заподіяння шкоди життю та здоров'ю громадян, виплати авторської винагороди та аліментів, - після оголошення про відкриття провадження у справі про банкрутство, а також після повідомлення про визнання боржника банкрутом</w:t>
            </w:r>
          </w:p>
        </w:tc>
        <w:tc>
          <w:tcPr>
            <w:tcW w:w="1713" w:type="dxa"/>
            <w:shd w:val="clear" w:color="auto" w:fill="auto"/>
            <w:vAlign w:val="center"/>
            <w:hideMark/>
          </w:tcPr>
          <w:p w:rsidR="00BE2DBB" w:rsidRPr="00296152" w:rsidRDefault="00BE2DBB" w:rsidP="00BE2DBB">
            <w:pPr>
              <w:jc w:val="center"/>
              <w:rPr>
                <w:b/>
                <w:bCs/>
                <w:sz w:val="16"/>
                <w:szCs w:val="16"/>
              </w:rPr>
            </w:pPr>
            <w:r w:rsidRPr="00296152">
              <w:rPr>
                <w:b/>
                <w:bCs/>
                <w:sz w:val="16"/>
                <w:szCs w:val="16"/>
              </w:rPr>
              <w:t>15</w:t>
            </w:r>
          </w:p>
        </w:tc>
        <w:tc>
          <w:tcPr>
            <w:tcW w:w="1228" w:type="dxa"/>
            <w:shd w:val="clear" w:color="auto" w:fill="auto"/>
            <w:vAlign w:val="center"/>
            <w:hideMark/>
          </w:tcPr>
          <w:p w:rsidR="00BE2DBB" w:rsidRPr="00296152" w:rsidRDefault="00BE2DBB" w:rsidP="00BE2DBB">
            <w:pPr>
              <w:jc w:val="right"/>
              <w:rPr>
                <w:sz w:val="16"/>
                <w:szCs w:val="16"/>
              </w:rPr>
            </w:pPr>
            <w:r w:rsidRPr="00296152">
              <w:rPr>
                <w:sz w:val="16"/>
                <w:szCs w:val="16"/>
              </w:rPr>
              <w:t>0</w:t>
            </w:r>
          </w:p>
        </w:tc>
        <w:tc>
          <w:tcPr>
            <w:tcW w:w="1446" w:type="dxa"/>
            <w:shd w:val="clear" w:color="auto" w:fill="auto"/>
            <w:vAlign w:val="center"/>
            <w:hideMark/>
          </w:tcPr>
          <w:p w:rsidR="00BE2DBB" w:rsidRPr="00296152" w:rsidRDefault="00BE2DBB" w:rsidP="00BE2DBB">
            <w:pPr>
              <w:jc w:val="right"/>
              <w:rPr>
                <w:sz w:val="16"/>
                <w:szCs w:val="16"/>
              </w:rPr>
            </w:pPr>
            <w:r w:rsidRPr="00296152">
              <w:rPr>
                <w:sz w:val="16"/>
                <w:szCs w:val="16"/>
              </w:rPr>
              <w:t>0</w:t>
            </w:r>
          </w:p>
        </w:tc>
      </w:tr>
      <w:tr w:rsidR="00BE2DBB" w:rsidRPr="003434C8" w:rsidTr="0014250D">
        <w:trPr>
          <w:trHeight w:val="168"/>
        </w:trPr>
        <w:tc>
          <w:tcPr>
            <w:tcW w:w="603" w:type="dxa"/>
            <w:shd w:val="clear" w:color="auto" w:fill="auto"/>
            <w:noWrap/>
            <w:vAlign w:val="center"/>
          </w:tcPr>
          <w:p w:rsidR="00BE2DBB" w:rsidRPr="00296152" w:rsidRDefault="00BE2DBB" w:rsidP="00BE2DBB">
            <w:pPr>
              <w:jc w:val="center"/>
              <w:rPr>
                <w:sz w:val="16"/>
                <w:szCs w:val="16"/>
              </w:rPr>
            </w:pPr>
            <w:r w:rsidRPr="00296152">
              <w:rPr>
                <w:sz w:val="16"/>
                <w:szCs w:val="16"/>
              </w:rPr>
              <w:t>17</w:t>
            </w:r>
          </w:p>
        </w:tc>
        <w:tc>
          <w:tcPr>
            <w:tcW w:w="4361" w:type="dxa"/>
            <w:shd w:val="clear" w:color="auto" w:fill="auto"/>
            <w:vAlign w:val="center"/>
            <w:hideMark/>
          </w:tcPr>
          <w:p w:rsidR="00BE2DBB" w:rsidRPr="00296152" w:rsidRDefault="00BE2DBB" w:rsidP="00BE2DBB">
            <w:pPr>
              <w:rPr>
                <w:sz w:val="16"/>
                <w:szCs w:val="16"/>
              </w:rPr>
            </w:pPr>
            <w:r w:rsidRPr="00296152">
              <w:rPr>
                <w:sz w:val="16"/>
                <w:szCs w:val="16"/>
              </w:rPr>
              <w:t xml:space="preserve">органи місцевого самоврядування - за подання заяви про визнання спадщини </w:t>
            </w:r>
            <w:proofErr w:type="spellStart"/>
            <w:r w:rsidRPr="00296152">
              <w:rPr>
                <w:sz w:val="16"/>
                <w:szCs w:val="16"/>
              </w:rPr>
              <w:t>відумерлою</w:t>
            </w:r>
            <w:proofErr w:type="spellEnd"/>
          </w:p>
        </w:tc>
        <w:tc>
          <w:tcPr>
            <w:tcW w:w="1713" w:type="dxa"/>
            <w:shd w:val="clear" w:color="auto" w:fill="auto"/>
            <w:vAlign w:val="center"/>
            <w:hideMark/>
          </w:tcPr>
          <w:p w:rsidR="00BE2DBB" w:rsidRPr="00296152" w:rsidRDefault="00BE2DBB" w:rsidP="00BE2DBB">
            <w:pPr>
              <w:jc w:val="center"/>
              <w:rPr>
                <w:b/>
                <w:bCs/>
                <w:sz w:val="16"/>
                <w:szCs w:val="16"/>
              </w:rPr>
            </w:pPr>
            <w:r w:rsidRPr="00296152">
              <w:rPr>
                <w:b/>
                <w:bCs/>
                <w:sz w:val="16"/>
                <w:szCs w:val="16"/>
              </w:rPr>
              <w:t>15</w:t>
            </w:r>
            <w:r w:rsidRPr="00296152">
              <w:rPr>
                <w:b/>
                <w:bCs/>
                <w:sz w:val="16"/>
                <w:szCs w:val="16"/>
                <w:vertAlign w:val="superscript"/>
              </w:rPr>
              <w:t>1</w:t>
            </w:r>
          </w:p>
        </w:tc>
        <w:tc>
          <w:tcPr>
            <w:tcW w:w="1228" w:type="dxa"/>
            <w:shd w:val="clear" w:color="auto" w:fill="auto"/>
            <w:vAlign w:val="center"/>
            <w:hideMark/>
          </w:tcPr>
          <w:p w:rsidR="00BE2DBB" w:rsidRPr="00296152" w:rsidRDefault="00BE2DBB" w:rsidP="00BE2DBB">
            <w:pPr>
              <w:jc w:val="right"/>
              <w:rPr>
                <w:sz w:val="16"/>
                <w:szCs w:val="16"/>
              </w:rPr>
            </w:pPr>
            <w:r w:rsidRPr="00296152">
              <w:rPr>
                <w:sz w:val="16"/>
                <w:szCs w:val="16"/>
              </w:rPr>
              <w:t>0</w:t>
            </w:r>
          </w:p>
        </w:tc>
        <w:tc>
          <w:tcPr>
            <w:tcW w:w="1446" w:type="dxa"/>
            <w:shd w:val="clear" w:color="auto" w:fill="auto"/>
            <w:vAlign w:val="center"/>
            <w:hideMark/>
          </w:tcPr>
          <w:p w:rsidR="00BE2DBB" w:rsidRPr="00296152" w:rsidRDefault="00BE2DBB" w:rsidP="00BE2DBB">
            <w:pPr>
              <w:jc w:val="right"/>
              <w:rPr>
                <w:sz w:val="16"/>
                <w:szCs w:val="16"/>
              </w:rPr>
            </w:pPr>
            <w:r w:rsidRPr="00296152">
              <w:rPr>
                <w:sz w:val="16"/>
                <w:szCs w:val="16"/>
              </w:rPr>
              <w:t>0</w:t>
            </w:r>
          </w:p>
        </w:tc>
      </w:tr>
      <w:tr w:rsidR="00BE2DBB" w:rsidRPr="003434C8" w:rsidTr="0014250D">
        <w:trPr>
          <w:trHeight w:val="312"/>
        </w:trPr>
        <w:tc>
          <w:tcPr>
            <w:tcW w:w="603" w:type="dxa"/>
            <w:shd w:val="clear" w:color="auto" w:fill="auto"/>
            <w:noWrap/>
            <w:vAlign w:val="center"/>
          </w:tcPr>
          <w:p w:rsidR="00BE2DBB" w:rsidRPr="00296152" w:rsidRDefault="00BE2DBB" w:rsidP="00BE2DBB">
            <w:pPr>
              <w:jc w:val="center"/>
              <w:rPr>
                <w:sz w:val="16"/>
                <w:szCs w:val="16"/>
              </w:rPr>
            </w:pPr>
            <w:r w:rsidRPr="00296152">
              <w:rPr>
                <w:sz w:val="16"/>
                <w:szCs w:val="16"/>
              </w:rPr>
              <w:t>18</w:t>
            </w:r>
          </w:p>
        </w:tc>
        <w:tc>
          <w:tcPr>
            <w:tcW w:w="4361" w:type="dxa"/>
            <w:shd w:val="clear" w:color="auto" w:fill="auto"/>
            <w:vAlign w:val="center"/>
            <w:hideMark/>
          </w:tcPr>
          <w:p w:rsidR="00BE2DBB" w:rsidRPr="00296152" w:rsidRDefault="00BE2DBB" w:rsidP="00BE2DBB">
            <w:pPr>
              <w:rPr>
                <w:sz w:val="16"/>
                <w:szCs w:val="16"/>
              </w:rPr>
            </w:pPr>
            <w:r w:rsidRPr="00296152">
              <w:rPr>
                <w:sz w:val="16"/>
                <w:szCs w:val="16"/>
              </w:rPr>
              <w:t>позивачі - за подання позовів щодо спорів, пов’язаних з наданням статусу учасника бойових дій відповідно до пунктів 19-21 частини першої статті 6 Закону України "Про статус ветеранів війни, гарантії їх соціального захисту"</w:t>
            </w:r>
          </w:p>
        </w:tc>
        <w:tc>
          <w:tcPr>
            <w:tcW w:w="1713" w:type="dxa"/>
            <w:shd w:val="clear" w:color="auto" w:fill="auto"/>
            <w:vAlign w:val="center"/>
            <w:hideMark/>
          </w:tcPr>
          <w:p w:rsidR="00BE2DBB" w:rsidRPr="00296152" w:rsidRDefault="00BE2DBB" w:rsidP="00BE2DBB">
            <w:pPr>
              <w:jc w:val="center"/>
              <w:rPr>
                <w:b/>
                <w:bCs/>
                <w:sz w:val="16"/>
                <w:szCs w:val="16"/>
              </w:rPr>
            </w:pPr>
            <w:r w:rsidRPr="00296152">
              <w:rPr>
                <w:b/>
                <w:bCs/>
                <w:sz w:val="16"/>
                <w:szCs w:val="16"/>
              </w:rPr>
              <w:t>16</w:t>
            </w:r>
          </w:p>
        </w:tc>
        <w:tc>
          <w:tcPr>
            <w:tcW w:w="1228" w:type="dxa"/>
            <w:shd w:val="clear" w:color="auto" w:fill="auto"/>
            <w:vAlign w:val="center"/>
            <w:hideMark/>
          </w:tcPr>
          <w:p w:rsidR="00BE2DBB" w:rsidRPr="00296152" w:rsidRDefault="00BE2DBB" w:rsidP="00BE2DBB">
            <w:pPr>
              <w:jc w:val="right"/>
              <w:rPr>
                <w:sz w:val="16"/>
                <w:szCs w:val="16"/>
              </w:rPr>
            </w:pPr>
            <w:r w:rsidRPr="00296152">
              <w:rPr>
                <w:sz w:val="16"/>
                <w:szCs w:val="16"/>
              </w:rPr>
              <w:t>4</w:t>
            </w:r>
          </w:p>
        </w:tc>
        <w:tc>
          <w:tcPr>
            <w:tcW w:w="1446" w:type="dxa"/>
            <w:shd w:val="clear" w:color="auto" w:fill="auto"/>
            <w:vAlign w:val="center"/>
            <w:hideMark/>
          </w:tcPr>
          <w:p w:rsidR="00BE2DBB" w:rsidRPr="00296152" w:rsidRDefault="00BE2DBB" w:rsidP="00BE2DBB">
            <w:pPr>
              <w:jc w:val="right"/>
              <w:rPr>
                <w:sz w:val="16"/>
                <w:szCs w:val="16"/>
              </w:rPr>
            </w:pPr>
            <w:r w:rsidRPr="00296152">
              <w:rPr>
                <w:sz w:val="16"/>
                <w:szCs w:val="16"/>
              </w:rPr>
              <w:t>7 268</w:t>
            </w:r>
          </w:p>
        </w:tc>
      </w:tr>
      <w:tr w:rsidR="00BE2DBB" w:rsidRPr="003434C8" w:rsidTr="0014250D">
        <w:trPr>
          <w:trHeight w:val="625"/>
        </w:trPr>
        <w:tc>
          <w:tcPr>
            <w:tcW w:w="603" w:type="dxa"/>
            <w:shd w:val="clear" w:color="auto" w:fill="auto"/>
            <w:noWrap/>
            <w:vAlign w:val="center"/>
          </w:tcPr>
          <w:p w:rsidR="00BE2DBB" w:rsidRPr="00296152" w:rsidRDefault="00BE2DBB" w:rsidP="00BE2DBB">
            <w:pPr>
              <w:jc w:val="center"/>
              <w:rPr>
                <w:sz w:val="16"/>
                <w:szCs w:val="16"/>
              </w:rPr>
            </w:pPr>
            <w:r w:rsidRPr="00296152">
              <w:rPr>
                <w:sz w:val="16"/>
                <w:szCs w:val="16"/>
              </w:rPr>
              <w:t>19</w:t>
            </w:r>
          </w:p>
        </w:tc>
        <w:tc>
          <w:tcPr>
            <w:tcW w:w="4361" w:type="dxa"/>
            <w:shd w:val="clear" w:color="auto" w:fill="auto"/>
            <w:vAlign w:val="center"/>
            <w:hideMark/>
          </w:tcPr>
          <w:p w:rsidR="00BE2DBB" w:rsidRPr="00296152" w:rsidRDefault="00BE2DBB" w:rsidP="00BE2DBB">
            <w:pPr>
              <w:rPr>
                <w:sz w:val="16"/>
                <w:szCs w:val="16"/>
              </w:rPr>
            </w:pPr>
            <w:r w:rsidRPr="00296152">
              <w:rPr>
                <w:sz w:val="16"/>
                <w:szCs w:val="16"/>
              </w:rPr>
              <w:t xml:space="preserve">засуджені до покарання у виді довічного позбавлення волі, позбавлення волі на певний строк та до покарань, не пов’язаних з позбавленням волі, а також особи, взяті під варту, - у справах, пов’язаних із питаннями, які вирішуються судом під час виконання </w:t>
            </w:r>
            <w:proofErr w:type="spellStart"/>
            <w:r w:rsidRPr="00296152">
              <w:rPr>
                <w:sz w:val="16"/>
                <w:szCs w:val="16"/>
              </w:rPr>
              <w:t>вироку</w:t>
            </w:r>
            <w:proofErr w:type="spellEnd"/>
            <w:r w:rsidRPr="00296152">
              <w:rPr>
                <w:sz w:val="16"/>
                <w:szCs w:val="16"/>
              </w:rPr>
              <w:t xml:space="preserve"> відповідно до статті 537 Кримінального процесуального кодексу України, у разі відсутності на їхніх особових рахунках коштів, достатніх для сплати судового збору</w:t>
            </w:r>
          </w:p>
        </w:tc>
        <w:tc>
          <w:tcPr>
            <w:tcW w:w="1713" w:type="dxa"/>
            <w:shd w:val="clear" w:color="auto" w:fill="auto"/>
            <w:vAlign w:val="center"/>
            <w:hideMark/>
          </w:tcPr>
          <w:p w:rsidR="00BE2DBB" w:rsidRPr="00296152" w:rsidRDefault="00BE2DBB" w:rsidP="00BE2DBB">
            <w:pPr>
              <w:jc w:val="center"/>
              <w:rPr>
                <w:b/>
                <w:bCs/>
                <w:sz w:val="16"/>
                <w:szCs w:val="16"/>
              </w:rPr>
            </w:pPr>
            <w:r w:rsidRPr="00296152">
              <w:rPr>
                <w:b/>
                <w:bCs/>
                <w:sz w:val="16"/>
                <w:szCs w:val="16"/>
              </w:rPr>
              <w:t>17</w:t>
            </w:r>
          </w:p>
        </w:tc>
        <w:tc>
          <w:tcPr>
            <w:tcW w:w="1228" w:type="dxa"/>
            <w:shd w:val="clear" w:color="auto" w:fill="auto"/>
            <w:vAlign w:val="center"/>
            <w:hideMark/>
          </w:tcPr>
          <w:p w:rsidR="00BE2DBB" w:rsidRPr="00296152" w:rsidRDefault="00BE2DBB" w:rsidP="00BE2DBB">
            <w:pPr>
              <w:jc w:val="right"/>
              <w:rPr>
                <w:sz w:val="16"/>
                <w:szCs w:val="16"/>
              </w:rPr>
            </w:pPr>
            <w:r w:rsidRPr="00296152">
              <w:rPr>
                <w:sz w:val="16"/>
                <w:szCs w:val="16"/>
              </w:rPr>
              <w:t>9</w:t>
            </w:r>
          </w:p>
        </w:tc>
        <w:tc>
          <w:tcPr>
            <w:tcW w:w="1446" w:type="dxa"/>
            <w:shd w:val="clear" w:color="auto" w:fill="auto"/>
            <w:vAlign w:val="center"/>
            <w:hideMark/>
          </w:tcPr>
          <w:p w:rsidR="00BE2DBB" w:rsidRPr="00296152" w:rsidRDefault="00BE2DBB" w:rsidP="00BE2DBB">
            <w:pPr>
              <w:jc w:val="right"/>
              <w:rPr>
                <w:sz w:val="16"/>
                <w:szCs w:val="16"/>
              </w:rPr>
            </w:pPr>
            <w:r w:rsidRPr="00296152">
              <w:rPr>
                <w:sz w:val="16"/>
                <w:szCs w:val="16"/>
              </w:rPr>
              <w:t>21 197</w:t>
            </w:r>
          </w:p>
        </w:tc>
      </w:tr>
      <w:tr w:rsidR="00BE2DBB" w:rsidRPr="003434C8" w:rsidTr="0014250D">
        <w:trPr>
          <w:trHeight w:val="327"/>
        </w:trPr>
        <w:tc>
          <w:tcPr>
            <w:tcW w:w="603" w:type="dxa"/>
            <w:shd w:val="clear" w:color="auto" w:fill="auto"/>
            <w:noWrap/>
            <w:vAlign w:val="center"/>
          </w:tcPr>
          <w:p w:rsidR="00BE2DBB" w:rsidRPr="00296152" w:rsidRDefault="00BE2DBB" w:rsidP="00BE2DBB">
            <w:pPr>
              <w:jc w:val="center"/>
              <w:rPr>
                <w:sz w:val="16"/>
                <w:szCs w:val="16"/>
              </w:rPr>
            </w:pPr>
            <w:r w:rsidRPr="00296152">
              <w:rPr>
                <w:sz w:val="16"/>
                <w:szCs w:val="16"/>
              </w:rPr>
              <w:t>20</w:t>
            </w:r>
          </w:p>
        </w:tc>
        <w:tc>
          <w:tcPr>
            <w:tcW w:w="4361" w:type="dxa"/>
            <w:shd w:val="clear" w:color="auto" w:fill="auto"/>
            <w:vAlign w:val="center"/>
            <w:hideMark/>
          </w:tcPr>
          <w:p w:rsidR="00BE2DBB" w:rsidRPr="00296152" w:rsidRDefault="00BE2DBB" w:rsidP="00BE2DBB">
            <w:pPr>
              <w:rPr>
                <w:sz w:val="16"/>
                <w:szCs w:val="16"/>
              </w:rPr>
            </w:pPr>
            <w:r w:rsidRPr="00296152">
              <w:rPr>
                <w:sz w:val="16"/>
                <w:szCs w:val="16"/>
              </w:rPr>
              <w:t>центральний орган виконавчої влади, що реалізує державну політику з питань нагляду та контролю за додержанням законодавства про працю, його територіальні органи</w:t>
            </w:r>
          </w:p>
        </w:tc>
        <w:tc>
          <w:tcPr>
            <w:tcW w:w="1713" w:type="dxa"/>
            <w:shd w:val="clear" w:color="auto" w:fill="auto"/>
            <w:vAlign w:val="center"/>
            <w:hideMark/>
          </w:tcPr>
          <w:p w:rsidR="00BE2DBB" w:rsidRPr="00296152" w:rsidRDefault="00BE2DBB" w:rsidP="00BE2DBB">
            <w:pPr>
              <w:jc w:val="center"/>
              <w:rPr>
                <w:b/>
                <w:bCs/>
                <w:sz w:val="16"/>
                <w:szCs w:val="16"/>
              </w:rPr>
            </w:pPr>
            <w:r w:rsidRPr="00296152">
              <w:rPr>
                <w:b/>
                <w:bCs/>
                <w:sz w:val="16"/>
                <w:szCs w:val="16"/>
              </w:rPr>
              <w:t>20</w:t>
            </w:r>
          </w:p>
        </w:tc>
        <w:tc>
          <w:tcPr>
            <w:tcW w:w="1228" w:type="dxa"/>
            <w:shd w:val="clear" w:color="auto" w:fill="auto"/>
            <w:vAlign w:val="center"/>
            <w:hideMark/>
          </w:tcPr>
          <w:p w:rsidR="00BE2DBB" w:rsidRPr="00296152" w:rsidRDefault="00BE2DBB" w:rsidP="00BE2DBB">
            <w:pPr>
              <w:jc w:val="right"/>
              <w:rPr>
                <w:sz w:val="16"/>
                <w:szCs w:val="16"/>
              </w:rPr>
            </w:pPr>
            <w:r w:rsidRPr="00296152">
              <w:rPr>
                <w:sz w:val="16"/>
                <w:szCs w:val="16"/>
              </w:rPr>
              <w:t>31</w:t>
            </w:r>
          </w:p>
        </w:tc>
        <w:tc>
          <w:tcPr>
            <w:tcW w:w="1446" w:type="dxa"/>
            <w:shd w:val="clear" w:color="auto" w:fill="auto"/>
            <w:vAlign w:val="center"/>
            <w:hideMark/>
          </w:tcPr>
          <w:p w:rsidR="00BE2DBB" w:rsidRPr="00296152" w:rsidRDefault="00BE2DBB" w:rsidP="00BE2DBB">
            <w:pPr>
              <w:jc w:val="right"/>
              <w:rPr>
                <w:sz w:val="16"/>
                <w:szCs w:val="16"/>
              </w:rPr>
            </w:pPr>
            <w:r w:rsidRPr="00296152">
              <w:rPr>
                <w:sz w:val="16"/>
                <w:szCs w:val="16"/>
              </w:rPr>
              <w:t>111 735</w:t>
            </w:r>
          </w:p>
        </w:tc>
      </w:tr>
      <w:tr w:rsidR="00BE2DBB" w:rsidRPr="003434C8" w:rsidTr="0014250D">
        <w:trPr>
          <w:trHeight w:val="1080"/>
        </w:trPr>
        <w:tc>
          <w:tcPr>
            <w:tcW w:w="603" w:type="dxa"/>
            <w:shd w:val="clear" w:color="auto" w:fill="auto"/>
            <w:noWrap/>
            <w:vAlign w:val="center"/>
          </w:tcPr>
          <w:p w:rsidR="00BE2DBB" w:rsidRPr="00296152" w:rsidRDefault="00BE2DBB" w:rsidP="00BE2DBB">
            <w:pPr>
              <w:jc w:val="center"/>
              <w:rPr>
                <w:sz w:val="16"/>
                <w:szCs w:val="16"/>
              </w:rPr>
            </w:pPr>
            <w:r w:rsidRPr="00296152">
              <w:rPr>
                <w:sz w:val="16"/>
                <w:szCs w:val="16"/>
              </w:rPr>
              <w:t>21</w:t>
            </w:r>
          </w:p>
        </w:tc>
        <w:tc>
          <w:tcPr>
            <w:tcW w:w="4361" w:type="dxa"/>
            <w:shd w:val="clear" w:color="auto" w:fill="auto"/>
            <w:vAlign w:val="center"/>
            <w:hideMark/>
          </w:tcPr>
          <w:p w:rsidR="00BE2DBB" w:rsidRPr="00296152" w:rsidRDefault="00BE2DBB" w:rsidP="00BE2DBB">
            <w:pPr>
              <w:rPr>
                <w:sz w:val="16"/>
                <w:szCs w:val="16"/>
              </w:rPr>
            </w:pPr>
            <w:r w:rsidRPr="00296152">
              <w:rPr>
                <w:sz w:val="16"/>
                <w:szCs w:val="16"/>
              </w:rPr>
              <w:t>заявники - у справах за заявами про встановлення фактів, що мають юридичне значення, поданих у зв'язку із збройною агресією, збройним конфліктом, тимчасовою окупацією території України, надзвичайними ситуаціями природного чи техногенного характеру, що призвели до вимушеного переселення з тимчасово окупованих територій України, загибелі, поранення, перебування в полоні, незаконного позбавлення волі або викрадення, втрати документів, необхідних для отримання компенсації за пошкоджені та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а також порушення права власності на рухоме та/або нерухоме майно</w:t>
            </w:r>
          </w:p>
        </w:tc>
        <w:tc>
          <w:tcPr>
            <w:tcW w:w="1713" w:type="dxa"/>
            <w:shd w:val="clear" w:color="auto" w:fill="auto"/>
            <w:vAlign w:val="center"/>
            <w:hideMark/>
          </w:tcPr>
          <w:p w:rsidR="00BE2DBB" w:rsidRPr="00296152" w:rsidRDefault="00BE2DBB" w:rsidP="00BE2DBB">
            <w:pPr>
              <w:jc w:val="center"/>
              <w:rPr>
                <w:b/>
                <w:bCs/>
                <w:sz w:val="16"/>
                <w:szCs w:val="16"/>
              </w:rPr>
            </w:pPr>
            <w:r w:rsidRPr="00296152">
              <w:rPr>
                <w:b/>
                <w:bCs/>
                <w:sz w:val="16"/>
                <w:szCs w:val="16"/>
              </w:rPr>
              <w:t>21</w:t>
            </w:r>
          </w:p>
        </w:tc>
        <w:tc>
          <w:tcPr>
            <w:tcW w:w="1228" w:type="dxa"/>
            <w:shd w:val="clear" w:color="auto" w:fill="auto"/>
            <w:vAlign w:val="center"/>
            <w:hideMark/>
          </w:tcPr>
          <w:p w:rsidR="00BE2DBB" w:rsidRPr="00296152" w:rsidRDefault="00BE2DBB" w:rsidP="00BE2DBB">
            <w:pPr>
              <w:jc w:val="right"/>
              <w:rPr>
                <w:sz w:val="16"/>
                <w:szCs w:val="16"/>
              </w:rPr>
            </w:pPr>
            <w:r w:rsidRPr="00296152">
              <w:rPr>
                <w:sz w:val="16"/>
                <w:szCs w:val="16"/>
              </w:rPr>
              <w:t>0</w:t>
            </w:r>
          </w:p>
        </w:tc>
        <w:tc>
          <w:tcPr>
            <w:tcW w:w="1446" w:type="dxa"/>
            <w:shd w:val="clear" w:color="auto" w:fill="auto"/>
            <w:vAlign w:val="center"/>
            <w:hideMark/>
          </w:tcPr>
          <w:p w:rsidR="00BE2DBB" w:rsidRPr="00296152" w:rsidRDefault="00BE2DBB" w:rsidP="00BE2DBB">
            <w:pPr>
              <w:jc w:val="right"/>
              <w:rPr>
                <w:sz w:val="16"/>
                <w:szCs w:val="16"/>
              </w:rPr>
            </w:pPr>
            <w:r w:rsidRPr="00296152">
              <w:rPr>
                <w:sz w:val="16"/>
                <w:szCs w:val="16"/>
              </w:rPr>
              <w:t>0</w:t>
            </w:r>
          </w:p>
        </w:tc>
      </w:tr>
      <w:tr w:rsidR="00BE2DBB" w:rsidRPr="003434C8" w:rsidTr="0014250D">
        <w:trPr>
          <w:trHeight w:val="770"/>
        </w:trPr>
        <w:tc>
          <w:tcPr>
            <w:tcW w:w="603" w:type="dxa"/>
            <w:shd w:val="clear" w:color="auto" w:fill="auto"/>
            <w:noWrap/>
            <w:vAlign w:val="center"/>
          </w:tcPr>
          <w:p w:rsidR="00BE2DBB" w:rsidRPr="00296152" w:rsidRDefault="00BE2DBB" w:rsidP="00BE2DBB">
            <w:pPr>
              <w:jc w:val="center"/>
              <w:rPr>
                <w:sz w:val="16"/>
                <w:szCs w:val="16"/>
              </w:rPr>
            </w:pPr>
            <w:r w:rsidRPr="00296152">
              <w:rPr>
                <w:sz w:val="16"/>
                <w:szCs w:val="16"/>
              </w:rPr>
              <w:t>22</w:t>
            </w:r>
          </w:p>
        </w:tc>
        <w:tc>
          <w:tcPr>
            <w:tcW w:w="4361" w:type="dxa"/>
            <w:shd w:val="clear" w:color="auto" w:fill="auto"/>
            <w:vAlign w:val="center"/>
            <w:hideMark/>
          </w:tcPr>
          <w:p w:rsidR="00BE2DBB" w:rsidRPr="00296152" w:rsidRDefault="00BE2DBB" w:rsidP="00BE2DBB">
            <w:pPr>
              <w:rPr>
                <w:sz w:val="16"/>
                <w:szCs w:val="16"/>
              </w:rPr>
            </w:pPr>
            <w:r w:rsidRPr="00296152">
              <w:rPr>
                <w:sz w:val="16"/>
                <w:szCs w:val="16"/>
              </w:rPr>
              <w:t>позивачі - у справах за позовами до держави-агресора Російської Федерації про відшкодування завданої майнової та/або моральної шкоди у зв'язку з тимчасовою окупацією території України, збройною агресією, збройним конфліктом, що призвели до вимушеного переселення з тимчасово окупованих територій України, загибелі, поранення, перебування в полоні, незаконного позбавлення волі або викрадення, а також порушення права власності на рухоме та/або нерухоме майно</w:t>
            </w:r>
          </w:p>
        </w:tc>
        <w:tc>
          <w:tcPr>
            <w:tcW w:w="1713" w:type="dxa"/>
            <w:shd w:val="clear" w:color="auto" w:fill="auto"/>
            <w:vAlign w:val="center"/>
            <w:hideMark/>
          </w:tcPr>
          <w:p w:rsidR="00BE2DBB" w:rsidRPr="00296152" w:rsidRDefault="00BE2DBB" w:rsidP="00BE2DBB">
            <w:pPr>
              <w:jc w:val="center"/>
              <w:rPr>
                <w:b/>
                <w:bCs/>
                <w:sz w:val="16"/>
                <w:szCs w:val="16"/>
              </w:rPr>
            </w:pPr>
            <w:r w:rsidRPr="00296152">
              <w:rPr>
                <w:b/>
                <w:bCs/>
                <w:sz w:val="16"/>
                <w:szCs w:val="16"/>
              </w:rPr>
              <w:t>22</w:t>
            </w:r>
          </w:p>
        </w:tc>
        <w:tc>
          <w:tcPr>
            <w:tcW w:w="1228" w:type="dxa"/>
            <w:shd w:val="clear" w:color="auto" w:fill="auto"/>
            <w:vAlign w:val="center"/>
            <w:hideMark/>
          </w:tcPr>
          <w:p w:rsidR="00BE2DBB" w:rsidRPr="00296152" w:rsidRDefault="00BE2DBB" w:rsidP="00BE2DBB">
            <w:pPr>
              <w:jc w:val="right"/>
              <w:rPr>
                <w:sz w:val="16"/>
                <w:szCs w:val="16"/>
              </w:rPr>
            </w:pPr>
            <w:r w:rsidRPr="00296152">
              <w:rPr>
                <w:sz w:val="16"/>
                <w:szCs w:val="16"/>
              </w:rPr>
              <w:t>0</w:t>
            </w:r>
          </w:p>
        </w:tc>
        <w:tc>
          <w:tcPr>
            <w:tcW w:w="1446" w:type="dxa"/>
            <w:shd w:val="clear" w:color="auto" w:fill="auto"/>
            <w:vAlign w:val="center"/>
            <w:hideMark/>
          </w:tcPr>
          <w:p w:rsidR="00BE2DBB" w:rsidRPr="00296152" w:rsidRDefault="00BE2DBB" w:rsidP="00BE2DBB">
            <w:pPr>
              <w:jc w:val="right"/>
              <w:rPr>
                <w:sz w:val="16"/>
                <w:szCs w:val="16"/>
              </w:rPr>
            </w:pPr>
            <w:r w:rsidRPr="00296152">
              <w:rPr>
                <w:sz w:val="16"/>
                <w:szCs w:val="16"/>
              </w:rPr>
              <w:t>0</w:t>
            </w:r>
          </w:p>
        </w:tc>
      </w:tr>
      <w:tr w:rsidR="00BE2DBB" w:rsidRPr="003434C8" w:rsidTr="0014250D">
        <w:trPr>
          <w:trHeight w:val="245"/>
        </w:trPr>
        <w:tc>
          <w:tcPr>
            <w:tcW w:w="603" w:type="dxa"/>
            <w:shd w:val="clear" w:color="auto" w:fill="auto"/>
            <w:noWrap/>
            <w:vAlign w:val="center"/>
          </w:tcPr>
          <w:p w:rsidR="00BE2DBB" w:rsidRPr="00296152" w:rsidRDefault="00BE2DBB" w:rsidP="00BE2DBB">
            <w:pPr>
              <w:jc w:val="center"/>
              <w:rPr>
                <w:sz w:val="16"/>
                <w:szCs w:val="16"/>
              </w:rPr>
            </w:pPr>
            <w:r w:rsidRPr="00296152">
              <w:rPr>
                <w:sz w:val="16"/>
                <w:szCs w:val="16"/>
              </w:rPr>
              <w:t>23</w:t>
            </w:r>
          </w:p>
        </w:tc>
        <w:tc>
          <w:tcPr>
            <w:tcW w:w="4361" w:type="dxa"/>
            <w:shd w:val="clear" w:color="auto" w:fill="auto"/>
            <w:vAlign w:val="center"/>
            <w:hideMark/>
          </w:tcPr>
          <w:p w:rsidR="00BE2DBB" w:rsidRPr="00296152" w:rsidRDefault="00BE2DBB" w:rsidP="00BE2DBB">
            <w:pPr>
              <w:rPr>
                <w:sz w:val="16"/>
                <w:szCs w:val="16"/>
              </w:rPr>
            </w:pPr>
            <w:r w:rsidRPr="00296152">
              <w:rPr>
                <w:sz w:val="16"/>
                <w:szCs w:val="16"/>
              </w:rPr>
              <w:t>позивачі - за подання позовів щодо оскарження рішень Національної комісії з реабілітації у правовідносинах, що виникли на підставі Закону України "Про реабілітацію жертв репресій комуністичного тоталітарного режиму 1917-1991 років"</w:t>
            </w:r>
          </w:p>
        </w:tc>
        <w:tc>
          <w:tcPr>
            <w:tcW w:w="1713" w:type="dxa"/>
            <w:shd w:val="clear" w:color="auto" w:fill="auto"/>
            <w:vAlign w:val="center"/>
            <w:hideMark/>
          </w:tcPr>
          <w:p w:rsidR="00BE2DBB" w:rsidRPr="00296152" w:rsidRDefault="00BE2DBB" w:rsidP="00BE2DBB">
            <w:pPr>
              <w:jc w:val="center"/>
              <w:rPr>
                <w:b/>
                <w:bCs/>
                <w:sz w:val="16"/>
                <w:szCs w:val="16"/>
              </w:rPr>
            </w:pPr>
            <w:r w:rsidRPr="00296152">
              <w:rPr>
                <w:b/>
                <w:bCs/>
                <w:sz w:val="16"/>
                <w:szCs w:val="16"/>
              </w:rPr>
              <w:t>23</w:t>
            </w:r>
          </w:p>
        </w:tc>
        <w:tc>
          <w:tcPr>
            <w:tcW w:w="1228" w:type="dxa"/>
            <w:shd w:val="clear" w:color="auto" w:fill="auto"/>
            <w:vAlign w:val="center"/>
            <w:hideMark/>
          </w:tcPr>
          <w:p w:rsidR="00BE2DBB" w:rsidRPr="00296152" w:rsidRDefault="00BE2DBB" w:rsidP="00BE2DBB">
            <w:pPr>
              <w:jc w:val="right"/>
              <w:rPr>
                <w:sz w:val="16"/>
                <w:szCs w:val="16"/>
              </w:rPr>
            </w:pPr>
            <w:r w:rsidRPr="00296152">
              <w:rPr>
                <w:sz w:val="16"/>
                <w:szCs w:val="16"/>
              </w:rPr>
              <w:t>0</w:t>
            </w:r>
          </w:p>
        </w:tc>
        <w:tc>
          <w:tcPr>
            <w:tcW w:w="1446" w:type="dxa"/>
            <w:shd w:val="clear" w:color="auto" w:fill="auto"/>
            <w:vAlign w:val="center"/>
            <w:hideMark/>
          </w:tcPr>
          <w:p w:rsidR="00BE2DBB" w:rsidRPr="00296152" w:rsidRDefault="00BE2DBB" w:rsidP="00BE2DBB">
            <w:pPr>
              <w:jc w:val="right"/>
              <w:rPr>
                <w:sz w:val="16"/>
                <w:szCs w:val="16"/>
              </w:rPr>
            </w:pPr>
            <w:r w:rsidRPr="00296152">
              <w:rPr>
                <w:sz w:val="16"/>
                <w:szCs w:val="16"/>
              </w:rPr>
              <w:t>0</w:t>
            </w:r>
          </w:p>
        </w:tc>
      </w:tr>
      <w:tr w:rsidR="00BE2DBB" w:rsidRPr="003434C8" w:rsidTr="0014250D">
        <w:trPr>
          <w:trHeight w:val="336"/>
        </w:trPr>
        <w:tc>
          <w:tcPr>
            <w:tcW w:w="603" w:type="dxa"/>
            <w:shd w:val="clear" w:color="auto" w:fill="auto"/>
            <w:noWrap/>
            <w:vAlign w:val="center"/>
          </w:tcPr>
          <w:p w:rsidR="00BE2DBB" w:rsidRPr="00296152" w:rsidRDefault="00BE2DBB" w:rsidP="00BE2DBB">
            <w:pPr>
              <w:jc w:val="center"/>
              <w:rPr>
                <w:sz w:val="16"/>
                <w:szCs w:val="16"/>
              </w:rPr>
            </w:pPr>
            <w:r w:rsidRPr="00296152">
              <w:rPr>
                <w:sz w:val="16"/>
                <w:szCs w:val="16"/>
              </w:rPr>
              <w:t>24</w:t>
            </w:r>
          </w:p>
        </w:tc>
        <w:tc>
          <w:tcPr>
            <w:tcW w:w="4361" w:type="dxa"/>
            <w:shd w:val="clear" w:color="auto" w:fill="auto"/>
            <w:vAlign w:val="center"/>
            <w:hideMark/>
          </w:tcPr>
          <w:p w:rsidR="00BE2DBB" w:rsidRPr="00296152" w:rsidRDefault="00BE2DBB" w:rsidP="00BE2DBB">
            <w:pPr>
              <w:rPr>
                <w:sz w:val="16"/>
                <w:szCs w:val="16"/>
              </w:rPr>
            </w:pPr>
            <w:r w:rsidRPr="00296152">
              <w:rPr>
                <w:sz w:val="16"/>
                <w:szCs w:val="16"/>
              </w:rPr>
              <w:t>Фонд гарантування вкладів фізичних осіб - за подання позовів, предметом яких є відшкодування шкоди (збитків), у порядку, визначеному статтею 52 Закону України "Про систему гарантування вкладів фізичних осіб"</w:t>
            </w:r>
          </w:p>
        </w:tc>
        <w:tc>
          <w:tcPr>
            <w:tcW w:w="1713" w:type="dxa"/>
            <w:shd w:val="clear" w:color="auto" w:fill="auto"/>
            <w:vAlign w:val="center"/>
            <w:hideMark/>
          </w:tcPr>
          <w:p w:rsidR="00BE2DBB" w:rsidRPr="00296152" w:rsidRDefault="00BE2DBB" w:rsidP="00BE2DBB">
            <w:pPr>
              <w:jc w:val="center"/>
              <w:rPr>
                <w:b/>
                <w:bCs/>
                <w:sz w:val="16"/>
                <w:szCs w:val="16"/>
              </w:rPr>
            </w:pPr>
            <w:r w:rsidRPr="00296152">
              <w:rPr>
                <w:b/>
                <w:bCs/>
                <w:sz w:val="16"/>
                <w:szCs w:val="16"/>
              </w:rPr>
              <w:t>24</w:t>
            </w:r>
          </w:p>
        </w:tc>
        <w:tc>
          <w:tcPr>
            <w:tcW w:w="1228" w:type="dxa"/>
            <w:shd w:val="clear" w:color="auto" w:fill="auto"/>
            <w:vAlign w:val="center"/>
            <w:hideMark/>
          </w:tcPr>
          <w:p w:rsidR="00BE2DBB" w:rsidRPr="00296152" w:rsidRDefault="00BE2DBB" w:rsidP="00BE2DBB">
            <w:pPr>
              <w:jc w:val="right"/>
              <w:rPr>
                <w:sz w:val="16"/>
                <w:szCs w:val="16"/>
              </w:rPr>
            </w:pPr>
            <w:r w:rsidRPr="00296152">
              <w:rPr>
                <w:sz w:val="16"/>
                <w:szCs w:val="16"/>
              </w:rPr>
              <w:t>0</w:t>
            </w:r>
          </w:p>
        </w:tc>
        <w:tc>
          <w:tcPr>
            <w:tcW w:w="1446" w:type="dxa"/>
            <w:shd w:val="clear" w:color="auto" w:fill="auto"/>
            <w:vAlign w:val="center"/>
            <w:hideMark/>
          </w:tcPr>
          <w:p w:rsidR="00BE2DBB" w:rsidRPr="00296152" w:rsidRDefault="00BE2DBB" w:rsidP="00BE2DBB">
            <w:pPr>
              <w:jc w:val="right"/>
              <w:rPr>
                <w:sz w:val="16"/>
                <w:szCs w:val="16"/>
              </w:rPr>
            </w:pPr>
            <w:r w:rsidRPr="00296152">
              <w:rPr>
                <w:sz w:val="16"/>
                <w:szCs w:val="16"/>
              </w:rPr>
              <w:t>0</w:t>
            </w:r>
          </w:p>
        </w:tc>
      </w:tr>
      <w:tr w:rsidR="00BE2DBB" w:rsidRPr="003434C8" w:rsidTr="0014250D">
        <w:trPr>
          <w:trHeight w:val="468"/>
        </w:trPr>
        <w:tc>
          <w:tcPr>
            <w:tcW w:w="603" w:type="dxa"/>
            <w:shd w:val="clear" w:color="auto" w:fill="auto"/>
            <w:noWrap/>
            <w:vAlign w:val="center"/>
          </w:tcPr>
          <w:p w:rsidR="00BE2DBB" w:rsidRPr="00296152" w:rsidRDefault="00BE2DBB" w:rsidP="00BE2DBB">
            <w:pPr>
              <w:jc w:val="center"/>
              <w:rPr>
                <w:sz w:val="16"/>
                <w:szCs w:val="16"/>
              </w:rPr>
            </w:pPr>
            <w:r w:rsidRPr="00296152">
              <w:rPr>
                <w:sz w:val="16"/>
                <w:szCs w:val="16"/>
              </w:rPr>
              <w:t>25</w:t>
            </w:r>
          </w:p>
        </w:tc>
        <w:tc>
          <w:tcPr>
            <w:tcW w:w="4361" w:type="dxa"/>
            <w:shd w:val="clear" w:color="auto" w:fill="auto"/>
            <w:vAlign w:val="center"/>
            <w:hideMark/>
          </w:tcPr>
          <w:p w:rsidR="00BE2DBB" w:rsidRPr="00296152" w:rsidRDefault="00BE2DBB" w:rsidP="00BE2DBB">
            <w:pPr>
              <w:rPr>
                <w:sz w:val="16"/>
                <w:szCs w:val="16"/>
              </w:rPr>
            </w:pPr>
            <w:r w:rsidRPr="00296152">
              <w:rPr>
                <w:sz w:val="16"/>
                <w:szCs w:val="16"/>
              </w:rPr>
              <w:t>центральний орган виконавчої влади, що забезпечує реалізацію державної політики у сфері стягнення в дохід держави активів осіб, щодо яких застосовано санкції, - у справах про застосування санкції, передбаченої пунктом 1-1 частини першої статті 4 Закону України "Про санкції"</w:t>
            </w:r>
          </w:p>
        </w:tc>
        <w:tc>
          <w:tcPr>
            <w:tcW w:w="1713" w:type="dxa"/>
            <w:shd w:val="clear" w:color="auto" w:fill="auto"/>
            <w:vAlign w:val="center"/>
            <w:hideMark/>
          </w:tcPr>
          <w:p w:rsidR="00BE2DBB" w:rsidRPr="00296152" w:rsidRDefault="00BE2DBB" w:rsidP="00BE2DBB">
            <w:pPr>
              <w:jc w:val="center"/>
              <w:rPr>
                <w:b/>
                <w:bCs/>
                <w:sz w:val="16"/>
                <w:szCs w:val="16"/>
              </w:rPr>
            </w:pPr>
            <w:r w:rsidRPr="00296152">
              <w:rPr>
                <w:b/>
                <w:bCs/>
                <w:sz w:val="16"/>
                <w:szCs w:val="16"/>
              </w:rPr>
              <w:t>25</w:t>
            </w:r>
          </w:p>
        </w:tc>
        <w:tc>
          <w:tcPr>
            <w:tcW w:w="1228" w:type="dxa"/>
            <w:shd w:val="clear" w:color="auto" w:fill="auto"/>
            <w:vAlign w:val="center"/>
            <w:hideMark/>
          </w:tcPr>
          <w:p w:rsidR="00BE2DBB" w:rsidRPr="00296152" w:rsidRDefault="00BE2DBB" w:rsidP="00BE2DBB">
            <w:pPr>
              <w:jc w:val="right"/>
              <w:rPr>
                <w:sz w:val="16"/>
                <w:szCs w:val="16"/>
              </w:rPr>
            </w:pPr>
            <w:r w:rsidRPr="00296152">
              <w:rPr>
                <w:sz w:val="16"/>
                <w:szCs w:val="16"/>
              </w:rPr>
              <w:t>0</w:t>
            </w:r>
          </w:p>
        </w:tc>
        <w:tc>
          <w:tcPr>
            <w:tcW w:w="1446" w:type="dxa"/>
            <w:shd w:val="clear" w:color="auto" w:fill="auto"/>
            <w:vAlign w:val="center"/>
            <w:hideMark/>
          </w:tcPr>
          <w:p w:rsidR="00BE2DBB" w:rsidRPr="00296152" w:rsidRDefault="00BE2DBB" w:rsidP="00BE2DBB">
            <w:pPr>
              <w:jc w:val="right"/>
              <w:rPr>
                <w:sz w:val="16"/>
                <w:szCs w:val="16"/>
              </w:rPr>
            </w:pPr>
            <w:r w:rsidRPr="00296152">
              <w:rPr>
                <w:sz w:val="16"/>
                <w:szCs w:val="16"/>
              </w:rPr>
              <w:t>0</w:t>
            </w:r>
          </w:p>
        </w:tc>
      </w:tr>
      <w:tr w:rsidR="00BE2DBB" w:rsidRPr="003434C8" w:rsidTr="0014250D">
        <w:trPr>
          <w:trHeight w:val="319"/>
        </w:trPr>
        <w:tc>
          <w:tcPr>
            <w:tcW w:w="603" w:type="dxa"/>
            <w:shd w:val="clear" w:color="auto" w:fill="auto"/>
            <w:noWrap/>
            <w:vAlign w:val="center"/>
          </w:tcPr>
          <w:p w:rsidR="00BE2DBB" w:rsidRPr="00296152" w:rsidRDefault="00BE2DBB" w:rsidP="00BE2DBB">
            <w:pPr>
              <w:jc w:val="center"/>
              <w:rPr>
                <w:sz w:val="16"/>
                <w:szCs w:val="16"/>
              </w:rPr>
            </w:pPr>
            <w:r w:rsidRPr="00296152">
              <w:rPr>
                <w:sz w:val="16"/>
                <w:szCs w:val="16"/>
              </w:rPr>
              <w:t>26</w:t>
            </w:r>
          </w:p>
        </w:tc>
        <w:tc>
          <w:tcPr>
            <w:tcW w:w="4361" w:type="dxa"/>
            <w:shd w:val="clear" w:color="auto" w:fill="auto"/>
            <w:vAlign w:val="center"/>
            <w:hideMark/>
          </w:tcPr>
          <w:p w:rsidR="00BE2DBB" w:rsidRPr="00296152" w:rsidRDefault="00BE2DBB" w:rsidP="00BE2DBB">
            <w:pPr>
              <w:rPr>
                <w:sz w:val="16"/>
                <w:szCs w:val="16"/>
              </w:rPr>
            </w:pPr>
            <w:r w:rsidRPr="00296152">
              <w:rPr>
                <w:sz w:val="16"/>
                <w:szCs w:val="16"/>
              </w:rPr>
              <w:t>Національна рада України з питань телебачення і радіомовлення на час дії воєнного стану - за подання позовів, предметом яких є стягнення штрафу</w:t>
            </w:r>
          </w:p>
        </w:tc>
        <w:tc>
          <w:tcPr>
            <w:tcW w:w="1713" w:type="dxa"/>
            <w:shd w:val="clear" w:color="auto" w:fill="auto"/>
            <w:vAlign w:val="center"/>
            <w:hideMark/>
          </w:tcPr>
          <w:p w:rsidR="00BE2DBB" w:rsidRPr="00296152" w:rsidRDefault="00BE2DBB" w:rsidP="00BE2DBB">
            <w:pPr>
              <w:jc w:val="center"/>
              <w:rPr>
                <w:b/>
                <w:bCs/>
                <w:sz w:val="16"/>
                <w:szCs w:val="16"/>
              </w:rPr>
            </w:pPr>
            <w:r w:rsidRPr="00296152">
              <w:rPr>
                <w:b/>
                <w:bCs/>
                <w:sz w:val="16"/>
                <w:szCs w:val="16"/>
              </w:rPr>
              <w:t>26</w:t>
            </w:r>
          </w:p>
        </w:tc>
        <w:tc>
          <w:tcPr>
            <w:tcW w:w="1228" w:type="dxa"/>
            <w:shd w:val="clear" w:color="auto" w:fill="auto"/>
            <w:vAlign w:val="center"/>
            <w:hideMark/>
          </w:tcPr>
          <w:p w:rsidR="00BE2DBB" w:rsidRPr="00296152" w:rsidRDefault="00BE2DBB" w:rsidP="00BE2DBB">
            <w:pPr>
              <w:jc w:val="right"/>
              <w:rPr>
                <w:sz w:val="16"/>
                <w:szCs w:val="16"/>
              </w:rPr>
            </w:pPr>
            <w:r w:rsidRPr="00296152">
              <w:rPr>
                <w:sz w:val="16"/>
                <w:szCs w:val="16"/>
              </w:rPr>
              <w:t>0</w:t>
            </w:r>
          </w:p>
        </w:tc>
        <w:tc>
          <w:tcPr>
            <w:tcW w:w="1446" w:type="dxa"/>
            <w:shd w:val="clear" w:color="auto" w:fill="auto"/>
            <w:vAlign w:val="center"/>
            <w:hideMark/>
          </w:tcPr>
          <w:p w:rsidR="00BE2DBB" w:rsidRPr="00296152" w:rsidRDefault="00BE2DBB" w:rsidP="00BE2DBB">
            <w:pPr>
              <w:jc w:val="right"/>
              <w:rPr>
                <w:sz w:val="16"/>
                <w:szCs w:val="16"/>
              </w:rPr>
            </w:pPr>
            <w:r w:rsidRPr="00296152">
              <w:rPr>
                <w:sz w:val="16"/>
                <w:szCs w:val="16"/>
              </w:rPr>
              <w:t>0</w:t>
            </w:r>
          </w:p>
        </w:tc>
      </w:tr>
      <w:tr w:rsidR="00BE2DBB" w:rsidRPr="003434C8" w:rsidTr="0014250D">
        <w:trPr>
          <w:trHeight w:val="312"/>
        </w:trPr>
        <w:tc>
          <w:tcPr>
            <w:tcW w:w="603" w:type="dxa"/>
            <w:shd w:val="clear" w:color="auto" w:fill="auto"/>
            <w:noWrap/>
            <w:vAlign w:val="center"/>
          </w:tcPr>
          <w:p w:rsidR="00BE2DBB" w:rsidRPr="00296152" w:rsidRDefault="00BE2DBB" w:rsidP="00BE2DBB">
            <w:pPr>
              <w:jc w:val="center"/>
              <w:rPr>
                <w:sz w:val="16"/>
                <w:szCs w:val="16"/>
              </w:rPr>
            </w:pPr>
            <w:r w:rsidRPr="00296152">
              <w:rPr>
                <w:sz w:val="16"/>
                <w:szCs w:val="16"/>
              </w:rPr>
              <w:lastRenderedPageBreak/>
              <w:t>27</w:t>
            </w:r>
          </w:p>
        </w:tc>
        <w:tc>
          <w:tcPr>
            <w:tcW w:w="4361" w:type="dxa"/>
            <w:shd w:val="clear" w:color="auto" w:fill="auto"/>
            <w:vAlign w:val="center"/>
            <w:hideMark/>
          </w:tcPr>
          <w:p w:rsidR="00BE2DBB" w:rsidRPr="00296152" w:rsidRDefault="00BE2DBB" w:rsidP="00BE2DBB">
            <w:pPr>
              <w:rPr>
                <w:sz w:val="16"/>
                <w:szCs w:val="16"/>
              </w:rPr>
            </w:pPr>
            <w:r w:rsidRPr="00296152">
              <w:rPr>
                <w:sz w:val="16"/>
                <w:szCs w:val="16"/>
              </w:rPr>
              <w:t>центральний орган виконавчої влади, що реалізує державну податкову політику, його територіальні органи - в частині стягнення сум податкового боргу, заборгованості зі сплати єдиного внеску на загальнообов'язкове державне соціальне страхування</w:t>
            </w:r>
          </w:p>
        </w:tc>
        <w:tc>
          <w:tcPr>
            <w:tcW w:w="1713" w:type="dxa"/>
            <w:shd w:val="clear" w:color="auto" w:fill="auto"/>
            <w:vAlign w:val="center"/>
            <w:hideMark/>
          </w:tcPr>
          <w:p w:rsidR="00BE2DBB" w:rsidRPr="00296152" w:rsidRDefault="00BE2DBB" w:rsidP="00BE2DBB">
            <w:pPr>
              <w:jc w:val="center"/>
              <w:rPr>
                <w:b/>
                <w:bCs/>
                <w:sz w:val="16"/>
                <w:szCs w:val="16"/>
              </w:rPr>
            </w:pPr>
            <w:r w:rsidRPr="00296152">
              <w:rPr>
                <w:b/>
                <w:bCs/>
                <w:sz w:val="16"/>
                <w:szCs w:val="16"/>
              </w:rPr>
              <w:t>27</w:t>
            </w:r>
          </w:p>
        </w:tc>
        <w:tc>
          <w:tcPr>
            <w:tcW w:w="1228" w:type="dxa"/>
            <w:shd w:val="clear" w:color="auto" w:fill="auto"/>
            <w:vAlign w:val="center"/>
            <w:hideMark/>
          </w:tcPr>
          <w:p w:rsidR="00BE2DBB" w:rsidRPr="00296152" w:rsidRDefault="00BE2DBB" w:rsidP="00BE2DBB">
            <w:pPr>
              <w:jc w:val="right"/>
              <w:rPr>
                <w:sz w:val="16"/>
                <w:szCs w:val="16"/>
              </w:rPr>
            </w:pPr>
            <w:r w:rsidRPr="00296152">
              <w:rPr>
                <w:sz w:val="16"/>
                <w:szCs w:val="16"/>
              </w:rPr>
              <w:t>18</w:t>
            </w:r>
          </w:p>
        </w:tc>
        <w:tc>
          <w:tcPr>
            <w:tcW w:w="1446" w:type="dxa"/>
            <w:shd w:val="clear" w:color="auto" w:fill="auto"/>
            <w:vAlign w:val="center"/>
            <w:hideMark/>
          </w:tcPr>
          <w:p w:rsidR="00BE2DBB" w:rsidRPr="00296152" w:rsidRDefault="00BE2DBB" w:rsidP="00BE2DBB">
            <w:pPr>
              <w:jc w:val="right"/>
              <w:rPr>
                <w:sz w:val="16"/>
                <w:szCs w:val="16"/>
              </w:rPr>
            </w:pPr>
            <w:r w:rsidRPr="00296152">
              <w:rPr>
                <w:sz w:val="16"/>
                <w:szCs w:val="16"/>
              </w:rPr>
              <w:t>64 800</w:t>
            </w:r>
          </w:p>
        </w:tc>
      </w:tr>
      <w:tr w:rsidR="00BE2DBB" w:rsidRPr="003434C8" w:rsidTr="0014250D">
        <w:trPr>
          <w:trHeight w:val="312"/>
        </w:trPr>
        <w:tc>
          <w:tcPr>
            <w:tcW w:w="603" w:type="dxa"/>
            <w:shd w:val="clear" w:color="auto" w:fill="auto"/>
            <w:noWrap/>
            <w:vAlign w:val="center"/>
          </w:tcPr>
          <w:p w:rsidR="00BE2DBB" w:rsidRPr="00296152" w:rsidRDefault="00BE2DBB" w:rsidP="00BE2DBB">
            <w:pPr>
              <w:jc w:val="center"/>
              <w:rPr>
                <w:sz w:val="16"/>
                <w:szCs w:val="16"/>
              </w:rPr>
            </w:pPr>
            <w:r w:rsidRPr="00296152">
              <w:rPr>
                <w:sz w:val="16"/>
                <w:szCs w:val="16"/>
              </w:rPr>
              <w:t>28</w:t>
            </w:r>
          </w:p>
        </w:tc>
        <w:tc>
          <w:tcPr>
            <w:tcW w:w="4361" w:type="dxa"/>
            <w:shd w:val="clear" w:color="auto" w:fill="auto"/>
            <w:vAlign w:val="center"/>
            <w:hideMark/>
          </w:tcPr>
          <w:p w:rsidR="00BE2DBB" w:rsidRPr="00296152" w:rsidRDefault="00BE2DBB" w:rsidP="00BE2DBB">
            <w:pPr>
              <w:rPr>
                <w:sz w:val="16"/>
                <w:szCs w:val="16"/>
              </w:rPr>
            </w:pPr>
            <w:r w:rsidRPr="00296152">
              <w:rPr>
                <w:sz w:val="16"/>
                <w:szCs w:val="16"/>
              </w:rPr>
              <w:t>позивачі - за подання позовів щодо стягнення штрафів за правопорушення у галузі цивільної авіації, вчинені суб'єктами авіаційної діяльності на тимчасово окупованій території</w:t>
            </w:r>
          </w:p>
        </w:tc>
        <w:tc>
          <w:tcPr>
            <w:tcW w:w="1713" w:type="dxa"/>
            <w:shd w:val="clear" w:color="auto" w:fill="auto"/>
            <w:vAlign w:val="center"/>
            <w:hideMark/>
          </w:tcPr>
          <w:p w:rsidR="00BE2DBB" w:rsidRPr="00296152" w:rsidRDefault="00BE2DBB" w:rsidP="00BE2DBB">
            <w:pPr>
              <w:jc w:val="center"/>
              <w:rPr>
                <w:b/>
                <w:bCs/>
                <w:sz w:val="16"/>
                <w:szCs w:val="16"/>
              </w:rPr>
            </w:pPr>
            <w:r w:rsidRPr="00296152">
              <w:rPr>
                <w:b/>
                <w:bCs/>
                <w:sz w:val="16"/>
                <w:szCs w:val="16"/>
              </w:rPr>
              <w:t>28</w:t>
            </w:r>
          </w:p>
        </w:tc>
        <w:tc>
          <w:tcPr>
            <w:tcW w:w="1228" w:type="dxa"/>
            <w:shd w:val="clear" w:color="auto" w:fill="auto"/>
            <w:vAlign w:val="center"/>
            <w:hideMark/>
          </w:tcPr>
          <w:p w:rsidR="00BE2DBB" w:rsidRPr="00296152" w:rsidRDefault="00BE2DBB" w:rsidP="00BE2DBB">
            <w:pPr>
              <w:jc w:val="right"/>
              <w:rPr>
                <w:sz w:val="16"/>
                <w:szCs w:val="16"/>
              </w:rPr>
            </w:pPr>
            <w:r w:rsidRPr="00296152">
              <w:rPr>
                <w:sz w:val="16"/>
                <w:szCs w:val="16"/>
              </w:rPr>
              <w:t>0</w:t>
            </w:r>
          </w:p>
        </w:tc>
        <w:tc>
          <w:tcPr>
            <w:tcW w:w="1446" w:type="dxa"/>
            <w:shd w:val="clear" w:color="auto" w:fill="auto"/>
            <w:vAlign w:val="center"/>
            <w:hideMark/>
          </w:tcPr>
          <w:p w:rsidR="00BE2DBB" w:rsidRPr="00296152" w:rsidRDefault="00BE2DBB" w:rsidP="00BE2DBB">
            <w:pPr>
              <w:jc w:val="right"/>
              <w:rPr>
                <w:sz w:val="16"/>
                <w:szCs w:val="16"/>
              </w:rPr>
            </w:pPr>
            <w:r w:rsidRPr="00296152">
              <w:rPr>
                <w:sz w:val="16"/>
                <w:szCs w:val="16"/>
              </w:rPr>
              <w:t>0</w:t>
            </w:r>
          </w:p>
        </w:tc>
      </w:tr>
      <w:tr w:rsidR="00BE2DBB" w:rsidRPr="003434C8" w:rsidTr="0014250D">
        <w:trPr>
          <w:trHeight w:val="149"/>
        </w:trPr>
        <w:tc>
          <w:tcPr>
            <w:tcW w:w="603" w:type="dxa"/>
            <w:shd w:val="clear" w:color="auto" w:fill="auto"/>
            <w:noWrap/>
            <w:vAlign w:val="center"/>
          </w:tcPr>
          <w:p w:rsidR="00BE2DBB" w:rsidRPr="00296152" w:rsidRDefault="00BE2DBB" w:rsidP="00BE2DBB">
            <w:pPr>
              <w:jc w:val="center"/>
              <w:rPr>
                <w:sz w:val="16"/>
                <w:szCs w:val="16"/>
              </w:rPr>
            </w:pPr>
            <w:r w:rsidRPr="00296152">
              <w:rPr>
                <w:sz w:val="16"/>
                <w:szCs w:val="16"/>
              </w:rPr>
              <w:t>29</w:t>
            </w:r>
          </w:p>
        </w:tc>
        <w:tc>
          <w:tcPr>
            <w:tcW w:w="4361" w:type="dxa"/>
            <w:shd w:val="clear" w:color="auto" w:fill="auto"/>
            <w:vAlign w:val="center"/>
            <w:hideMark/>
          </w:tcPr>
          <w:p w:rsidR="00BE2DBB" w:rsidRPr="00296152" w:rsidRDefault="00BE2DBB" w:rsidP="00BE2DBB">
            <w:pPr>
              <w:rPr>
                <w:sz w:val="16"/>
                <w:szCs w:val="16"/>
              </w:rPr>
            </w:pPr>
            <w:r w:rsidRPr="00296152">
              <w:rPr>
                <w:sz w:val="16"/>
                <w:szCs w:val="16"/>
              </w:rPr>
              <w:t>Інші пільги</w:t>
            </w:r>
          </w:p>
        </w:tc>
        <w:tc>
          <w:tcPr>
            <w:tcW w:w="1713" w:type="dxa"/>
            <w:shd w:val="clear" w:color="auto" w:fill="auto"/>
            <w:vAlign w:val="center"/>
            <w:hideMark/>
          </w:tcPr>
          <w:p w:rsidR="00BE2DBB" w:rsidRPr="00296152" w:rsidRDefault="00BE2DBB" w:rsidP="00BE2DBB">
            <w:pPr>
              <w:jc w:val="center"/>
              <w:rPr>
                <w:b/>
                <w:bCs/>
                <w:sz w:val="16"/>
                <w:szCs w:val="16"/>
              </w:rPr>
            </w:pPr>
            <w:r w:rsidRPr="00296152">
              <w:rPr>
                <w:b/>
                <w:bCs/>
                <w:sz w:val="16"/>
                <w:szCs w:val="16"/>
              </w:rPr>
              <w:t>Х</w:t>
            </w:r>
          </w:p>
        </w:tc>
        <w:tc>
          <w:tcPr>
            <w:tcW w:w="1228" w:type="dxa"/>
            <w:shd w:val="clear" w:color="auto" w:fill="auto"/>
            <w:vAlign w:val="center"/>
            <w:hideMark/>
          </w:tcPr>
          <w:p w:rsidR="00BE2DBB" w:rsidRPr="00296152" w:rsidRDefault="00BE2DBB" w:rsidP="00BE2DBB">
            <w:pPr>
              <w:jc w:val="right"/>
              <w:rPr>
                <w:sz w:val="16"/>
                <w:szCs w:val="16"/>
              </w:rPr>
            </w:pPr>
            <w:r w:rsidRPr="00296152">
              <w:rPr>
                <w:sz w:val="16"/>
                <w:szCs w:val="16"/>
              </w:rPr>
              <w:t>0</w:t>
            </w:r>
          </w:p>
        </w:tc>
        <w:tc>
          <w:tcPr>
            <w:tcW w:w="1446" w:type="dxa"/>
            <w:shd w:val="clear" w:color="auto" w:fill="auto"/>
            <w:vAlign w:val="center"/>
            <w:hideMark/>
          </w:tcPr>
          <w:p w:rsidR="00BE2DBB" w:rsidRPr="00296152" w:rsidRDefault="00BE2DBB" w:rsidP="00BE2DBB">
            <w:pPr>
              <w:jc w:val="right"/>
              <w:rPr>
                <w:sz w:val="16"/>
                <w:szCs w:val="16"/>
              </w:rPr>
            </w:pPr>
            <w:r w:rsidRPr="00296152">
              <w:rPr>
                <w:sz w:val="16"/>
                <w:szCs w:val="16"/>
              </w:rPr>
              <w:t>0</w:t>
            </w:r>
          </w:p>
        </w:tc>
      </w:tr>
    </w:tbl>
    <w:p w:rsidR="00925471" w:rsidRDefault="00925471" w:rsidP="00296152">
      <w:pPr>
        <w:jc w:val="both"/>
      </w:pPr>
    </w:p>
    <w:p w:rsidR="00742132" w:rsidRDefault="00742132" w:rsidP="00C5477F">
      <w:pPr>
        <w:pStyle w:val="3"/>
        <w:tabs>
          <w:tab w:val="clear" w:pos="540"/>
          <w:tab w:val="left" w:pos="0"/>
        </w:tabs>
        <w:contextualSpacing/>
        <w:rPr>
          <w:sz w:val="24"/>
        </w:rPr>
      </w:pPr>
      <w:r>
        <w:rPr>
          <w:sz w:val="24"/>
        </w:rPr>
        <w:tab/>
      </w:r>
      <w:r w:rsidR="00925471" w:rsidRPr="00914D3A">
        <w:rPr>
          <w:sz w:val="24"/>
        </w:rPr>
        <w:t>За підсумками проведеного огляду</w:t>
      </w:r>
      <w:r w:rsidR="00925471" w:rsidRPr="00914D3A">
        <w:rPr>
          <w:noProof/>
          <w:sz w:val="24"/>
        </w:rPr>
        <w:t xml:space="preserve"> </w:t>
      </w:r>
      <w:r w:rsidR="00914D3A" w:rsidRPr="00914D3A">
        <w:rPr>
          <w:noProof/>
          <w:sz w:val="24"/>
        </w:rPr>
        <w:t xml:space="preserve">даних про стан здійснення правосуддя </w:t>
      </w:r>
      <w:r w:rsidR="00925471" w:rsidRPr="00914D3A">
        <w:rPr>
          <w:noProof/>
          <w:sz w:val="24"/>
        </w:rPr>
        <w:t>Третім апеляційним адміністративним судом за 202</w:t>
      </w:r>
      <w:r w:rsidR="00914D3A" w:rsidRPr="00914D3A">
        <w:rPr>
          <w:noProof/>
          <w:sz w:val="24"/>
        </w:rPr>
        <w:t>5</w:t>
      </w:r>
      <w:r w:rsidR="00925471" w:rsidRPr="00914D3A">
        <w:rPr>
          <w:noProof/>
          <w:sz w:val="24"/>
        </w:rPr>
        <w:t xml:space="preserve"> рік</w:t>
      </w:r>
      <w:r w:rsidR="00914D3A" w:rsidRPr="00914D3A">
        <w:rPr>
          <w:noProof/>
          <w:sz w:val="24"/>
        </w:rPr>
        <w:t xml:space="preserve">, </w:t>
      </w:r>
      <w:r w:rsidR="00914D3A" w:rsidRPr="00914D3A">
        <w:rPr>
          <w:sz w:val="24"/>
        </w:rPr>
        <w:t>з</w:t>
      </w:r>
      <w:r w:rsidR="00AA5AC5" w:rsidRPr="00914D3A">
        <w:rPr>
          <w:sz w:val="24"/>
        </w:rPr>
        <w:t>агаль</w:t>
      </w:r>
      <w:r w:rsidR="00914D3A" w:rsidRPr="00914D3A">
        <w:rPr>
          <w:sz w:val="24"/>
        </w:rPr>
        <w:t xml:space="preserve">ний стан здійснення судочинства </w:t>
      </w:r>
      <w:r w:rsidR="00AA5AC5" w:rsidRPr="00914D3A">
        <w:rPr>
          <w:sz w:val="24"/>
        </w:rPr>
        <w:t>в цілому відповідає</w:t>
      </w:r>
      <w:r>
        <w:rPr>
          <w:sz w:val="24"/>
        </w:rPr>
        <w:t xml:space="preserve"> вимогам чинного законодавства. </w:t>
      </w:r>
    </w:p>
    <w:p w:rsidR="00742132" w:rsidRDefault="00742132" w:rsidP="000F1266">
      <w:pPr>
        <w:pStyle w:val="3"/>
        <w:tabs>
          <w:tab w:val="clear" w:pos="540"/>
          <w:tab w:val="left" w:pos="0"/>
        </w:tabs>
        <w:contextualSpacing/>
        <w:rPr>
          <w:sz w:val="24"/>
        </w:rPr>
      </w:pPr>
      <w:r>
        <w:rPr>
          <w:sz w:val="24"/>
        </w:rPr>
        <w:tab/>
      </w:r>
      <w:r w:rsidR="00914D3A">
        <w:rPr>
          <w:sz w:val="24"/>
        </w:rPr>
        <w:t xml:space="preserve">У звітному періоді значно збільшилось надходження та </w:t>
      </w:r>
      <w:r w:rsidR="00FE7962">
        <w:rPr>
          <w:sz w:val="24"/>
        </w:rPr>
        <w:t xml:space="preserve">кількість розглянутих </w:t>
      </w:r>
      <w:r w:rsidR="00C5477F">
        <w:rPr>
          <w:sz w:val="24"/>
        </w:rPr>
        <w:t xml:space="preserve">апеляційних скарг і матеріалів </w:t>
      </w:r>
      <w:r w:rsidR="00FE7962">
        <w:rPr>
          <w:sz w:val="24"/>
        </w:rPr>
        <w:t xml:space="preserve">у порівнянні </w:t>
      </w:r>
      <w:r w:rsidR="002106DE">
        <w:rPr>
          <w:sz w:val="24"/>
        </w:rPr>
        <w:t>з показниками 2023 та 2024 роками</w:t>
      </w:r>
      <w:r w:rsidR="00FE7962">
        <w:rPr>
          <w:sz w:val="24"/>
        </w:rPr>
        <w:t>.</w:t>
      </w:r>
    </w:p>
    <w:p w:rsidR="00742132" w:rsidRDefault="00742132" w:rsidP="00742132">
      <w:pPr>
        <w:pStyle w:val="3"/>
        <w:tabs>
          <w:tab w:val="clear" w:pos="540"/>
          <w:tab w:val="left" w:pos="0"/>
        </w:tabs>
        <w:contextualSpacing/>
        <w:rPr>
          <w:sz w:val="24"/>
        </w:rPr>
      </w:pPr>
      <w:r>
        <w:rPr>
          <w:sz w:val="24"/>
        </w:rPr>
        <w:tab/>
      </w:r>
      <w:r w:rsidR="00C5477F">
        <w:rPr>
          <w:sz w:val="24"/>
        </w:rPr>
        <w:t xml:space="preserve">З урахуванням кількісного складу суддів Третього апеляційного адміністративного суду, середня кількість </w:t>
      </w:r>
      <w:r w:rsidR="00E47BC0">
        <w:rPr>
          <w:sz w:val="24"/>
        </w:rPr>
        <w:t>справ</w:t>
      </w:r>
      <w:r w:rsidR="000F1266">
        <w:rPr>
          <w:sz w:val="24"/>
        </w:rPr>
        <w:t xml:space="preserve"> і </w:t>
      </w:r>
      <w:r w:rsidR="00C5477F">
        <w:rPr>
          <w:sz w:val="24"/>
        </w:rPr>
        <w:t>матеріалів,</w:t>
      </w:r>
      <w:r w:rsidR="00E47BC0">
        <w:rPr>
          <w:sz w:val="24"/>
        </w:rPr>
        <w:t xml:space="preserve"> що </w:t>
      </w:r>
      <w:r w:rsidR="00C5477F">
        <w:rPr>
          <w:sz w:val="24"/>
        </w:rPr>
        <w:t>перебували на розгляді</w:t>
      </w:r>
      <w:r w:rsidR="00E47BC0">
        <w:rPr>
          <w:sz w:val="24"/>
        </w:rPr>
        <w:t xml:space="preserve"> в звітний період із числа апеляційних</w:t>
      </w:r>
      <w:r w:rsidR="000F1266">
        <w:rPr>
          <w:sz w:val="24"/>
        </w:rPr>
        <w:t xml:space="preserve"> скарг і матеріалів </w:t>
      </w:r>
      <w:r w:rsidR="00C5477F">
        <w:rPr>
          <w:sz w:val="24"/>
        </w:rPr>
        <w:t>в розрахунку на одного суддю збільшилася та залишається на високому рівні.</w:t>
      </w:r>
      <w:r w:rsidR="00914D3A">
        <w:rPr>
          <w:sz w:val="24"/>
        </w:rPr>
        <w:t xml:space="preserve"> </w:t>
      </w:r>
    </w:p>
    <w:p w:rsidR="003F7EB2" w:rsidRDefault="00742132" w:rsidP="00742132">
      <w:pPr>
        <w:pStyle w:val="3"/>
        <w:tabs>
          <w:tab w:val="clear" w:pos="540"/>
          <w:tab w:val="left" w:pos="0"/>
        </w:tabs>
        <w:contextualSpacing/>
        <w:rPr>
          <w:noProof/>
          <w:sz w:val="24"/>
        </w:rPr>
      </w:pPr>
      <w:r>
        <w:rPr>
          <w:sz w:val="24"/>
        </w:rPr>
        <w:tab/>
      </w:r>
      <w:r w:rsidR="00BB4F37" w:rsidRPr="00742132">
        <w:rPr>
          <w:sz w:val="24"/>
        </w:rPr>
        <w:t>Крім того, с</w:t>
      </w:r>
      <w:r w:rsidR="00AA5AC5" w:rsidRPr="00742132">
        <w:rPr>
          <w:sz w:val="24"/>
        </w:rPr>
        <w:t xml:space="preserve">удом приймаються всі можливі заходи щодо поліпшення якості розгляду справ </w:t>
      </w:r>
      <w:r w:rsidR="00BD0817" w:rsidRPr="00742132">
        <w:rPr>
          <w:sz w:val="24"/>
        </w:rPr>
        <w:t>і</w:t>
      </w:r>
      <w:r w:rsidR="00AA5AC5" w:rsidRPr="00742132">
        <w:rPr>
          <w:sz w:val="24"/>
        </w:rPr>
        <w:t xml:space="preserve"> покращенн</w:t>
      </w:r>
      <w:r w:rsidR="00F02848" w:rsidRPr="00742132">
        <w:rPr>
          <w:sz w:val="24"/>
        </w:rPr>
        <w:t>я стану здійснення судочинства</w:t>
      </w:r>
      <w:r w:rsidR="00910533" w:rsidRPr="00742132">
        <w:rPr>
          <w:sz w:val="24"/>
        </w:rPr>
        <w:t xml:space="preserve">. Питання, що виникають під час </w:t>
      </w:r>
      <w:r w:rsidR="00F02848" w:rsidRPr="00742132">
        <w:rPr>
          <w:sz w:val="24"/>
        </w:rPr>
        <w:t xml:space="preserve">роботи, </w:t>
      </w:r>
      <w:r w:rsidR="00910533" w:rsidRPr="00742132">
        <w:rPr>
          <w:sz w:val="24"/>
        </w:rPr>
        <w:t xml:space="preserve">вирішуються в робочому порядку. </w:t>
      </w:r>
      <w:r w:rsidR="00BB4F37" w:rsidRPr="00742132">
        <w:rPr>
          <w:noProof/>
          <w:sz w:val="24"/>
        </w:rPr>
        <w:t xml:space="preserve">Також, відповідно до </w:t>
      </w:r>
      <w:r w:rsidR="002C1837" w:rsidRPr="00742132">
        <w:rPr>
          <w:noProof/>
          <w:sz w:val="24"/>
        </w:rPr>
        <w:t>аналіз</w:t>
      </w:r>
      <w:r w:rsidR="00BB4F37" w:rsidRPr="00742132">
        <w:rPr>
          <w:noProof/>
          <w:sz w:val="24"/>
        </w:rPr>
        <w:t>у</w:t>
      </w:r>
      <w:r w:rsidR="002C1837" w:rsidRPr="00742132">
        <w:rPr>
          <w:noProof/>
          <w:sz w:val="24"/>
        </w:rPr>
        <w:t xml:space="preserve"> надходження </w:t>
      </w:r>
      <w:r w:rsidR="00441CCA" w:rsidRPr="00742132">
        <w:rPr>
          <w:noProof/>
          <w:sz w:val="24"/>
        </w:rPr>
        <w:t>адміністративних апеляційних скарг і матеріалів</w:t>
      </w:r>
      <w:r w:rsidR="00226009" w:rsidRPr="00742132">
        <w:rPr>
          <w:noProof/>
          <w:sz w:val="24"/>
        </w:rPr>
        <w:t xml:space="preserve"> до суду протягом 20</w:t>
      </w:r>
      <w:r w:rsidR="004F47F2" w:rsidRPr="00742132">
        <w:rPr>
          <w:noProof/>
          <w:sz w:val="24"/>
        </w:rPr>
        <w:t>2</w:t>
      </w:r>
      <w:r w:rsidR="00C5477F" w:rsidRPr="00742132">
        <w:rPr>
          <w:noProof/>
          <w:sz w:val="24"/>
        </w:rPr>
        <w:t>5</w:t>
      </w:r>
      <w:r w:rsidR="00226009" w:rsidRPr="00742132">
        <w:rPr>
          <w:noProof/>
          <w:sz w:val="24"/>
        </w:rPr>
        <w:t xml:space="preserve"> року</w:t>
      </w:r>
      <w:r w:rsidR="0010798B" w:rsidRPr="00742132">
        <w:rPr>
          <w:noProof/>
          <w:sz w:val="24"/>
        </w:rPr>
        <w:t xml:space="preserve">, </w:t>
      </w:r>
      <w:r w:rsidR="002C1837" w:rsidRPr="00742132">
        <w:rPr>
          <w:noProof/>
          <w:sz w:val="24"/>
        </w:rPr>
        <w:t xml:space="preserve">звернення до суду продовжує залишатися для значної кількості громадян важливим засобом вирішення проблем, захисту своїх прав та інтересів. </w:t>
      </w:r>
    </w:p>
    <w:p w:rsidR="00742132" w:rsidRDefault="00742132" w:rsidP="00742132">
      <w:pPr>
        <w:pStyle w:val="3"/>
        <w:tabs>
          <w:tab w:val="clear" w:pos="540"/>
          <w:tab w:val="left" w:pos="0"/>
        </w:tabs>
        <w:contextualSpacing/>
        <w:rPr>
          <w:noProof/>
          <w:sz w:val="24"/>
        </w:rPr>
      </w:pPr>
    </w:p>
    <w:p w:rsidR="00742132" w:rsidRPr="00742132" w:rsidRDefault="00742132" w:rsidP="00742132">
      <w:pPr>
        <w:pStyle w:val="3"/>
        <w:tabs>
          <w:tab w:val="clear" w:pos="540"/>
          <w:tab w:val="left" w:pos="0"/>
        </w:tabs>
        <w:contextualSpacing/>
        <w:rPr>
          <w:sz w:val="24"/>
        </w:rPr>
      </w:pPr>
    </w:p>
    <w:p w:rsidR="00742132" w:rsidRPr="00742132" w:rsidRDefault="00D6709E" w:rsidP="00742132">
      <w:pPr>
        <w:jc w:val="both"/>
        <w:rPr>
          <w:b/>
          <w:noProof/>
        </w:rPr>
      </w:pPr>
      <w:r w:rsidRPr="003434C8">
        <w:rPr>
          <w:b/>
          <w:noProof/>
        </w:rPr>
        <w:t xml:space="preserve">Голова суду </w:t>
      </w:r>
      <w:r w:rsidR="003F7EB2" w:rsidRPr="003434C8">
        <w:rPr>
          <w:b/>
          <w:noProof/>
        </w:rPr>
        <w:t xml:space="preserve">                                                                </w:t>
      </w:r>
      <w:r w:rsidR="0063700D" w:rsidRPr="003434C8">
        <w:rPr>
          <w:b/>
          <w:noProof/>
        </w:rPr>
        <w:t xml:space="preserve">                          </w:t>
      </w:r>
      <w:r w:rsidR="002B6BB1">
        <w:rPr>
          <w:b/>
          <w:noProof/>
        </w:rPr>
        <w:t xml:space="preserve">        </w:t>
      </w:r>
      <w:r w:rsidR="0063700D" w:rsidRPr="003434C8">
        <w:rPr>
          <w:b/>
          <w:noProof/>
        </w:rPr>
        <w:t xml:space="preserve"> </w:t>
      </w:r>
      <w:r w:rsidR="002B6BB1">
        <w:rPr>
          <w:b/>
          <w:noProof/>
        </w:rPr>
        <w:t xml:space="preserve">    Анатолій КОРШУН</w:t>
      </w:r>
    </w:p>
    <w:p w:rsidR="00CC507E" w:rsidRDefault="00CC507E" w:rsidP="006B7B89">
      <w:pPr>
        <w:rPr>
          <w:sz w:val="20"/>
          <w:szCs w:val="20"/>
        </w:rPr>
      </w:pPr>
    </w:p>
    <w:p w:rsidR="00CC507E" w:rsidRDefault="00CC507E" w:rsidP="006B7B89">
      <w:pPr>
        <w:rPr>
          <w:sz w:val="20"/>
          <w:szCs w:val="20"/>
        </w:rPr>
      </w:pPr>
    </w:p>
    <w:p w:rsidR="00812FA7" w:rsidRDefault="00812FA7" w:rsidP="006B7B89">
      <w:pPr>
        <w:rPr>
          <w:sz w:val="20"/>
          <w:szCs w:val="20"/>
        </w:rPr>
      </w:pPr>
    </w:p>
    <w:p w:rsidR="00812FA7" w:rsidRDefault="00812FA7" w:rsidP="006B7B89">
      <w:pPr>
        <w:rPr>
          <w:sz w:val="20"/>
          <w:szCs w:val="20"/>
        </w:rPr>
      </w:pPr>
    </w:p>
    <w:p w:rsidR="00812FA7" w:rsidRDefault="00812FA7" w:rsidP="006B7B89">
      <w:pPr>
        <w:rPr>
          <w:sz w:val="20"/>
          <w:szCs w:val="20"/>
        </w:rPr>
      </w:pPr>
    </w:p>
    <w:p w:rsidR="00812FA7" w:rsidRDefault="00812FA7" w:rsidP="006B7B89">
      <w:pPr>
        <w:rPr>
          <w:sz w:val="20"/>
          <w:szCs w:val="20"/>
        </w:rPr>
      </w:pPr>
    </w:p>
    <w:p w:rsidR="00812FA7" w:rsidRDefault="00812FA7" w:rsidP="006B7B89">
      <w:pPr>
        <w:rPr>
          <w:sz w:val="20"/>
          <w:szCs w:val="20"/>
        </w:rPr>
      </w:pPr>
    </w:p>
    <w:p w:rsidR="00812FA7" w:rsidRDefault="00812FA7" w:rsidP="006B7B89">
      <w:pPr>
        <w:rPr>
          <w:sz w:val="20"/>
          <w:szCs w:val="20"/>
        </w:rPr>
      </w:pPr>
    </w:p>
    <w:p w:rsidR="00812FA7" w:rsidRDefault="00812FA7" w:rsidP="006B7B89">
      <w:pPr>
        <w:rPr>
          <w:sz w:val="20"/>
          <w:szCs w:val="20"/>
        </w:rPr>
      </w:pPr>
    </w:p>
    <w:p w:rsidR="00812FA7" w:rsidRDefault="00812FA7" w:rsidP="006B7B89">
      <w:pPr>
        <w:rPr>
          <w:sz w:val="20"/>
          <w:szCs w:val="20"/>
        </w:rPr>
      </w:pPr>
    </w:p>
    <w:p w:rsidR="00812FA7" w:rsidRDefault="00812FA7" w:rsidP="006B7B89">
      <w:pPr>
        <w:rPr>
          <w:sz w:val="20"/>
          <w:szCs w:val="20"/>
        </w:rPr>
      </w:pPr>
    </w:p>
    <w:p w:rsidR="00812FA7" w:rsidRDefault="00812FA7" w:rsidP="006B7B89">
      <w:pPr>
        <w:rPr>
          <w:sz w:val="20"/>
          <w:szCs w:val="20"/>
        </w:rPr>
      </w:pPr>
    </w:p>
    <w:p w:rsidR="00812FA7" w:rsidRDefault="00812FA7" w:rsidP="006B7B89">
      <w:pPr>
        <w:rPr>
          <w:sz w:val="20"/>
          <w:szCs w:val="20"/>
        </w:rPr>
      </w:pPr>
    </w:p>
    <w:p w:rsidR="00812FA7" w:rsidRDefault="00812FA7" w:rsidP="006B7B89">
      <w:pPr>
        <w:rPr>
          <w:sz w:val="20"/>
          <w:szCs w:val="20"/>
        </w:rPr>
      </w:pPr>
    </w:p>
    <w:p w:rsidR="00812FA7" w:rsidRDefault="00812FA7" w:rsidP="006B7B89">
      <w:pPr>
        <w:rPr>
          <w:sz w:val="20"/>
          <w:szCs w:val="20"/>
        </w:rPr>
      </w:pPr>
    </w:p>
    <w:p w:rsidR="00812FA7" w:rsidRDefault="00812FA7" w:rsidP="006B7B89">
      <w:pPr>
        <w:rPr>
          <w:sz w:val="20"/>
          <w:szCs w:val="20"/>
        </w:rPr>
      </w:pPr>
    </w:p>
    <w:p w:rsidR="00812FA7" w:rsidRDefault="00812FA7" w:rsidP="006B7B89">
      <w:pPr>
        <w:rPr>
          <w:sz w:val="20"/>
          <w:szCs w:val="20"/>
        </w:rPr>
      </w:pPr>
    </w:p>
    <w:p w:rsidR="00812FA7" w:rsidRDefault="00812FA7" w:rsidP="006B7B89">
      <w:pPr>
        <w:rPr>
          <w:sz w:val="20"/>
          <w:szCs w:val="20"/>
        </w:rPr>
      </w:pPr>
    </w:p>
    <w:p w:rsidR="00812FA7" w:rsidRDefault="00812FA7" w:rsidP="006B7B89">
      <w:pPr>
        <w:rPr>
          <w:sz w:val="20"/>
          <w:szCs w:val="20"/>
        </w:rPr>
      </w:pPr>
    </w:p>
    <w:p w:rsidR="00812FA7" w:rsidRDefault="00812FA7" w:rsidP="006B7B89">
      <w:pPr>
        <w:rPr>
          <w:sz w:val="20"/>
          <w:szCs w:val="20"/>
        </w:rPr>
      </w:pPr>
    </w:p>
    <w:p w:rsidR="00812FA7" w:rsidRDefault="00812FA7" w:rsidP="006B7B89">
      <w:pPr>
        <w:rPr>
          <w:sz w:val="20"/>
          <w:szCs w:val="20"/>
        </w:rPr>
      </w:pPr>
    </w:p>
    <w:p w:rsidR="00812FA7" w:rsidRDefault="00812FA7" w:rsidP="006B7B89">
      <w:pPr>
        <w:rPr>
          <w:sz w:val="20"/>
          <w:szCs w:val="20"/>
        </w:rPr>
      </w:pPr>
    </w:p>
    <w:p w:rsidR="00812FA7" w:rsidRDefault="00812FA7" w:rsidP="006B7B89">
      <w:pPr>
        <w:rPr>
          <w:sz w:val="20"/>
          <w:szCs w:val="20"/>
        </w:rPr>
      </w:pPr>
    </w:p>
    <w:p w:rsidR="00812FA7" w:rsidRDefault="00812FA7" w:rsidP="006B7B89">
      <w:pPr>
        <w:rPr>
          <w:sz w:val="20"/>
          <w:szCs w:val="20"/>
        </w:rPr>
      </w:pPr>
    </w:p>
    <w:p w:rsidR="00812FA7" w:rsidRDefault="00812FA7" w:rsidP="006B7B89">
      <w:pPr>
        <w:rPr>
          <w:sz w:val="20"/>
          <w:szCs w:val="20"/>
        </w:rPr>
      </w:pPr>
    </w:p>
    <w:p w:rsidR="00812FA7" w:rsidRDefault="00812FA7" w:rsidP="006B7B89">
      <w:pPr>
        <w:rPr>
          <w:sz w:val="20"/>
          <w:szCs w:val="20"/>
        </w:rPr>
      </w:pPr>
    </w:p>
    <w:p w:rsidR="00812FA7" w:rsidRDefault="00812FA7" w:rsidP="006B7B89">
      <w:pPr>
        <w:rPr>
          <w:sz w:val="20"/>
          <w:szCs w:val="20"/>
        </w:rPr>
      </w:pPr>
    </w:p>
    <w:p w:rsidR="008C795A" w:rsidRDefault="008C795A" w:rsidP="006B7B89">
      <w:pPr>
        <w:rPr>
          <w:sz w:val="20"/>
          <w:szCs w:val="20"/>
        </w:rPr>
      </w:pPr>
    </w:p>
    <w:p w:rsidR="008C795A" w:rsidRDefault="008C795A" w:rsidP="006B7B89">
      <w:pPr>
        <w:rPr>
          <w:sz w:val="20"/>
          <w:szCs w:val="20"/>
        </w:rPr>
      </w:pPr>
    </w:p>
    <w:p w:rsidR="00812FA7" w:rsidRDefault="00812FA7" w:rsidP="006B7B89">
      <w:pPr>
        <w:rPr>
          <w:sz w:val="20"/>
          <w:szCs w:val="20"/>
        </w:rPr>
      </w:pPr>
    </w:p>
    <w:p w:rsidR="00812FA7" w:rsidRDefault="00812FA7" w:rsidP="006B7B89">
      <w:pPr>
        <w:rPr>
          <w:sz w:val="20"/>
          <w:szCs w:val="20"/>
        </w:rPr>
      </w:pPr>
    </w:p>
    <w:p w:rsidR="00812FA7" w:rsidRDefault="00812FA7" w:rsidP="006B7B89">
      <w:pPr>
        <w:rPr>
          <w:sz w:val="20"/>
          <w:szCs w:val="20"/>
        </w:rPr>
      </w:pPr>
    </w:p>
    <w:p w:rsidR="006B7B89" w:rsidRPr="003434C8" w:rsidRDefault="006B7B89" w:rsidP="006B7B89">
      <w:pPr>
        <w:rPr>
          <w:sz w:val="20"/>
          <w:szCs w:val="20"/>
        </w:rPr>
      </w:pPr>
      <w:proofErr w:type="spellStart"/>
      <w:r>
        <w:rPr>
          <w:sz w:val="20"/>
          <w:szCs w:val="20"/>
        </w:rPr>
        <w:t>Куриленко</w:t>
      </w:r>
      <w:proofErr w:type="spellEnd"/>
      <w:r>
        <w:rPr>
          <w:sz w:val="20"/>
          <w:szCs w:val="20"/>
        </w:rPr>
        <w:t xml:space="preserve"> Юлія</w:t>
      </w:r>
      <w:r w:rsidRPr="003434C8">
        <w:rPr>
          <w:sz w:val="20"/>
          <w:szCs w:val="20"/>
        </w:rPr>
        <w:t xml:space="preserve"> (056)740-19-30</w:t>
      </w:r>
    </w:p>
    <w:p w:rsidR="00DA4493" w:rsidRPr="003434C8" w:rsidRDefault="00DA4493" w:rsidP="00804837">
      <w:pPr>
        <w:tabs>
          <w:tab w:val="left" w:pos="7213"/>
        </w:tabs>
        <w:ind w:right="57"/>
        <w:jc w:val="both"/>
        <w:rPr>
          <w:noProof/>
          <w:sz w:val="28"/>
          <w:szCs w:val="28"/>
          <w:vertAlign w:val="superscript"/>
        </w:rPr>
      </w:pPr>
    </w:p>
    <w:sectPr w:rsidR="00DA4493" w:rsidRPr="003434C8" w:rsidSect="00F61CAC">
      <w:footerReference w:type="default" r:id="rId16"/>
      <w:footerReference w:type="first" r:id="rId17"/>
      <w:pgSz w:w="11906" w:h="16838"/>
      <w:pgMar w:top="993" w:right="849" w:bottom="709" w:left="1701" w:header="708"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135A" w:rsidRDefault="007B135A" w:rsidP="00531607">
      <w:r>
        <w:separator/>
      </w:r>
    </w:p>
  </w:endnote>
  <w:endnote w:type="continuationSeparator" w:id="0">
    <w:p w:rsidR="007B135A" w:rsidRDefault="007B135A" w:rsidP="00531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8873"/>
    </w:sdtPr>
    <w:sdtEndPr>
      <w:rPr>
        <w:sz w:val="20"/>
        <w:szCs w:val="20"/>
      </w:rPr>
    </w:sdtEndPr>
    <w:sdtContent>
      <w:p w:rsidR="005E5031" w:rsidRPr="003B49D8" w:rsidRDefault="005E5031">
        <w:pPr>
          <w:pStyle w:val="aa"/>
          <w:jc w:val="right"/>
          <w:rPr>
            <w:sz w:val="20"/>
            <w:szCs w:val="20"/>
          </w:rPr>
        </w:pPr>
        <w:r w:rsidRPr="003B49D8">
          <w:rPr>
            <w:sz w:val="20"/>
            <w:szCs w:val="20"/>
          </w:rPr>
          <w:fldChar w:fldCharType="begin"/>
        </w:r>
        <w:r w:rsidRPr="003B49D8">
          <w:rPr>
            <w:sz w:val="20"/>
            <w:szCs w:val="20"/>
          </w:rPr>
          <w:instrText xml:space="preserve"> PAGE   \* MERGEFORMAT </w:instrText>
        </w:r>
        <w:r w:rsidRPr="003B49D8">
          <w:rPr>
            <w:sz w:val="20"/>
            <w:szCs w:val="20"/>
          </w:rPr>
          <w:fldChar w:fldCharType="separate"/>
        </w:r>
        <w:r w:rsidR="00031A3B">
          <w:rPr>
            <w:noProof/>
            <w:sz w:val="20"/>
            <w:szCs w:val="20"/>
          </w:rPr>
          <w:t>9</w:t>
        </w:r>
        <w:r w:rsidRPr="003B49D8">
          <w:rPr>
            <w:noProof/>
            <w:sz w:val="20"/>
            <w:szCs w:val="20"/>
          </w:rPr>
          <w:fldChar w:fldCharType="end"/>
        </w:r>
      </w:p>
    </w:sdtContent>
  </w:sdt>
  <w:p w:rsidR="005E5031" w:rsidRDefault="005E5031">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8874"/>
    </w:sdtPr>
    <w:sdtEndPr/>
    <w:sdtContent>
      <w:p w:rsidR="005E5031" w:rsidRDefault="005E5031">
        <w:pPr>
          <w:pStyle w:val="aa"/>
          <w:jc w:val="right"/>
        </w:pPr>
        <w:r>
          <w:fldChar w:fldCharType="begin"/>
        </w:r>
        <w:r>
          <w:instrText xml:space="preserve"> PAGE   \* MERGEFORMAT </w:instrText>
        </w:r>
        <w:r>
          <w:fldChar w:fldCharType="separate"/>
        </w:r>
        <w:r>
          <w:rPr>
            <w:noProof/>
          </w:rPr>
          <w:t>1</w:t>
        </w:r>
        <w:r>
          <w:rPr>
            <w:noProof/>
          </w:rPr>
          <w:fldChar w:fldCharType="end"/>
        </w:r>
      </w:p>
    </w:sdtContent>
  </w:sdt>
  <w:p w:rsidR="005E5031" w:rsidRDefault="005E503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135A" w:rsidRDefault="007B135A" w:rsidP="00531607">
      <w:r>
        <w:separator/>
      </w:r>
    </w:p>
  </w:footnote>
  <w:footnote w:type="continuationSeparator" w:id="0">
    <w:p w:rsidR="007B135A" w:rsidRDefault="007B135A" w:rsidP="005316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21B11"/>
    <w:multiLevelType w:val="hybridMultilevel"/>
    <w:tmpl w:val="43509F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8A74A9"/>
    <w:multiLevelType w:val="multilevel"/>
    <w:tmpl w:val="84D210E0"/>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15:restartNumberingAfterBreak="0">
    <w:nsid w:val="0AA927C7"/>
    <w:multiLevelType w:val="hybridMultilevel"/>
    <w:tmpl w:val="3CCA7418"/>
    <w:lvl w:ilvl="0" w:tplc="D5C0BE32">
      <w:start w:val="1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1063DE6"/>
    <w:multiLevelType w:val="hybridMultilevel"/>
    <w:tmpl w:val="DA36C950"/>
    <w:lvl w:ilvl="0" w:tplc="75C812E2">
      <w:start w:val="18"/>
      <w:numFmt w:val="decimal"/>
      <w:lvlText w:val="%1"/>
      <w:lvlJc w:val="left"/>
      <w:pPr>
        <w:ind w:left="1070"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4" w15:restartNumberingAfterBreak="0">
    <w:nsid w:val="11B344F2"/>
    <w:multiLevelType w:val="hybridMultilevel"/>
    <w:tmpl w:val="D24C61AC"/>
    <w:lvl w:ilvl="0" w:tplc="D1367A56">
      <w:start w:val="26"/>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15:restartNumberingAfterBreak="0">
    <w:nsid w:val="12EE5A15"/>
    <w:multiLevelType w:val="hybridMultilevel"/>
    <w:tmpl w:val="151E8528"/>
    <w:lvl w:ilvl="0" w:tplc="4FBE8600">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3060A3E"/>
    <w:multiLevelType w:val="hybridMultilevel"/>
    <w:tmpl w:val="66346A78"/>
    <w:lvl w:ilvl="0" w:tplc="58647BF8">
      <w:start w:val="5"/>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1F2B6E59"/>
    <w:multiLevelType w:val="hybridMultilevel"/>
    <w:tmpl w:val="44200FA2"/>
    <w:lvl w:ilvl="0" w:tplc="575025AA">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8" w15:restartNumberingAfterBreak="0">
    <w:nsid w:val="255E348D"/>
    <w:multiLevelType w:val="singleLevel"/>
    <w:tmpl w:val="0419000F"/>
    <w:lvl w:ilvl="0">
      <w:start w:val="1"/>
      <w:numFmt w:val="decimal"/>
      <w:lvlText w:val="%1."/>
      <w:lvlJc w:val="left"/>
      <w:pPr>
        <w:tabs>
          <w:tab w:val="num" w:pos="360"/>
        </w:tabs>
        <w:ind w:left="360" w:hanging="360"/>
      </w:pPr>
    </w:lvl>
  </w:abstractNum>
  <w:abstractNum w:abstractNumId="9" w15:restartNumberingAfterBreak="0">
    <w:nsid w:val="28667CAF"/>
    <w:multiLevelType w:val="hybridMultilevel"/>
    <w:tmpl w:val="14A20AF2"/>
    <w:lvl w:ilvl="0" w:tplc="2B92D1DA">
      <w:start w:val="1"/>
      <w:numFmt w:val="decimal"/>
      <w:lvlText w:val="%1-"/>
      <w:lvlJc w:val="left"/>
      <w:pPr>
        <w:ind w:left="900" w:hanging="360"/>
      </w:pPr>
      <w:rPr>
        <w:rFonts w:hint="default"/>
        <w:b/>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10" w15:restartNumberingAfterBreak="0">
    <w:nsid w:val="29F96F8B"/>
    <w:multiLevelType w:val="hybridMultilevel"/>
    <w:tmpl w:val="EA763A20"/>
    <w:lvl w:ilvl="0" w:tplc="65A4CB8A">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BCC7A03"/>
    <w:multiLevelType w:val="hybridMultilevel"/>
    <w:tmpl w:val="43FEBA48"/>
    <w:lvl w:ilvl="0" w:tplc="91F4AC30">
      <w:start w:val="183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15:restartNumberingAfterBreak="0">
    <w:nsid w:val="30463002"/>
    <w:multiLevelType w:val="hybridMultilevel"/>
    <w:tmpl w:val="75C0B67E"/>
    <w:lvl w:ilvl="0" w:tplc="5E94AA6C">
      <w:start w:val="64"/>
      <w:numFmt w:val="bullet"/>
      <w:lvlText w:val="-"/>
      <w:lvlJc w:val="left"/>
      <w:pPr>
        <w:ind w:left="1002" w:hanging="360"/>
      </w:pPr>
      <w:rPr>
        <w:rFonts w:ascii="Times New Roman" w:eastAsiaTheme="minorHAnsi" w:hAnsi="Times New Roman" w:cs="Times New Roman" w:hint="default"/>
      </w:rPr>
    </w:lvl>
    <w:lvl w:ilvl="1" w:tplc="04190003" w:tentative="1">
      <w:start w:val="1"/>
      <w:numFmt w:val="bullet"/>
      <w:lvlText w:val="o"/>
      <w:lvlJc w:val="left"/>
      <w:pPr>
        <w:ind w:left="1722" w:hanging="360"/>
      </w:pPr>
      <w:rPr>
        <w:rFonts w:ascii="Courier New" w:hAnsi="Courier New" w:cs="Courier New" w:hint="default"/>
      </w:rPr>
    </w:lvl>
    <w:lvl w:ilvl="2" w:tplc="04190005" w:tentative="1">
      <w:start w:val="1"/>
      <w:numFmt w:val="bullet"/>
      <w:lvlText w:val=""/>
      <w:lvlJc w:val="left"/>
      <w:pPr>
        <w:ind w:left="2442" w:hanging="360"/>
      </w:pPr>
      <w:rPr>
        <w:rFonts w:ascii="Wingdings" w:hAnsi="Wingdings" w:hint="default"/>
      </w:rPr>
    </w:lvl>
    <w:lvl w:ilvl="3" w:tplc="04190001" w:tentative="1">
      <w:start w:val="1"/>
      <w:numFmt w:val="bullet"/>
      <w:lvlText w:val=""/>
      <w:lvlJc w:val="left"/>
      <w:pPr>
        <w:ind w:left="3162" w:hanging="360"/>
      </w:pPr>
      <w:rPr>
        <w:rFonts w:ascii="Symbol" w:hAnsi="Symbol" w:hint="default"/>
      </w:rPr>
    </w:lvl>
    <w:lvl w:ilvl="4" w:tplc="04190003" w:tentative="1">
      <w:start w:val="1"/>
      <w:numFmt w:val="bullet"/>
      <w:lvlText w:val="o"/>
      <w:lvlJc w:val="left"/>
      <w:pPr>
        <w:ind w:left="3882" w:hanging="360"/>
      </w:pPr>
      <w:rPr>
        <w:rFonts w:ascii="Courier New" w:hAnsi="Courier New" w:cs="Courier New" w:hint="default"/>
      </w:rPr>
    </w:lvl>
    <w:lvl w:ilvl="5" w:tplc="04190005" w:tentative="1">
      <w:start w:val="1"/>
      <w:numFmt w:val="bullet"/>
      <w:lvlText w:val=""/>
      <w:lvlJc w:val="left"/>
      <w:pPr>
        <w:ind w:left="4602" w:hanging="360"/>
      </w:pPr>
      <w:rPr>
        <w:rFonts w:ascii="Wingdings" w:hAnsi="Wingdings" w:hint="default"/>
      </w:rPr>
    </w:lvl>
    <w:lvl w:ilvl="6" w:tplc="04190001" w:tentative="1">
      <w:start w:val="1"/>
      <w:numFmt w:val="bullet"/>
      <w:lvlText w:val=""/>
      <w:lvlJc w:val="left"/>
      <w:pPr>
        <w:ind w:left="5322" w:hanging="360"/>
      </w:pPr>
      <w:rPr>
        <w:rFonts w:ascii="Symbol" w:hAnsi="Symbol" w:hint="default"/>
      </w:rPr>
    </w:lvl>
    <w:lvl w:ilvl="7" w:tplc="04190003" w:tentative="1">
      <w:start w:val="1"/>
      <w:numFmt w:val="bullet"/>
      <w:lvlText w:val="o"/>
      <w:lvlJc w:val="left"/>
      <w:pPr>
        <w:ind w:left="6042" w:hanging="360"/>
      </w:pPr>
      <w:rPr>
        <w:rFonts w:ascii="Courier New" w:hAnsi="Courier New" w:cs="Courier New" w:hint="default"/>
      </w:rPr>
    </w:lvl>
    <w:lvl w:ilvl="8" w:tplc="04190005" w:tentative="1">
      <w:start w:val="1"/>
      <w:numFmt w:val="bullet"/>
      <w:lvlText w:val=""/>
      <w:lvlJc w:val="left"/>
      <w:pPr>
        <w:ind w:left="6762" w:hanging="360"/>
      </w:pPr>
      <w:rPr>
        <w:rFonts w:ascii="Wingdings" w:hAnsi="Wingdings" w:hint="default"/>
      </w:rPr>
    </w:lvl>
  </w:abstractNum>
  <w:abstractNum w:abstractNumId="13" w15:restartNumberingAfterBreak="0">
    <w:nsid w:val="306E2C9D"/>
    <w:multiLevelType w:val="hybridMultilevel"/>
    <w:tmpl w:val="6820FE60"/>
    <w:lvl w:ilvl="0" w:tplc="F230A86A">
      <w:start w:val="230"/>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4" w15:restartNumberingAfterBreak="0">
    <w:nsid w:val="33C84532"/>
    <w:multiLevelType w:val="hybridMultilevel"/>
    <w:tmpl w:val="2C563870"/>
    <w:lvl w:ilvl="0" w:tplc="DE18FFAC">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5" w15:restartNumberingAfterBreak="0">
    <w:nsid w:val="3707442C"/>
    <w:multiLevelType w:val="hybridMultilevel"/>
    <w:tmpl w:val="69508148"/>
    <w:lvl w:ilvl="0" w:tplc="6212C6B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8A7B8A"/>
    <w:multiLevelType w:val="hybridMultilevel"/>
    <w:tmpl w:val="6FB85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A74183"/>
    <w:multiLevelType w:val="hybridMultilevel"/>
    <w:tmpl w:val="F3ACA944"/>
    <w:lvl w:ilvl="0" w:tplc="5114FC9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533A4A"/>
    <w:multiLevelType w:val="hybridMultilevel"/>
    <w:tmpl w:val="CA940F92"/>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45D37BBC"/>
    <w:multiLevelType w:val="hybridMultilevel"/>
    <w:tmpl w:val="E6C22A52"/>
    <w:lvl w:ilvl="0" w:tplc="7C30C54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2E004D"/>
    <w:multiLevelType w:val="hybridMultilevel"/>
    <w:tmpl w:val="492ECADC"/>
    <w:lvl w:ilvl="0" w:tplc="3EF49DE0">
      <w:start w:val="56"/>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1" w15:restartNumberingAfterBreak="0">
    <w:nsid w:val="4ABE2631"/>
    <w:multiLevelType w:val="hybridMultilevel"/>
    <w:tmpl w:val="4AC0F77C"/>
    <w:lvl w:ilvl="0" w:tplc="931C38F4">
      <w:start w:val="2"/>
      <w:numFmt w:val="bullet"/>
      <w:lvlText w:val="-"/>
      <w:lvlJc w:val="left"/>
      <w:pPr>
        <w:ind w:left="930" w:hanging="360"/>
      </w:pPr>
      <w:rPr>
        <w:rFonts w:ascii="Times New Roman" w:eastAsiaTheme="minorEastAsia" w:hAnsi="Times New Roman" w:cs="Times New Roman" w:hint="default"/>
      </w:rPr>
    </w:lvl>
    <w:lvl w:ilvl="1" w:tplc="04220003" w:tentative="1">
      <w:start w:val="1"/>
      <w:numFmt w:val="bullet"/>
      <w:lvlText w:val="o"/>
      <w:lvlJc w:val="left"/>
      <w:pPr>
        <w:ind w:left="1650" w:hanging="360"/>
      </w:pPr>
      <w:rPr>
        <w:rFonts w:ascii="Courier New" w:hAnsi="Courier New" w:cs="Courier New" w:hint="default"/>
      </w:rPr>
    </w:lvl>
    <w:lvl w:ilvl="2" w:tplc="04220005" w:tentative="1">
      <w:start w:val="1"/>
      <w:numFmt w:val="bullet"/>
      <w:lvlText w:val=""/>
      <w:lvlJc w:val="left"/>
      <w:pPr>
        <w:ind w:left="2370" w:hanging="360"/>
      </w:pPr>
      <w:rPr>
        <w:rFonts w:ascii="Wingdings" w:hAnsi="Wingdings" w:hint="default"/>
      </w:rPr>
    </w:lvl>
    <w:lvl w:ilvl="3" w:tplc="04220001" w:tentative="1">
      <w:start w:val="1"/>
      <w:numFmt w:val="bullet"/>
      <w:lvlText w:val=""/>
      <w:lvlJc w:val="left"/>
      <w:pPr>
        <w:ind w:left="3090" w:hanging="360"/>
      </w:pPr>
      <w:rPr>
        <w:rFonts w:ascii="Symbol" w:hAnsi="Symbol" w:hint="default"/>
      </w:rPr>
    </w:lvl>
    <w:lvl w:ilvl="4" w:tplc="04220003" w:tentative="1">
      <w:start w:val="1"/>
      <w:numFmt w:val="bullet"/>
      <w:lvlText w:val="o"/>
      <w:lvlJc w:val="left"/>
      <w:pPr>
        <w:ind w:left="3810" w:hanging="360"/>
      </w:pPr>
      <w:rPr>
        <w:rFonts w:ascii="Courier New" w:hAnsi="Courier New" w:cs="Courier New" w:hint="default"/>
      </w:rPr>
    </w:lvl>
    <w:lvl w:ilvl="5" w:tplc="04220005" w:tentative="1">
      <w:start w:val="1"/>
      <w:numFmt w:val="bullet"/>
      <w:lvlText w:val=""/>
      <w:lvlJc w:val="left"/>
      <w:pPr>
        <w:ind w:left="4530" w:hanging="360"/>
      </w:pPr>
      <w:rPr>
        <w:rFonts w:ascii="Wingdings" w:hAnsi="Wingdings" w:hint="default"/>
      </w:rPr>
    </w:lvl>
    <w:lvl w:ilvl="6" w:tplc="04220001" w:tentative="1">
      <w:start w:val="1"/>
      <w:numFmt w:val="bullet"/>
      <w:lvlText w:val=""/>
      <w:lvlJc w:val="left"/>
      <w:pPr>
        <w:ind w:left="5250" w:hanging="360"/>
      </w:pPr>
      <w:rPr>
        <w:rFonts w:ascii="Symbol" w:hAnsi="Symbol" w:hint="default"/>
      </w:rPr>
    </w:lvl>
    <w:lvl w:ilvl="7" w:tplc="04220003" w:tentative="1">
      <w:start w:val="1"/>
      <w:numFmt w:val="bullet"/>
      <w:lvlText w:val="o"/>
      <w:lvlJc w:val="left"/>
      <w:pPr>
        <w:ind w:left="5970" w:hanging="360"/>
      </w:pPr>
      <w:rPr>
        <w:rFonts w:ascii="Courier New" w:hAnsi="Courier New" w:cs="Courier New" w:hint="default"/>
      </w:rPr>
    </w:lvl>
    <w:lvl w:ilvl="8" w:tplc="04220005" w:tentative="1">
      <w:start w:val="1"/>
      <w:numFmt w:val="bullet"/>
      <w:lvlText w:val=""/>
      <w:lvlJc w:val="left"/>
      <w:pPr>
        <w:ind w:left="6690" w:hanging="360"/>
      </w:pPr>
      <w:rPr>
        <w:rFonts w:ascii="Wingdings" w:hAnsi="Wingdings" w:hint="default"/>
      </w:rPr>
    </w:lvl>
  </w:abstractNum>
  <w:abstractNum w:abstractNumId="22" w15:restartNumberingAfterBreak="0">
    <w:nsid w:val="4BC92521"/>
    <w:multiLevelType w:val="hybridMultilevel"/>
    <w:tmpl w:val="18B08366"/>
    <w:lvl w:ilvl="0" w:tplc="4634B50C">
      <w:numFmt w:val="bullet"/>
      <w:lvlText w:val="-"/>
      <w:lvlJc w:val="left"/>
      <w:pPr>
        <w:ind w:left="928" w:hanging="360"/>
      </w:pPr>
      <w:rPr>
        <w:rFonts w:ascii="Times New Roman" w:eastAsia="Times New Roman" w:hAnsi="Times New Roman" w:cs="Times New Roman" w:hint="default"/>
      </w:rPr>
    </w:lvl>
    <w:lvl w:ilvl="1" w:tplc="04190003">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3" w15:restartNumberingAfterBreak="0">
    <w:nsid w:val="53A93D45"/>
    <w:multiLevelType w:val="hybridMultilevel"/>
    <w:tmpl w:val="9424D0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F20CFB"/>
    <w:multiLevelType w:val="hybridMultilevel"/>
    <w:tmpl w:val="DF123954"/>
    <w:lvl w:ilvl="0" w:tplc="1D70B232">
      <w:start w:val="4"/>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25" w15:restartNumberingAfterBreak="0">
    <w:nsid w:val="58A9101D"/>
    <w:multiLevelType w:val="hybridMultilevel"/>
    <w:tmpl w:val="75A83A7A"/>
    <w:lvl w:ilvl="0" w:tplc="FB688504">
      <w:start w:val="4"/>
      <w:numFmt w:val="decimal"/>
      <w:lvlText w:val="%1"/>
      <w:lvlJc w:val="left"/>
      <w:pPr>
        <w:ind w:left="1070"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26" w15:restartNumberingAfterBreak="0">
    <w:nsid w:val="59DD4DA7"/>
    <w:multiLevelType w:val="hybridMultilevel"/>
    <w:tmpl w:val="EE62CC74"/>
    <w:lvl w:ilvl="0" w:tplc="C1F8E5E4">
      <w:start w:val="230"/>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27" w15:restartNumberingAfterBreak="0">
    <w:nsid w:val="5EA058C3"/>
    <w:multiLevelType w:val="hybridMultilevel"/>
    <w:tmpl w:val="F54CF66C"/>
    <w:lvl w:ilvl="0" w:tplc="0419000B">
      <w:start w:val="1"/>
      <w:numFmt w:val="bullet"/>
      <w:lvlText w:val=""/>
      <w:lvlJc w:val="left"/>
      <w:pPr>
        <w:ind w:left="785" w:hanging="360"/>
      </w:pPr>
      <w:rPr>
        <w:rFonts w:ascii="Wingdings" w:hAnsi="Wingdings"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28" w15:restartNumberingAfterBreak="0">
    <w:nsid w:val="5EC62A8D"/>
    <w:multiLevelType w:val="hybridMultilevel"/>
    <w:tmpl w:val="A888F592"/>
    <w:lvl w:ilvl="0" w:tplc="FAFC36B8">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1461527"/>
    <w:multiLevelType w:val="hybridMultilevel"/>
    <w:tmpl w:val="9774E8D4"/>
    <w:lvl w:ilvl="0" w:tplc="2B4A341C">
      <w:start w:val="2"/>
      <w:numFmt w:val="decimal"/>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0" w15:restartNumberingAfterBreak="0">
    <w:nsid w:val="62A93B79"/>
    <w:multiLevelType w:val="hybridMultilevel"/>
    <w:tmpl w:val="91446406"/>
    <w:lvl w:ilvl="0" w:tplc="9B7C6844">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5B05384"/>
    <w:multiLevelType w:val="hybridMultilevel"/>
    <w:tmpl w:val="E91A31D0"/>
    <w:lvl w:ilvl="0" w:tplc="6CE4D00C">
      <w:start w:val="5"/>
      <w:numFmt w:val="bullet"/>
      <w:lvlText w:val="-"/>
      <w:lvlJc w:val="left"/>
      <w:pPr>
        <w:ind w:left="928" w:hanging="360"/>
      </w:pPr>
      <w:rPr>
        <w:rFonts w:ascii="Times New Roman" w:eastAsia="Times New Roman" w:hAnsi="Times New Roman" w:cs="Times New Roman"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32" w15:restartNumberingAfterBreak="0">
    <w:nsid w:val="675F759A"/>
    <w:multiLevelType w:val="hybridMultilevel"/>
    <w:tmpl w:val="34200488"/>
    <w:lvl w:ilvl="0" w:tplc="7E4A4414">
      <w:start w:val="2"/>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33" w15:restartNumberingAfterBreak="0">
    <w:nsid w:val="69360A03"/>
    <w:multiLevelType w:val="hybridMultilevel"/>
    <w:tmpl w:val="7FF2F5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F57B4F"/>
    <w:multiLevelType w:val="hybridMultilevel"/>
    <w:tmpl w:val="33C0C0D2"/>
    <w:lvl w:ilvl="0" w:tplc="DF60E00E">
      <w:numFmt w:val="bullet"/>
      <w:lvlText w:val="-"/>
      <w:lvlJc w:val="left"/>
      <w:pPr>
        <w:ind w:left="720" w:hanging="360"/>
      </w:pPr>
      <w:rPr>
        <w:rFonts w:ascii="Times New Roman" w:eastAsia="Times New Roman" w:hAnsi="Times New Roman" w:cs="Times New Roman" w:hint="default"/>
        <w:b w:val="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DCC0115"/>
    <w:multiLevelType w:val="hybridMultilevel"/>
    <w:tmpl w:val="B6B49E48"/>
    <w:lvl w:ilvl="0" w:tplc="3F64505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6" w15:restartNumberingAfterBreak="0">
    <w:nsid w:val="744675AE"/>
    <w:multiLevelType w:val="hybridMultilevel"/>
    <w:tmpl w:val="B17A3CB4"/>
    <w:lvl w:ilvl="0" w:tplc="8090835A">
      <w:numFmt w:val="bullet"/>
      <w:lvlText w:val="-"/>
      <w:lvlJc w:val="left"/>
      <w:pPr>
        <w:tabs>
          <w:tab w:val="num" w:pos="780"/>
        </w:tabs>
        <w:ind w:left="78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15:restartNumberingAfterBreak="0">
    <w:nsid w:val="7D171F47"/>
    <w:multiLevelType w:val="hybridMultilevel"/>
    <w:tmpl w:val="238E5F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CF49D1"/>
    <w:multiLevelType w:val="hybridMultilevel"/>
    <w:tmpl w:val="9E628B36"/>
    <w:lvl w:ilvl="0" w:tplc="F8B60B08">
      <w:start w:val="8"/>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9" w15:restartNumberingAfterBreak="0">
    <w:nsid w:val="7FD30740"/>
    <w:multiLevelType w:val="hybridMultilevel"/>
    <w:tmpl w:val="FBA218B8"/>
    <w:lvl w:ilvl="0" w:tplc="78BEA37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5"/>
  </w:num>
  <w:num w:numId="4">
    <w:abstractNumId w:val="10"/>
  </w:num>
  <w:num w:numId="5">
    <w:abstractNumId w:val="14"/>
  </w:num>
  <w:num w:numId="6">
    <w:abstractNumId w:val="8"/>
  </w:num>
  <w:num w:numId="7">
    <w:abstractNumId w:val="38"/>
  </w:num>
  <w:num w:numId="8">
    <w:abstractNumId w:val="30"/>
  </w:num>
  <w:num w:numId="9">
    <w:abstractNumId w:val="0"/>
  </w:num>
  <w:num w:numId="10">
    <w:abstractNumId w:val="31"/>
  </w:num>
  <w:num w:numId="11">
    <w:abstractNumId w:val="22"/>
  </w:num>
  <w:num w:numId="12">
    <w:abstractNumId w:val="26"/>
  </w:num>
  <w:num w:numId="13">
    <w:abstractNumId w:val="13"/>
  </w:num>
  <w:num w:numId="14">
    <w:abstractNumId w:val="9"/>
  </w:num>
  <w:num w:numId="15">
    <w:abstractNumId w:val="28"/>
  </w:num>
  <w:num w:numId="16">
    <w:abstractNumId w:val="34"/>
  </w:num>
  <w:num w:numId="17">
    <w:abstractNumId w:val="12"/>
  </w:num>
  <w:num w:numId="18">
    <w:abstractNumId w:val="3"/>
  </w:num>
  <w:num w:numId="19">
    <w:abstractNumId w:val="5"/>
  </w:num>
  <w:num w:numId="20">
    <w:abstractNumId w:val="4"/>
  </w:num>
  <w:num w:numId="21">
    <w:abstractNumId w:val="2"/>
  </w:num>
  <w:num w:numId="22">
    <w:abstractNumId w:val="25"/>
  </w:num>
  <w:num w:numId="23">
    <w:abstractNumId w:val="29"/>
  </w:num>
  <w:num w:numId="24">
    <w:abstractNumId w:val="24"/>
  </w:num>
  <w:num w:numId="25">
    <w:abstractNumId w:val="32"/>
  </w:num>
  <w:num w:numId="26">
    <w:abstractNumId w:val="21"/>
  </w:num>
  <w:num w:numId="27">
    <w:abstractNumId w:val="6"/>
  </w:num>
  <w:num w:numId="28">
    <w:abstractNumId w:val="35"/>
  </w:num>
  <w:num w:numId="29">
    <w:abstractNumId w:val="18"/>
  </w:num>
  <w:num w:numId="30">
    <w:abstractNumId w:val="1"/>
  </w:num>
  <w:num w:numId="31">
    <w:abstractNumId w:val="7"/>
  </w:num>
  <w:num w:numId="32">
    <w:abstractNumId w:val="11"/>
  </w:num>
  <w:num w:numId="33">
    <w:abstractNumId w:val="19"/>
  </w:num>
  <w:num w:numId="34">
    <w:abstractNumId w:val="39"/>
  </w:num>
  <w:num w:numId="35">
    <w:abstractNumId w:val="27"/>
  </w:num>
  <w:num w:numId="36">
    <w:abstractNumId w:val="20"/>
  </w:num>
  <w:num w:numId="37">
    <w:abstractNumId w:val="23"/>
  </w:num>
  <w:num w:numId="38">
    <w:abstractNumId w:val="33"/>
  </w:num>
  <w:num w:numId="39">
    <w:abstractNumId w:val="37"/>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983"/>
    <w:rsid w:val="00000AAF"/>
    <w:rsid w:val="00000BBB"/>
    <w:rsid w:val="00000EE8"/>
    <w:rsid w:val="00001932"/>
    <w:rsid w:val="00001BAF"/>
    <w:rsid w:val="00001ED2"/>
    <w:rsid w:val="0000205E"/>
    <w:rsid w:val="0000259E"/>
    <w:rsid w:val="00003655"/>
    <w:rsid w:val="00004957"/>
    <w:rsid w:val="00004CCA"/>
    <w:rsid w:val="00004D7C"/>
    <w:rsid w:val="00005F54"/>
    <w:rsid w:val="00006BBE"/>
    <w:rsid w:val="00006D40"/>
    <w:rsid w:val="00007A00"/>
    <w:rsid w:val="000110C4"/>
    <w:rsid w:val="0001160D"/>
    <w:rsid w:val="00011683"/>
    <w:rsid w:val="00013D3B"/>
    <w:rsid w:val="000145CC"/>
    <w:rsid w:val="000145D2"/>
    <w:rsid w:val="00015D01"/>
    <w:rsid w:val="00016175"/>
    <w:rsid w:val="00016AD8"/>
    <w:rsid w:val="00017278"/>
    <w:rsid w:val="00017468"/>
    <w:rsid w:val="00020CBE"/>
    <w:rsid w:val="00021841"/>
    <w:rsid w:val="00021D4E"/>
    <w:rsid w:val="00021F18"/>
    <w:rsid w:val="0002288B"/>
    <w:rsid w:val="00022BD7"/>
    <w:rsid w:val="00022E02"/>
    <w:rsid w:val="0002328F"/>
    <w:rsid w:val="00023B89"/>
    <w:rsid w:val="00023FE5"/>
    <w:rsid w:val="00024251"/>
    <w:rsid w:val="00024317"/>
    <w:rsid w:val="000302CA"/>
    <w:rsid w:val="00030A6A"/>
    <w:rsid w:val="00030D9F"/>
    <w:rsid w:val="00031753"/>
    <w:rsid w:val="00031A3B"/>
    <w:rsid w:val="00032F7B"/>
    <w:rsid w:val="00033E62"/>
    <w:rsid w:val="00033F97"/>
    <w:rsid w:val="00033FD8"/>
    <w:rsid w:val="00034404"/>
    <w:rsid w:val="000356D7"/>
    <w:rsid w:val="000367C8"/>
    <w:rsid w:val="000368BE"/>
    <w:rsid w:val="00040CB6"/>
    <w:rsid w:val="00042AFA"/>
    <w:rsid w:val="00042C31"/>
    <w:rsid w:val="00043637"/>
    <w:rsid w:val="00044FE8"/>
    <w:rsid w:val="000458E6"/>
    <w:rsid w:val="0005078D"/>
    <w:rsid w:val="00051918"/>
    <w:rsid w:val="0005220E"/>
    <w:rsid w:val="00052E6C"/>
    <w:rsid w:val="000535D5"/>
    <w:rsid w:val="00054940"/>
    <w:rsid w:val="0005545D"/>
    <w:rsid w:val="000572C8"/>
    <w:rsid w:val="000601A0"/>
    <w:rsid w:val="0006093A"/>
    <w:rsid w:val="00060ADC"/>
    <w:rsid w:val="00061027"/>
    <w:rsid w:val="00061954"/>
    <w:rsid w:val="00061ACD"/>
    <w:rsid w:val="00061D60"/>
    <w:rsid w:val="0006237C"/>
    <w:rsid w:val="00062B5C"/>
    <w:rsid w:val="000637E1"/>
    <w:rsid w:val="00063C9C"/>
    <w:rsid w:val="000658D4"/>
    <w:rsid w:val="00067AEE"/>
    <w:rsid w:val="000700FB"/>
    <w:rsid w:val="00070388"/>
    <w:rsid w:val="000704B2"/>
    <w:rsid w:val="00070728"/>
    <w:rsid w:val="00070748"/>
    <w:rsid w:val="0007205D"/>
    <w:rsid w:val="00072EC6"/>
    <w:rsid w:val="000737A1"/>
    <w:rsid w:val="000742E1"/>
    <w:rsid w:val="00074834"/>
    <w:rsid w:val="000768F4"/>
    <w:rsid w:val="00076B21"/>
    <w:rsid w:val="0007748F"/>
    <w:rsid w:val="000774F7"/>
    <w:rsid w:val="0008081B"/>
    <w:rsid w:val="00080867"/>
    <w:rsid w:val="00081F0A"/>
    <w:rsid w:val="00084784"/>
    <w:rsid w:val="00084DB9"/>
    <w:rsid w:val="00084E5D"/>
    <w:rsid w:val="00085737"/>
    <w:rsid w:val="00086C1C"/>
    <w:rsid w:val="00091321"/>
    <w:rsid w:val="0009193A"/>
    <w:rsid w:val="00091E51"/>
    <w:rsid w:val="00093135"/>
    <w:rsid w:val="00093430"/>
    <w:rsid w:val="0009349F"/>
    <w:rsid w:val="00093BED"/>
    <w:rsid w:val="000948D4"/>
    <w:rsid w:val="00094CC7"/>
    <w:rsid w:val="00094E97"/>
    <w:rsid w:val="00095052"/>
    <w:rsid w:val="0009542D"/>
    <w:rsid w:val="000960FD"/>
    <w:rsid w:val="00096DE8"/>
    <w:rsid w:val="00096E3F"/>
    <w:rsid w:val="000A1E3E"/>
    <w:rsid w:val="000A2430"/>
    <w:rsid w:val="000A243D"/>
    <w:rsid w:val="000A36DF"/>
    <w:rsid w:val="000A3D33"/>
    <w:rsid w:val="000A3EF1"/>
    <w:rsid w:val="000A46DA"/>
    <w:rsid w:val="000A5019"/>
    <w:rsid w:val="000A548D"/>
    <w:rsid w:val="000A5E82"/>
    <w:rsid w:val="000A61C2"/>
    <w:rsid w:val="000A6ECC"/>
    <w:rsid w:val="000A6FB0"/>
    <w:rsid w:val="000A7A0F"/>
    <w:rsid w:val="000B1814"/>
    <w:rsid w:val="000B31DE"/>
    <w:rsid w:val="000B3514"/>
    <w:rsid w:val="000B3A32"/>
    <w:rsid w:val="000B56B4"/>
    <w:rsid w:val="000B66F1"/>
    <w:rsid w:val="000B76BA"/>
    <w:rsid w:val="000B7DB9"/>
    <w:rsid w:val="000B7EA3"/>
    <w:rsid w:val="000C2399"/>
    <w:rsid w:val="000C2A1A"/>
    <w:rsid w:val="000C3D88"/>
    <w:rsid w:val="000C60DE"/>
    <w:rsid w:val="000C6500"/>
    <w:rsid w:val="000C6AB5"/>
    <w:rsid w:val="000C6F15"/>
    <w:rsid w:val="000C7127"/>
    <w:rsid w:val="000C73A0"/>
    <w:rsid w:val="000D00EB"/>
    <w:rsid w:val="000D0538"/>
    <w:rsid w:val="000D17BF"/>
    <w:rsid w:val="000D1D30"/>
    <w:rsid w:val="000D1ED4"/>
    <w:rsid w:val="000D35F5"/>
    <w:rsid w:val="000D6D48"/>
    <w:rsid w:val="000E1DB6"/>
    <w:rsid w:val="000E2679"/>
    <w:rsid w:val="000E2EC8"/>
    <w:rsid w:val="000E522C"/>
    <w:rsid w:val="000E5490"/>
    <w:rsid w:val="000E677D"/>
    <w:rsid w:val="000E6DD4"/>
    <w:rsid w:val="000E7EA8"/>
    <w:rsid w:val="000F0128"/>
    <w:rsid w:val="000F0393"/>
    <w:rsid w:val="000F0881"/>
    <w:rsid w:val="000F1266"/>
    <w:rsid w:val="000F2683"/>
    <w:rsid w:val="000F2EEB"/>
    <w:rsid w:val="000F338B"/>
    <w:rsid w:val="000F3896"/>
    <w:rsid w:val="000F4EAB"/>
    <w:rsid w:val="000F5CD8"/>
    <w:rsid w:val="000F639D"/>
    <w:rsid w:val="000F6426"/>
    <w:rsid w:val="000F6F9D"/>
    <w:rsid w:val="000F7028"/>
    <w:rsid w:val="000F7083"/>
    <w:rsid w:val="000F7CDE"/>
    <w:rsid w:val="00100688"/>
    <w:rsid w:val="001011EE"/>
    <w:rsid w:val="00101507"/>
    <w:rsid w:val="00102537"/>
    <w:rsid w:val="00103224"/>
    <w:rsid w:val="00103D5E"/>
    <w:rsid w:val="00104CB9"/>
    <w:rsid w:val="00104F01"/>
    <w:rsid w:val="0010533A"/>
    <w:rsid w:val="00105542"/>
    <w:rsid w:val="00106021"/>
    <w:rsid w:val="00106309"/>
    <w:rsid w:val="00106546"/>
    <w:rsid w:val="00106884"/>
    <w:rsid w:val="0010798B"/>
    <w:rsid w:val="001109BB"/>
    <w:rsid w:val="00110AE9"/>
    <w:rsid w:val="00111E08"/>
    <w:rsid w:val="00111EA9"/>
    <w:rsid w:val="001125B0"/>
    <w:rsid w:val="001138CA"/>
    <w:rsid w:val="00116215"/>
    <w:rsid w:val="001174A1"/>
    <w:rsid w:val="001219E9"/>
    <w:rsid w:val="00121B02"/>
    <w:rsid w:val="00121E21"/>
    <w:rsid w:val="001224B5"/>
    <w:rsid w:val="00122C3B"/>
    <w:rsid w:val="00123C42"/>
    <w:rsid w:val="0012408F"/>
    <w:rsid w:val="00124E04"/>
    <w:rsid w:val="00130AA7"/>
    <w:rsid w:val="00131DB0"/>
    <w:rsid w:val="001321B9"/>
    <w:rsid w:val="00132C15"/>
    <w:rsid w:val="00132D91"/>
    <w:rsid w:val="00132D94"/>
    <w:rsid w:val="00132E56"/>
    <w:rsid w:val="00133DDB"/>
    <w:rsid w:val="00134606"/>
    <w:rsid w:val="0013489A"/>
    <w:rsid w:val="00135C03"/>
    <w:rsid w:val="001360C5"/>
    <w:rsid w:val="00136D72"/>
    <w:rsid w:val="00136FC0"/>
    <w:rsid w:val="001378A5"/>
    <w:rsid w:val="001407E3"/>
    <w:rsid w:val="001408F8"/>
    <w:rsid w:val="00141365"/>
    <w:rsid w:val="0014155E"/>
    <w:rsid w:val="0014163F"/>
    <w:rsid w:val="00141D7F"/>
    <w:rsid w:val="001420CA"/>
    <w:rsid w:val="001424A3"/>
    <w:rsid w:val="001424B4"/>
    <w:rsid w:val="0014250D"/>
    <w:rsid w:val="00142F71"/>
    <w:rsid w:val="00142FA0"/>
    <w:rsid w:val="00143809"/>
    <w:rsid w:val="00144616"/>
    <w:rsid w:val="00144DB3"/>
    <w:rsid w:val="00145412"/>
    <w:rsid w:val="00145B2B"/>
    <w:rsid w:val="00145F96"/>
    <w:rsid w:val="00147165"/>
    <w:rsid w:val="00147650"/>
    <w:rsid w:val="00147661"/>
    <w:rsid w:val="00151169"/>
    <w:rsid w:val="001511DC"/>
    <w:rsid w:val="00151663"/>
    <w:rsid w:val="001516CF"/>
    <w:rsid w:val="00151C22"/>
    <w:rsid w:val="00153369"/>
    <w:rsid w:val="001539AA"/>
    <w:rsid w:val="00154183"/>
    <w:rsid w:val="00154B0B"/>
    <w:rsid w:val="00154CF3"/>
    <w:rsid w:val="00154D1C"/>
    <w:rsid w:val="00154F92"/>
    <w:rsid w:val="00155DFE"/>
    <w:rsid w:val="00156234"/>
    <w:rsid w:val="00157BD7"/>
    <w:rsid w:val="00160CE4"/>
    <w:rsid w:val="00161AAA"/>
    <w:rsid w:val="00161B6F"/>
    <w:rsid w:val="00162140"/>
    <w:rsid w:val="00162423"/>
    <w:rsid w:val="001640BE"/>
    <w:rsid w:val="00164579"/>
    <w:rsid w:val="0016511E"/>
    <w:rsid w:val="001660BC"/>
    <w:rsid w:val="00166C4A"/>
    <w:rsid w:val="00166C4D"/>
    <w:rsid w:val="001679F2"/>
    <w:rsid w:val="001710FD"/>
    <w:rsid w:val="00171183"/>
    <w:rsid w:val="00171461"/>
    <w:rsid w:val="00172F4E"/>
    <w:rsid w:val="0017417D"/>
    <w:rsid w:val="00174BE3"/>
    <w:rsid w:val="00174D61"/>
    <w:rsid w:val="00174E67"/>
    <w:rsid w:val="00176118"/>
    <w:rsid w:val="001761B0"/>
    <w:rsid w:val="00176973"/>
    <w:rsid w:val="00177368"/>
    <w:rsid w:val="001774F2"/>
    <w:rsid w:val="001779B0"/>
    <w:rsid w:val="00180BC9"/>
    <w:rsid w:val="001813AD"/>
    <w:rsid w:val="00181485"/>
    <w:rsid w:val="0018183D"/>
    <w:rsid w:val="00181AD1"/>
    <w:rsid w:val="00181BCF"/>
    <w:rsid w:val="001824A9"/>
    <w:rsid w:val="001828DA"/>
    <w:rsid w:val="001828FC"/>
    <w:rsid w:val="00183BBE"/>
    <w:rsid w:val="00183F4A"/>
    <w:rsid w:val="00183F89"/>
    <w:rsid w:val="0018412F"/>
    <w:rsid w:val="0018445A"/>
    <w:rsid w:val="00185698"/>
    <w:rsid w:val="00187051"/>
    <w:rsid w:val="00187433"/>
    <w:rsid w:val="00190B9A"/>
    <w:rsid w:val="001919F7"/>
    <w:rsid w:val="00191CC2"/>
    <w:rsid w:val="00192167"/>
    <w:rsid w:val="001924B9"/>
    <w:rsid w:val="00192C38"/>
    <w:rsid w:val="001932E7"/>
    <w:rsid w:val="001936F0"/>
    <w:rsid w:val="00193D1E"/>
    <w:rsid w:val="001956D0"/>
    <w:rsid w:val="00195EC2"/>
    <w:rsid w:val="00196A9E"/>
    <w:rsid w:val="00196CA9"/>
    <w:rsid w:val="001A06D3"/>
    <w:rsid w:val="001A2122"/>
    <w:rsid w:val="001A26FC"/>
    <w:rsid w:val="001A54E6"/>
    <w:rsid w:val="001A6927"/>
    <w:rsid w:val="001A6C29"/>
    <w:rsid w:val="001A6F75"/>
    <w:rsid w:val="001B00E2"/>
    <w:rsid w:val="001B0ADE"/>
    <w:rsid w:val="001B0C35"/>
    <w:rsid w:val="001B0CD0"/>
    <w:rsid w:val="001B1CE6"/>
    <w:rsid w:val="001B2925"/>
    <w:rsid w:val="001B36F5"/>
    <w:rsid w:val="001B4F55"/>
    <w:rsid w:val="001B523C"/>
    <w:rsid w:val="001B53F5"/>
    <w:rsid w:val="001B5696"/>
    <w:rsid w:val="001B5AF3"/>
    <w:rsid w:val="001B5F92"/>
    <w:rsid w:val="001B6D4C"/>
    <w:rsid w:val="001B7A85"/>
    <w:rsid w:val="001C0017"/>
    <w:rsid w:val="001C010B"/>
    <w:rsid w:val="001C090F"/>
    <w:rsid w:val="001C0FC9"/>
    <w:rsid w:val="001C3F54"/>
    <w:rsid w:val="001C4109"/>
    <w:rsid w:val="001C73A4"/>
    <w:rsid w:val="001C7766"/>
    <w:rsid w:val="001C7BF8"/>
    <w:rsid w:val="001D0DF4"/>
    <w:rsid w:val="001D1497"/>
    <w:rsid w:val="001D150E"/>
    <w:rsid w:val="001D1880"/>
    <w:rsid w:val="001D1AB2"/>
    <w:rsid w:val="001D206B"/>
    <w:rsid w:val="001D4107"/>
    <w:rsid w:val="001D44A0"/>
    <w:rsid w:val="001D4713"/>
    <w:rsid w:val="001D4F33"/>
    <w:rsid w:val="001D573E"/>
    <w:rsid w:val="001D596E"/>
    <w:rsid w:val="001D5E9D"/>
    <w:rsid w:val="001D696C"/>
    <w:rsid w:val="001D6F36"/>
    <w:rsid w:val="001D7733"/>
    <w:rsid w:val="001E10BD"/>
    <w:rsid w:val="001E165A"/>
    <w:rsid w:val="001E3535"/>
    <w:rsid w:val="001E4C91"/>
    <w:rsid w:val="001E55DE"/>
    <w:rsid w:val="001E6BAA"/>
    <w:rsid w:val="001E70BB"/>
    <w:rsid w:val="001E7104"/>
    <w:rsid w:val="001E77B0"/>
    <w:rsid w:val="001F0CA6"/>
    <w:rsid w:val="001F28BB"/>
    <w:rsid w:val="001F29AD"/>
    <w:rsid w:val="001F2A03"/>
    <w:rsid w:val="001F3399"/>
    <w:rsid w:val="001F3B35"/>
    <w:rsid w:val="001F4168"/>
    <w:rsid w:val="001F6C33"/>
    <w:rsid w:val="001F70A7"/>
    <w:rsid w:val="001F71C2"/>
    <w:rsid w:val="001F790F"/>
    <w:rsid w:val="001F7A9B"/>
    <w:rsid w:val="00200684"/>
    <w:rsid w:val="00201344"/>
    <w:rsid w:val="00202180"/>
    <w:rsid w:val="00202DD6"/>
    <w:rsid w:val="00202E3B"/>
    <w:rsid w:val="002032B0"/>
    <w:rsid w:val="00203419"/>
    <w:rsid w:val="00205BAB"/>
    <w:rsid w:val="0021016A"/>
    <w:rsid w:val="002105C6"/>
    <w:rsid w:val="002106DE"/>
    <w:rsid w:val="00211622"/>
    <w:rsid w:val="002120A3"/>
    <w:rsid w:val="002121FC"/>
    <w:rsid w:val="00212546"/>
    <w:rsid w:val="0021292B"/>
    <w:rsid w:val="002133F0"/>
    <w:rsid w:val="00213401"/>
    <w:rsid w:val="0021368C"/>
    <w:rsid w:val="002140A8"/>
    <w:rsid w:val="00214A45"/>
    <w:rsid w:val="002151FD"/>
    <w:rsid w:val="00216604"/>
    <w:rsid w:val="0021679D"/>
    <w:rsid w:val="00217906"/>
    <w:rsid w:val="00221000"/>
    <w:rsid w:val="002210FC"/>
    <w:rsid w:val="00221384"/>
    <w:rsid w:val="00223ABF"/>
    <w:rsid w:val="00224770"/>
    <w:rsid w:val="00225946"/>
    <w:rsid w:val="00226009"/>
    <w:rsid w:val="00227271"/>
    <w:rsid w:val="00227FF6"/>
    <w:rsid w:val="002309C0"/>
    <w:rsid w:val="00230C06"/>
    <w:rsid w:val="00230C58"/>
    <w:rsid w:val="00230DA0"/>
    <w:rsid w:val="00231659"/>
    <w:rsid w:val="00231F79"/>
    <w:rsid w:val="00232B94"/>
    <w:rsid w:val="00232F19"/>
    <w:rsid w:val="00234399"/>
    <w:rsid w:val="00234557"/>
    <w:rsid w:val="002354C3"/>
    <w:rsid w:val="002361B6"/>
    <w:rsid w:val="0023696B"/>
    <w:rsid w:val="00236A15"/>
    <w:rsid w:val="00236BF4"/>
    <w:rsid w:val="00237CF5"/>
    <w:rsid w:val="00240333"/>
    <w:rsid w:val="00240BEE"/>
    <w:rsid w:val="00241611"/>
    <w:rsid w:val="00242E76"/>
    <w:rsid w:val="0024388A"/>
    <w:rsid w:val="00244292"/>
    <w:rsid w:val="002447CD"/>
    <w:rsid w:val="00244D52"/>
    <w:rsid w:val="002454BD"/>
    <w:rsid w:val="00245F41"/>
    <w:rsid w:val="002461D0"/>
    <w:rsid w:val="002466DB"/>
    <w:rsid w:val="00247230"/>
    <w:rsid w:val="00247891"/>
    <w:rsid w:val="0025063E"/>
    <w:rsid w:val="00250FD3"/>
    <w:rsid w:val="0025145E"/>
    <w:rsid w:val="0025252C"/>
    <w:rsid w:val="00253C92"/>
    <w:rsid w:val="00254293"/>
    <w:rsid w:val="00255677"/>
    <w:rsid w:val="00255988"/>
    <w:rsid w:val="00256CDD"/>
    <w:rsid w:val="00257382"/>
    <w:rsid w:val="0025766C"/>
    <w:rsid w:val="00260572"/>
    <w:rsid w:val="00261CB6"/>
    <w:rsid w:val="00261EB5"/>
    <w:rsid w:val="00262905"/>
    <w:rsid w:val="00263050"/>
    <w:rsid w:val="0026305E"/>
    <w:rsid w:val="0026322C"/>
    <w:rsid w:val="00263DF1"/>
    <w:rsid w:val="002647AC"/>
    <w:rsid w:val="00264829"/>
    <w:rsid w:val="002653C3"/>
    <w:rsid w:val="00265586"/>
    <w:rsid w:val="00266105"/>
    <w:rsid w:val="00270F65"/>
    <w:rsid w:val="002711CF"/>
    <w:rsid w:val="00271A92"/>
    <w:rsid w:val="002740B0"/>
    <w:rsid w:val="00274FB0"/>
    <w:rsid w:val="00275EA5"/>
    <w:rsid w:val="00276102"/>
    <w:rsid w:val="00277546"/>
    <w:rsid w:val="0027776A"/>
    <w:rsid w:val="00280E22"/>
    <w:rsid w:val="00281731"/>
    <w:rsid w:val="002818C3"/>
    <w:rsid w:val="00281C58"/>
    <w:rsid w:val="0028258F"/>
    <w:rsid w:val="0028275F"/>
    <w:rsid w:val="00283008"/>
    <w:rsid w:val="0028435E"/>
    <w:rsid w:val="0028447A"/>
    <w:rsid w:val="00284D55"/>
    <w:rsid w:val="0028591A"/>
    <w:rsid w:val="00286280"/>
    <w:rsid w:val="002862C0"/>
    <w:rsid w:val="00286755"/>
    <w:rsid w:val="0028701C"/>
    <w:rsid w:val="00287F49"/>
    <w:rsid w:val="00290303"/>
    <w:rsid w:val="00290564"/>
    <w:rsid w:val="002906DE"/>
    <w:rsid w:val="00294EFA"/>
    <w:rsid w:val="00295810"/>
    <w:rsid w:val="002958B0"/>
    <w:rsid w:val="00295C94"/>
    <w:rsid w:val="00296152"/>
    <w:rsid w:val="00296533"/>
    <w:rsid w:val="00296BA6"/>
    <w:rsid w:val="0029704C"/>
    <w:rsid w:val="00297A22"/>
    <w:rsid w:val="00297AAA"/>
    <w:rsid w:val="002A01B6"/>
    <w:rsid w:val="002A2101"/>
    <w:rsid w:val="002A2833"/>
    <w:rsid w:val="002A4525"/>
    <w:rsid w:val="002A57CC"/>
    <w:rsid w:val="002A6225"/>
    <w:rsid w:val="002A7152"/>
    <w:rsid w:val="002A790D"/>
    <w:rsid w:val="002B05D2"/>
    <w:rsid w:val="002B0860"/>
    <w:rsid w:val="002B13E4"/>
    <w:rsid w:val="002B1736"/>
    <w:rsid w:val="002B22C1"/>
    <w:rsid w:val="002B3536"/>
    <w:rsid w:val="002B3BDD"/>
    <w:rsid w:val="002B618F"/>
    <w:rsid w:val="002B6BB1"/>
    <w:rsid w:val="002B7570"/>
    <w:rsid w:val="002B7D05"/>
    <w:rsid w:val="002C0582"/>
    <w:rsid w:val="002C072F"/>
    <w:rsid w:val="002C0F94"/>
    <w:rsid w:val="002C1837"/>
    <w:rsid w:val="002C29E6"/>
    <w:rsid w:val="002C2B15"/>
    <w:rsid w:val="002C2CFB"/>
    <w:rsid w:val="002C32CF"/>
    <w:rsid w:val="002C35CA"/>
    <w:rsid w:val="002C3BF7"/>
    <w:rsid w:val="002C42E8"/>
    <w:rsid w:val="002C49FB"/>
    <w:rsid w:val="002C6EFF"/>
    <w:rsid w:val="002C7B4B"/>
    <w:rsid w:val="002C7B8D"/>
    <w:rsid w:val="002D0D42"/>
    <w:rsid w:val="002D1B79"/>
    <w:rsid w:val="002D1BD9"/>
    <w:rsid w:val="002D2D8F"/>
    <w:rsid w:val="002D3501"/>
    <w:rsid w:val="002D4093"/>
    <w:rsid w:val="002D47BC"/>
    <w:rsid w:val="002D50FB"/>
    <w:rsid w:val="002D5881"/>
    <w:rsid w:val="002D6E8C"/>
    <w:rsid w:val="002E07D7"/>
    <w:rsid w:val="002E32BE"/>
    <w:rsid w:val="002E430B"/>
    <w:rsid w:val="002E4785"/>
    <w:rsid w:val="002E564C"/>
    <w:rsid w:val="002E7F23"/>
    <w:rsid w:val="002F0483"/>
    <w:rsid w:val="002F0B61"/>
    <w:rsid w:val="002F0F46"/>
    <w:rsid w:val="002F1566"/>
    <w:rsid w:val="002F1942"/>
    <w:rsid w:val="002F1A8D"/>
    <w:rsid w:val="002F2286"/>
    <w:rsid w:val="002F2511"/>
    <w:rsid w:val="002F29FC"/>
    <w:rsid w:val="002F43F9"/>
    <w:rsid w:val="002F4AE9"/>
    <w:rsid w:val="002F5484"/>
    <w:rsid w:val="002F5A31"/>
    <w:rsid w:val="002F6BDA"/>
    <w:rsid w:val="00300392"/>
    <w:rsid w:val="0030045F"/>
    <w:rsid w:val="00300C07"/>
    <w:rsid w:val="00300DF8"/>
    <w:rsid w:val="00300F36"/>
    <w:rsid w:val="00301104"/>
    <w:rsid w:val="003015EA"/>
    <w:rsid w:val="00302853"/>
    <w:rsid w:val="00304969"/>
    <w:rsid w:val="00304E11"/>
    <w:rsid w:val="00304E17"/>
    <w:rsid w:val="003057D1"/>
    <w:rsid w:val="00307134"/>
    <w:rsid w:val="00307474"/>
    <w:rsid w:val="00307B1B"/>
    <w:rsid w:val="00310466"/>
    <w:rsid w:val="003106D0"/>
    <w:rsid w:val="003108DF"/>
    <w:rsid w:val="00310BB9"/>
    <w:rsid w:val="00311278"/>
    <w:rsid w:val="00311372"/>
    <w:rsid w:val="00313D6D"/>
    <w:rsid w:val="0031445D"/>
    <w:rsid w:val="003144AC"/>
    <w:rsid w:val="00315C06"/>
    <w:rsid w:val="003169DA"/>
    <w:rsid w:val="00316CA8"/>
    <w:rsid w:val="00317047"/>
    <w:rsid w:val="00317E7F"/>
    <w:rsid w:val="003201B0"/>
    <w:rsid w:val="0032081E"/>
    <w:rsid w:val="00321021"/>
    <w:rsid w:val="003210BC"/>
    <w:rsid w:val="00321C48"/>
    <w:rsid w:val="00322357"/>
    <w:rsid w:val="003226A5"/>
    <w:rsid w:val="00322E03"/>
    <w:rsid w:val="003233E7"/>
    <w:rsid w:val="00323EBB"/>
    <w:rsid w:val="00325472"/>
    <w:rsid w:val="0032563A"/>
    <w:rsid w:val="00325A94"/>
    <w:rsid w:val="003267BE"/>
    <w:rsid w:val="00330173"/>
    <w:rsid w:val="0033021B"/>
    <w:rsid w:val="003320BA"/>
    <w:rsid w:val="00332D4F"/>
    <w:rsid w:val="003331FB"/>
    <w:rsid w:val="0033366B"/>
    <w:rsid w:val="00333A42"/>
    <w:rsid w:val="00336169"/>
    <w:rsid w:val="00336EC9"/>
    <w:rsid w:val="003409D0"/>
    <w:rsid w:val="00340FBA"/>
    <w:rsid w:val="00341373"/>
    <w:rsid w:val="00341555"/>
    <w:rsid w:val="0034199F"/>
    <w:rsid w:val="00341E31"/>
    <w:rsid w:val="0034236F"/>
    <w:rsid w:val="00342FFA"/>
    <w:rsid w:val="003434C8"/>
    <w:rsid w:val="00343613"/>
    <w:rsid w:val="003440B1"/>
    <w:rsid w:val="003440EF"/>
    <w:rsid w:val="00344700"/>
    <w:rsid w:val="00345158"/>
    <w:rsid w:val="003456DB"/>
    <w:rsid w:val="00345AC7"/>
    <w:rsid w:val="00345D6D"/>
    <w:rsid w:val="003463AA"/>
    <w:rsid w:val="003476B5"/>
    <w:rsid w:val="0034788F"/>
    <w:rsid w:val="0035061E"/>
    <w:rsid w:val="0035104F"/>
    <w:rsid w:val="003517E7"/>
    <w:rsid w:val="00351F1F"/>
    <w:rsid w:val="00353851"/>
    <w:rsid w:val="003540DF"/>
    <w:rsid w:val="0035447F"/>
    <w:rsid w:val="0035505A"/>
    <w:rsid w:val="0035645F"/>
    <w:rsid w:val="00356E96"/>
    <w:rsid w:val="0036139A"/>
    <w:rsid w:val="003614F5"/>
    <w:rsid w:val="003619C0"/>
    <w:rsid w:val="00361DFA"/>
    <w:rsid w:val="00362A5B"/>
    <w:rsid w:val="0036444A"/>
    <w:rsid w:val="00366BA9"/>
    <w:rsid w:val="003676F9"/>
    <w:rsid w:val="003679A4"/>
    <w:rsid w:val="0037009B"/>
    <w:rsid w:val="00370CD9"/>
    <w:rsid w:val="003714B6"/>
    <w:rsid w:val="00371AA6"/>
    <w:rsid w:val="003736D2"/>
    <w:rsid w:val="0037371E"/>
    <w:rsid w:val="00373C87"/>
    <w:rsid w:val="00373ECD"/>
    <w:rsid w:val="0037419E"/>
    <w:rsid w:val="003753EA"/>
    <w:rsid w:val="003758B1"/>
    <w:rsid w:val="003760F2"/>
    <w:rsid w:val="003761D8"/>
    <w:rsid w:val="00376C1F"/>
    <w:rsid w:val="00377E0B"/>
    <w:rsid w:val="00381788"/>
    <w:rsid w:val="00381FF5"/>
    <w:rsid w:val="00382661"/>
    <w:rsid w:val="003830FA"/>
    <w:rsid w:val="003833AA"/>
    <w:rsid w:val="003833B0"/>
    <w:rsid w:val="00383CF8"/>
    <w:rsid w:val="00384034"/>
    <w:rsid w:val="003842AD"/>
    <w:rsid w:val="003845F8"/>
    <w:rsid w:val="00384FD3"/>
    <w:rsid w:val="00385497"/>
    <w:rsid w:val="00385827"/>
    <w:rsid w:val="00391379"/>
    <w:rsid w:val="00391397"/>
    <w:rsid w:val="0039248D"/>
    <w:rsid w:val="00392AD8"/>
    <w:rsid w:val="00393E8F"/>
    <w:rsid w:val="00395764"/>
    <w:rsid w:val="003963E4"/>
    <w:rsid w:val="00396788"/>
    <w:rsid w:val="0039693A"/>
    <w:rsid w:val="00396A9E"/>
    <w:rsid w:val="003972B3"/>
    <w:rsid w:val="003975A8"/>
    <w:rsid w:val="003A0C12"/>
    <w:rsid w:val="003A13DE"/>
    <w:rsid w:val="003A1BCB"/>
    <w:rsid w:val="003A2373"/>
    <w:rsid w:val="003A24E9"/>
    <w:rsid w:val="003A2714"/>
    <w:rsid w:val="003A28D4"/>
    <w:rsid w:val="003A55F7"/>
    <w:rsid w:val="003A64CD"/>
    <w:rsid w:val="003A7099"/>
    <w:rsid w:val="003A7B5F"/>
    <w:rsid w:val="003B01FE"/>
    <w:rsid w:val="003B10FB"/>
    <w:rsid w:val="003B16C7"/>
    <w:rsid w:val="003B1733"/>
    <w:rsid w:val="003B2AB9"/>
    <w:rsid w:val="003B2D19"/>
    <w:rsid w:val="003B3F9B"/>
    <w:rsid w:val="003B49D8"/>
    <w:rsid w:val="003B51D6"/>
    <w:rsid w:val="003B54B3"/>
    <w:rsid w:val="003B5D45"/>
    <w:rsid w:val="003B6F3A"/>
    <w:rsid w:val="003B7945"/>
    <w:rsid w:val="003B7BA7"/>
    <w:rsid w:val="003C0A71"/>
    <w:rsid w:val="003C1437"/>
    <w:rsid w:val="003C268D"/>
    <w:rsid w:val="003C2C00"/>
    <w:rsid w:val="003C3EF8"/>
    <w:rsid w:val="003C4BE0"/>
    <w:rsid w:val="003C5CCA"/>
    <w:rsid w:val="003C660F"/>
    <w:rsid w:val="003C6D34"/>
    <w:rsid w:val="003C7E9F"/>
    <w:rsid w:val="003D0977"/>
    <w:rsid w:val="003D1475"/>
    <w:rsid w:val="003D16CC"/>
    <w:rsid w:val="003D2F81"/>
    <w:rsid w:val="003D4E5B"/>
    <w:rsid w:val="003D5773"/>
    <w:rsid w:val="003D677E"/>
    <w:rsid w:val="003D6A18"/>
    <w:rsid w:val="003D6F4C"/>
    <w:rsid w:val="003D7170"/>
    <w:rsid w:val="003E09B9"/>
    <w:rsid w:val="003E1997"/>
    <w:rsid w:val="003E220C"/>
    <w:rsid w:val="003E29BF"/>
    <w:rsid w:val="003E3203"/>
    <w:rsid w:val="003E4A74"/>
    <w:rsid w:val="003E4B19"/>
    <w:rsid w:val="003E523B"/>
    <w:rsid w:val="003E5EB2"/>
    <w:rsid w:val="003E64B8"/>
    <w:rsid w:val="003E66EB"/>
    <w:rsid w:val="003E6854"/>
    <w:rsid w:val="003E6DE4"/>
    <w:rsid w:val="003E70E9"/>
    <w:rsid w:val="003E73AA"/>
    <w:rsid w:val="003F0239"/>
    <w:rsid w:val="003F025D"/>
    <w:rsid w:val="003F057B"/>
    <w:rsid w:val="003F2C16"/>
    <w:rsid w:val="003F3280"/>
    <w:rsid w:val="003F4C66"/>
    <w:rsid w:val="003F5076"/>
    <w:rsid w:val="003F568B"/>
    <w:rsid w:val="003F5751"/>
    <w:rsid w:val="003F7485"/>
    <w:rsid w:val="003F7EB2"/>
    <w:rsid w:val="00400EE1"/>
    <w:rsid w:val="0040103C"/>
    <w:rsid w:val="0040145C"/>
    <w:rsid w:val="004015B8"/>
    <w:rsid w:val="004015C6"/>
    <w:rsid w:val="004017C4"/>
    <w:rsid w:val="0040232E"/>
    <w:rsid w:val="0040295A"/>
    <w:rsid w:val="00403883"/>
    <w:rsid w:val="00403F6E"/>
    <w:rsid w:val="0040412C"/>
    <w:rsid w:val="00404488"/>
    <w:rsid w:val="00405811"/>
    <w:rsid w:val="004059EB"/>
    <w:rsid w:val="00405FB5"/>
    <w:rsid w:val="0040628F"/>
    <w:rsid w:val="00407C5F"/>
    <w:rsid w:val="004107CD"/>
    <w:rsid w:val="0041197D"/>
    <w:rsid w:val="00412D8F"/>
    <w:rsid w:val="004133B4"/>
    <w:rsid w:val="00414494"/>
    <w:rsid w:val="004157C7"/>
    <w:rsid w:val="004172DD"/>
    <w:rsid w:val="004173B9"/>
    <w:rsid w:val="00417483"/>
    <w:rsid w:val="0041757F"/>
    <w:rsid w:val="0042119C"/>
    <w:rsid w:val="00421A2D"/>
    <w:rsid w:val="00421D10"/>
    <w:rsid w:val="004228F0"/>
    <w:rsid w:val="00422BFF"/>
    <w:rsid w:val="004232C0"/>
    <w:rsid w:val="00423788"/>
    <w:rsid w:val="00423935"/>
    <w:rsid w:val="004240CC"/>
    <w:rsid w:val="00424E40"/>
    <w:rsid w:val="00425E09"/>
    <w:rsid w:val="00426806"/>
    <w:rsid w:val="00427381"/>
    <w:rsid w:val="004275B1"/>
    <w:rsid w:val="00427875"/>
    <w:rsid w:val="00430434"/>
    <w:rsid w:val="00430B14"/>
    <w:rsid w:val="0043110F"/>
    <w:rsid w:val="00431471"/>
    <w:rsid w:val="00432A90"/>
    <w:rsid w:val="00433715"/>
    <w:rsid w:val="004364A8"/>
    <w:rsid w:val="0043678B"/>
    <w:rsid w:val="00437569"/>
    <w:rsid w:val="00437DAF"/>
    <w:rsid w:val="0044134B"/>
    <w:rsid w:val="00441CCA"/>
    <w:rsid w:val="00442670"/>
    <w:rsid w:val="00442CEB"/>
    <w:rsid w:val="00442F62"/>
    <w:rsid w:val="004442D8"/>
    <w:rsid w:val="00444C18"/>
    <w:rsid w:val="00445099"/>
    <w:rsid w:val="004455E2"/>
    <w:rsid w:val="00446836"/>
    <w:rsid w:val="00446981"/>
    <w:rsid w:val="00447389"/>
    <w:rsid w:val="00447D8D"/>
    <w:rsid w:val="004503BC"/>
    <w:rsid w:val="00451113"/>
    <w:rsid w:val="00452055"/>
    <w:rsid w:val="0045359E"/>
    <w:rsid w:val="00454DAC"/>
    <w:rsid w:val="00455240"/>
    <w:rsid w:val="00455907"/>
    <w:rsid w:val="00456A3E"/>
    <w:rsid w:val="004602C2"/>
    <w:rsid w:val="00460CDB"/>
    <w:rsid w:val="00460D8E"/>
    <w:rsid w:val="004641EA"/>
    <w:rsid w:val="004643DD"/>
    <w:rsid w:val="00464EA5"/>
    <w:rsid w:val="00464FAE"/>
    <w:rsid w:val="00465091"/>
    <w:rsid w:val="00465516"/>
    <w:rsid w:val="0046590D"/>
    <w:rsid w:val="004660F9"/>
    <w:rsid w:val="0046719F"/>
    <w:rsid w:val="00467601"/>
    <w:rsid w:val="0046783A"/>
    <w:rsid w:val="00467931"/>
    <w:rsid w:val="00467DC8"/>
    <w:rsid w:val="00470EE6"/>
    <w:rsid w:val="00471E3A"/>
    <w:rsid w:val="0047211C"/>
    <w:rsid w:val="00472607"/>
    <w:rsid w:val="00472655"/>
    <w:rsid w:val="00472827"/>
    <w:rsid w:val="00472D5C"/>
    <w:rsid w:val="00472E3D"/>
    <w:rsid w:val="00474242"/>
    <w:rsid w:val="004766FD"/>
    <w:rsid w:val="00476841"/>
    <w:rsid w:val="00476A24"/>
    <w:rsid w:val="004777A0"/>
    <w:rsid w:val="00477805"/>
    <w:rsid w:val="00477D57"/>
    <w:rsid w:val="00480E3D"/>
    <w:rsid w:val="004817C9"/>
    <w:rsid w:val="004821DB"/>
    <w:rsid w:val="004822FF"/>
    <w:rsid w:val="00482ADF"/>
    <w:rsid w:val="00482F06"/>
    <w:rsid w:val="004831EB"/>
    <w:rsid w:val="0048441E"/>
    <w:rsid w:val="00484F8D"/>
    <w:rsid w:val="004852F1"/>
    <w:rsid w:val="00485FE6"/>
    <w:rsid w:val="00486BAF"/>
    <w:rsid w:val="004913AC"/>
    <w:rsid w:val="00491637"/>
    <w:rsid w:val="00491E03"/>
    <w:rsid w:val="00493D70"/>
    <w:rsid w:val="00493F13"/>
    <w:rsid w:val="004953AD"/>
    <w:rsid w:val="0049607E"/>
    <w:rsid w:val="00497036"/>
    <w:rsid w:val="004A03C2"/>
    <w:rsid w:val="004A0CE8"/>
    <w:rsid w:val="004A16EA"/>
    <w:rsid w:val="004A1E37"/>
    <w:rsid w:val="004A1ECC"/>
    <w:rsid w:val="004A2000"/>
    <w:rsid w:val="004A2D13"/>
    <w:rsid w:val="004A38AF"/>
    <w:rsid w:val="004A42C0"/>
    <w:rsid w:val="004A4E52"/>
    <w:rsid w:val="004A534B"/>
    <w:rsid w:val="004A624B"/>
    <w:rsid w:val="004A7119"/>
    <w:rsid w:val="004A7491"/>
    <w:rsid w:val="004A776B"/>
    <w:rsid w:val="004A7CEE"/>
    <w:rsid w:val="004A7E49"/>
    <w:rsid w:val="004A7EF4"/>
    <w:rsid w:val="004B03A0"/>
    <w:rsid w:val="004B04F3"/>
    <w:rsid w:val="004B17E1"/>
    <w:rsid w:val="004B1AC1"/>
    <w:rsid w:val="004B27F0"/>
    <w:rsid w:val="004B3092"/>
    <w:rsid w:val="004B43A7"/>
    <w:rsid w:val="004B4523"/>
    <w:rsid w:val="004B5168"/>
    <w:rsid w:val="004B53B4"/>
    <w:rsid w:val="004B5BA2"/>
    <w:rsid w:val="004C03A5"/>
    <w:rsid w:val="004C0658"/>
    <w:rsid w:val="004C0AA6"/>
    <w:rsid w:val="004C0F33"/>
    <w:rsid w:val="004C163F"/>
    <w:rsid w:val="004C1BE6"/>
    <w:rsid w:val="004C3320"/>
    <w:rsid w:val="004C3D0A"/>
    <w:rsid w:val="004C4B47"/>
    <w:rsid w:val="004D0214"/>
    <w:rsid w:val="004D079F"/>
    <w:rsid w:val="004D104E"/>
    <w:rsid w:val="004D2C5B"/>
    <w:rsid w:val="004D3968"/>
    <w:rsid w:val="004D44FB"/>
    <w:rsid w:val="004D5047"/>
    <w:rsid w:val="004D671B"/>
    <w:rsid w:val="004D7184"/>
    <w:rsid w:val="004D72F6"/>
    <w:rsid w:val="004D7EF9"/>
    <w:rsid w:val="004E0505"/>
    <w:rsid w:val="004E15E0"/>
    <w:rsid w:val="004E308F"/>
    <w:rsid w:val="004E4B21"/>
    <w:rsid w:val="004E4BAE"/>
    <w:rsid w:val="004E4FB4"/>
    <w:rsid w:val="004E5AB1"/>
    <w:rsid w:val="004E62F4"/>
    <w:rsid w:val="004E6772"/>
    <w:rsid w:val="004E694A"/>
    <w:rsid w:val="004E715F"/>
    <w:rsid w:val="004E7891"/>
    <w:rsid w:val="004F00B9"/>
    <w:rsid w:val="004F0620"/>
    <w:rsid w:val="004F0E33"/>
    <w:rsid w:val="004F2CA9"/>
    <w:rsid w:val="004F40A9"/>
    <w:rsid w:val="004F4425"/>
    <w:rsid w:val="004F47F2"/>
    <w:rsid w:val="004F54EE"/>
    <w:rsid w:val="004F7388"/>
    <w:rsid w:val="00500549"/>
    <w:rsid w:val="0050066A"/>
    <w:rsid w:val="00500CEA"/>
    <w:rsid w:val="0050274A"/>
    <w:rsid w:val="0050365B"/>
    <w:rsid w:val="00503933"/>
    <w:rsid w:val="00504252"/>
    <w:rsid w:val="0050661B"/>
    <w:rsid w:val="00506A08"/>
    <w:rsid w:val="00506E78"/>
    <w:rsid w:val="005114A8"/>
    <w:rsid w:val="00512E75"/>
    <w:rsid w:val="00513619"/>
    <w:rsid w:val="00513A02"/>
    <w:rsid w:val="00514DAB"/>
    <w:rsid w:val="0051520C"/>
    <w:rsid w:val="0051563E"/>
    <w:rsid w:val="00516F9B"/>
    <w:rsid w:val="00516FB7"/>
    <w:rsid w:val="00517842"/>
    <w:rsid w:val="00517F59"/>
    <w:rsid w:val="005201AD"/>
    <w:rsid w:val="00520A90"/>
    <w:rsid w:val="00521A0B"/>
    <w:rsid w:val="00521B96"/>
    <w:rsid w:val="005227DC"/>
    <w:rsid w:val="00522989"/>
    <w:rsid w:val="005231C5"/>
    <w:rsid w:val="0052340A"/>
    <w:rsid w:val="0052370D"/>
    <w:rsid w:val="005245D0"/>
    <w:rsid w:val="005247B7"/>
    <w:rsid w:val="00525F7B"/>
    <w:rsid w:val="005272BD"/>
    <w:rsid w:val="00527522"/>
    <w:rsid w:val="00527993"/>
    <w:rsid w:val="00527BE0"/>
    <w:rsid w:val="005306BE"/>
    <w:rsid w:val="005309FF"/>
    <w:rsid w:val="00530D52"/>
    <w:rsid w:val="00531607"/>
    <w:rsid w:val="00532417"/>
    <w:rsid w:val="00532A51"/>
    <w:rsid w:val="00532F1F"/>
    <w:rsid w:val="005337BC"/>
    <w:rsid w:val="0053522A"/>
    <w:rsid w:val="0053538A"/>
    <w:rsid w:val="00535779"/>
    <w:rsid w:val="00536556"/>
    <w:rsid w:val="0053667D"/>
    <w:rsid w:val="005367AC"/>
    <w:rsid w:val="005370CD"/>
    <w:rsid w:val="005371AF"/>
    <w:rsid w:val="0053750C"/>
    <w:rsid w:val="00537D3F"/>
    <w:rsid w:val="005405D5"/>
    <w:rsid w:val="005411A4"/>
    <w:rsid w:val="00541532"/>
    <w:rsid w:val="0054268A"/>
    <w:rsid w:val="00542914"/>
    <w:rsid w:val="00542B93"/>
    <w:rsid w:val="00542FF5"/>
    <w:rsid w:val="00543005"/>
    <w:rsid w:val="00544337"/>
    <w:rsid w:val="00544528"/>
    <w:rsid w:val="00546318"/>
    <w:rsid w:val="005466AE"/>
    <w:rsid w:val="00547358"/>
    <w:rsid w:val="00547C67"/>
    <w:rsid w:val="00550485"/>
    <w:rsid w:val="00552C75"/>
    <w:rsid w:val="00552D08"/>
    <w:rsid w:val="00553079"/>
    <w:rsid w:val="00553197"/>
    <w:rsid w:val="00554457"/>
    <w:rsid w:val="00554F67"/>
    <w:rsid w:val="00555830"/>
    <w:rsid w:val="00556308"/>
    <w:rsid w:val="005567B4"/>
    <w:rsid w:val="005569DF"/>
    <w:rsid w:val="00560273"/>
    <w:rsid w:val="005611A0"/>
    <w:rsid w:val="00561807"/>
    <w:rsid w:val="0056241A"/>
    <w:rsid w:val="00562A63"/>
    <w:rsid w:val="005643BD"/>
    <w:rsid w:val="005643DB"/>
    <w:rsid w:val="00564FC5"/>
    <w:rsid w:val="00565299"/>
    <w:rsid w:val="00565324"/>
    <w:rsid w:val="005669D4"/>
    <w:rsid w:val="00566A28"/>
    <w:rsid w:val="00567241"/>
    <w:rsid w:val="005679BD"/>
    <w:rsid w:val="00567AD3"/>
    <w:rsid w:val="0057108B"/>
    <w:rsid w:val="00571948"/>
    <w:rsid w:val="00571C30"/>
    <w:rsid w:val="00571E40"/>
    <w:rsid w:val="005725FB"/>
    <w:rsid w:val="005727D4"/>
    <w:rsid w:val="0057329C"/>
    <w:rsid w:val="00574019"/>
    <w:rsid w:val="005752D0"/>
    <w:rsid w:val="00575FA7"/>
    <w:rsid w:val="00576785"/>
    <w:rsid w:val="00577CC5"/>
    <w:rsid w:val="00577F56"/>
    <w:rsid w:val="00580750"/>
    <w:rsid w:val="0058152F"/>
    <w:rsid w:val="00582595"/>
    <w:rsid w:val="00583786"/>
    <w:rsid w:val="00583BC5"/>
    <w:rsid w:val="00584199"/>
    <w:rsid w:val="005847F1"/>
    <w:rsid w:val="0058506F"/>
    <w:rsid w:val="005858DD"/>
    <w:rsid w:val="005860F1"/>
    <w:rsid w:val="00590211"/>
    <w:rsid w:val="00590A90"/>
    <w:rsid w:val="005919B8"/>
    <w:rsid w:val="00591C93"/>
    <w:rsid w:val="005925CC"/>
    <w:rsid w:val="00593978"/>
    <w:rsid w:val="00593A43"/>
    <w:rsid w:val="0059480C"/>
    <w:rsid w:val="00595D51"/>
    <w:rsid w:val="0059745F"/>
    <w:rsid w:val="0059762B"/>
    <w:rsid w:val="005A0C17"/>
    <w:rsid w:val="005A0F81"/>
    <w:rsid w:val="005A101A"/>
    <w:rsid w:val="005A165A"/>
    <w:rsid w:val="005A17E3"/>
    <w:rsid w:val="005A2230"/>
    <w:rsid w:val="005A257F"/>
    <w:rsid w:val="005A2B2D"/>
    <w:rsid w:val="005A2BB5"/>
    <w:rsid w:val="005A3139"/>
    <w:rsid w:val="005A3738"/>
    <w:rsid w:val="005A49FD"/>
    <w:rsid w:val="005A4BE3"/>
    <w:rsid w:val="005A4DF2"/>
    <w:rsid w:val="005A5028"/>
    <w:rsid w:val="005A58E7"/>
    <w:rsid w:val="005A596C"/>
    <w:rsid w:val="005A759E"/>
    <w:rsid w:val="005B1A09"/>
    <w:rsid w:val="005B1FA5"/>
    <w:rsid w:val="005B3B4D"/>
    <w:rsid w:val="005B4788"/>
    <w:rsid w:val="005B530A"/>
    <w:rsid w:val="005B544D"/>
    <w:rsid w:val="005B6CD0"/>
    <w:rsid w:val="005C1025"/>
    <w:rsid w:val="005C1324"/>
    <w:rsid w:val="005C1491"/>
    <w:rsid w:val="005C30CB"/>
    <w:rsid w:val="005C3613"/>
    <w:rsid w:val="005C4333"/>
    <w:rsid w:val="005C4F94"/>
    <w:rsid w:val="005C561A"/>
    <w:rsid w:val="005C59E6"/>
    <w:rsid w:val="005C5A19"/>
    <w:rsid w:val="005C5BC0"/>
    <w:rsid w:val="005C6760"/>
    <w:rsid w:val="005D11E4"/>
    <w:rsid w:val="005D1A46"/>
    <w:rsid w:val="005D1AEF"/>
    <w:rsid w:val="005D20FA"/>
    <w:rsid w:val="005D374B"/>
    <w:rsid w:val="005D4091"/>
    <w:rsid w:val="005D4CCB"/>
    <w:rsid w:val="005D537E"/>
    <w:rsid w:val="005D5D4E"/>
    <w:rsid w:val="005D5FEA"/>
    <w:rsid w:val="005D63E4"/>
    <w:rsid w:val="005D685F"/>
    <w:rsid w:val="005D6983"/>
    <w:rsid w:val="005D7BF2"/>
    <w:rsid w:val="005E02FC"/>
    <w:rsid w:val="005E0314"/>
    <w:rsid w:val="005E0970"/>
    <w:rsid w:val="005E1199"/>
    <w:rsid w:val="005E1A39"/>
    <w:rsid w:val="005E260F"/>
    <w:rsid w:val="005E2841"/>
    <w:rsid w:val="005E28A9"/>
    <w:rsid w:val="005E2B2D"/>
    <w:rsid w:val="005E2B4D"/>
    <w:rsid w:val="005E2C9F"/>
    <w:rsid w:val="005E2F09"/>
    <w:rsid w:val="005E3592"/>
    <w:rsid w:val="005E3636"/>
    <w:rsid w:val="005E40AA"/>
    <w:rsid w:val="005E487B"/>
    <w:rsid w:val="005E4936"/>
    <w:rsid w:val="005E5031"/>
    <w:rsid w:val="005E6101"/>
    <w:rsid w:val="005E6119"/>
    <w:rsid w:val="005E64E9"/>
    <w:rsid w:val="005E6CF3"/>
    <w:rsid w:val="005E6EFE"/>
    <w:rsid w:val="005E71FC"/>
    <w:rsid w:val="005E7240"/>
    <w:rsid w:val="005F030C"/>
    <w:rsid w:val="005F2EC3"/>
    <w:rsid w:val="005F33BD"/>
    <w:rsid w:val="005F44E0"/>
    <w:rsid w:val="005F4C9F"/>
    <w:rsid w:val="005F598F"/>
    <w:rsid w:val="005F7016"/>
    <w:rsid w:val="005F78EE"/>
    <w:rsid w:val="0060058A"/>
    <w:rsid w:val="00601AE1"/>
    <w:rsid w:val="00603B20"/>
    <w:rsid w:val="006050EF"/>
    <w:rsid w:val="00605409"/>
    <w:rsid w:val="0060661E"/>
    <w:rsid w:val="00607402"/>
    <w:rsid w:val="00610E58"/>
    <w:rsid w:val="006125AD"/>
    <w:rsid w:val="00612796"/>
    <w:rsid w:val="00613AF5"/>
    <w:rsid w:val="006146B9"/>
    <w:rsid w:val="00615DC8"/>
    <w:rsid w:val="00615FF1"/>
    <w:rsid w:val="00617B83"/>
    <w:rsid w:val="00621FCF"/>
    <w:rsid w:val="0062474F"/>
    <w:rsid w:val="00625667"/>
    <w:rsid w:val="00626ECF"/>
    <w:rsid w:val="00626FCE"/>
    <w:rsid w:val="006276C0"/>
    <w:rsid w:val="0062780B"/>
    <w:rsid w:val="0062799A"/>
    <w:rsid w:val="00627AA0"/>
    <w:rsid w:val="00627ACE"/>
    <w:rsid w:val="0063073C"/>
    <w:rsid w:val="006307BF"/>
    <w:rsid w:val="00630CB8"/>
    <w:rsid w:val="00630D49"/>
    <w:rsid w:val="00631B7B"/>
    <w:rsid w:val="00632C6B"/>
    <w:rsid w:val="00634BAE"/>
    <w:rsid w:val="00636507"/>
    <w:rsid w:val="0063683F"/>
    <w:rsid w:val="006369CE"/>
    <w:rsid w:val="006369D7"/>
    <w:rsid w:val="00636C60"/>
    <w:rsid w:val="0063700D"/>
    <w:rsid w:val="0064046A"/>
    <w:rsid w:val="006404D3"/>
    <w:rsid w:val="00644B4E"/>
    <w:rsid w:val="00645E4E"/>
    <w:rsid w:val="00647032"/>
    <w:rsid w:val="00647698"/>
    <w:rsid w:val="00652EB7"/>
    <w:rsid w:val="00653016"/>
    <w:rsid w:val="0065331F"/>
    <w:rsid w:val="006534CF"/>
    <w:rsid w:val="0065456D"/>
    <w:rsid w:val="00654898"/>
    <w:rsid w:val="00655CFA"/>
    <w:rsid w:val="00656D43"/>
    <w:rsid w:val="00656DE8"/>
    <w:rsid w:val="00657B8A"/>
    <w:rsid w:val="0066038D"/>
    <w:rsid w:val="00660550"/>
    <w:rsid w:val="0066138A"/>
    <w:rsid w:val="00662473"/>
    <w:rsid w:val="00662527"/>
    <w:rsid w:val="00662A00"/>
    <w:rsid w:val="0066473B"/>
    <w:rsid w:val="00664A5A"/>
    <w:rsid w:val="0066669E"/>
    <w:rsid w:val="006673BF"/>
    <w:rsid w:val="00667B74"/>
    <w:rsid w:val="00670740"/>
    <w:rsid w:val="006709F0"/>
    <w:rsid w:val="006726B5"/>
    <w:rsid w:val="00672BA9"/>
    <w:rsid w:val="006756E7"/>
    <w:rsid w:val="00675C6E"/>
    <w:rsid w:val="00676153"/>
    <w:rsid w:val="006761CA"/>
    <w:rsid w:val="0067650B"/>
    <w:rsid w:val="0067678D"/>
    <w:rsid w:val="00676DCE"/>
    <w:rsid w:val="00677222"/>
    <w:rsid w:val="006774D3"/>
    <w:rsid w:val="006802CB"/>
    <w:rsid w:val="0068077F"/>
    <w:rsid w:val="00680921"/>
    <w:rsid w:val="0068098F"/>
    <w:rsid w:val="006810DB"/>
    <w:rsid w:val="006813C9"/>
    <w:rsid w:val="0068164D"/>
    <w:rsid w:val="00681E09"/>
    <w:rsid w:val="006821F8"/>
    <w:rsid w:val="0068275C"/>
    <w:rsid w:val="00682B4B"/>
    <w:rsid w:val="00682EB0"/>
    <w:rsid w:val="006831A5"/>
    <w:rsid w:val="006832CD"/>
    <w:rsid w:val="006834EE"/>
    <w:rsid w:val="00683A8D"/>
    <w:rsid w:val="00684AAE"/>
    <w:rsid w:val="006851EE"/>
    <w:rsid w:val="00685697"/>
    <w:rsid w:val="00686990"/>
    <w:rsid w:val="00686F84"/>
    <w:rsid w:val="00687227"/>
    <w:rsid w:val="00687E03"/>
    <w:rsid w:val="00691397"/>
    <w:rsid w:val="006916B6"/>
    <w:rsid w:val="00692007"/>
    <w:rsid w:val="006920BA"/>
    <w:rsid w:val="006946C6"/>
    <w:rsid w:val="006948B9"/>
    <w:rsid w:val="006949C2"/>
    <w:rsid w:val="006968C3"/>
    <w:rsid w:val="00696BE9"/>
    <w:rsid w:val="00696F37"/>
    <w:rsid w:val="00697284"/>
    <w:rsid w:val="006A0F5C"/>
    <w:rsid w:val="006A0FA5"/>
    <w:rsid w:val="006A1D06"/>
    <w:rsid w:val="006A222B"/>
    <w:rsid w:val="006A7345"/>
    <w:rsid w:val="006A74EC"/>
    <w:rsid w:val="006A7A6D"/>
    <w:rsid w:val="006A7EBD"/>
    <w:rsid w:val="006B07AA"/>
    <w:rsid w:val="006B0E95"/>
    <w:rsid w:val="006B175C"/>
    <w:rsid w:val="006B1F35"/>
    <w:rsid w:val="006B26AC"/>
    <w:rsid w:val="006B2760"/>
    <w:rsid w:val="006B2999"/>
    <w:rsid w:val="006B42F6"/>
    <w:rsid w:val="006B4412"/>
    <w:rsid w:val="006B44F8"/>
    <w:rsid w:val="006B522E"/>
    <w:rsid w:val="006B683A"/>
    <w:rsid w:val="006B6A86"/>
    <w:rsid w:val="006B7626"/>
    <w:rsid w:val="006B7B89"/>
    <w:rsid w:val="006C1949"/>
    <w:rsid w:val="006C2053"/>
    <w:rsid w:val="006C2EF7"/>
    <w:rsid w:val="006C32AD"/>
    <w:rsid w:val="006C3BD2"/>
    <w:rsid w:val="006C4227"/>
    <w:rsid w:val="006C43FB"/>
    <w:rsid w:val="006C4765"/>
    <w:rsid w:val="006C704C"/>
    <w:rsid w:val="006D0938"/>
    <w:rsid w:val="006D1147"/>
    <w:rsid w:val="006D1889"/>
    <w:rsid w:val="006D1A99"/>
    <w:rsid w:val="006D1D51"/>
    <w:rsid w:val="006D2273"/>
    <w:rsid w:val="006D2422"/>
    <w:rsid w:val="006D290D"/>
    <w:rsid w:val="006D2CB3"/>
    <w:rsid w:val="006D53BE"/>
    <w:rsid w:val="006D5B85"/>
    <w:rsid w:val="006D7223"/>
    <w:rsid w:val="006E03EC"/>
    <w:rsid w:val="006E0E7D"/>
    <w:rsid w:val="006E11EF"/>
    <w:rsid w:val="006E485D"/>
    <w:rsid w:val="006E4ED3"/>
    <w:rsid w:val="006E5229"/>
    <w:rsid w:val="006E562C"/>
    <w:rsid w:val="006E6A55"/>
    <w:rsid w:val="006E7296"/>
    <w:rsid w:val="006F01C8"/>
    <w:rsid w:val="006F064A"/>
    <w:rsid w:val="006F0BFE"/>
    <w:rsid w:val="006F150B"/>
    <w:rsid w:val="006F16F4"/>
    <w:rsid w:val="006F2B31"/>
    <w:rsid w:val="006F2C51"/>
    <w:rsid w:val="006F3E75"/>
    <w:rsid w:val="006F55CB"/>
    <w:rsid w:val="006F582E"/>
    <w:rsid w:val="006F5E73"/>
    <w:rsid w:val="006F5EBD"/>
    <w:rsid w:val="006F692D"/>
    <w:rsid w:val="006F73F7"/>
    <w:rsid w:val="00700188"/>
    <w:rsid w:val="00700206"/>
    <w:rsid w:val="007009F4"/>
    <w:rsid w:val="00702400"/>
    <w:rsid w:val="00702B90"/>
    <w:rsid w:val="007032AB"/>
    <w:rsid w:val="00703D50"/>
    <w:rsid w:val="00704879"/>
    <w:rsid w:val="00704E24"/>
    <w:rsid w:val="00705487"/>
    <w:rsid w:val="00705D05"/>
    <w:rsid w:val="00706968"/>
    <w:rsid w:val="00706C5F"/>
    <w:rsid w:val="00706F65"/>
    <w:rsid w:val="00710B50"/>
    <w:rsid w:val="007112A9"/>
    <w:rsid w:val="00711A32"/>
    <w:rsid w:val="00712203"/>
    <w:rsid w:val="007123C0"/>
    <w:rsid w:val="007127BE"/>
    <w:rsid w:val="00712D12"/>
    <w:rsid w:val="0071441F"/>
    <w:rsid w:val="007203C5"/>
    <w:rsid w:val="00720B25"/>
    <w:rsid w:val="007214E8"/>
    <w:rsid w:val="00721E63"/>
    <w:rsid w:val="00722D6C"/>
    <w:rsid w:val="0072333A"/>
    <w:rsid w:val="00723A93"/>
    <w:rsid w:val="0072445C"/>
    <w:rsid w:val="00724FAF"/>
    <w:rsid w:val="00725140"/>
    <w:rsid w:val="007253A2"/>
    <w:rsid w:val="00725F33"/>
    <w:rsid w:val="0072631F"/>
    <w:rsid w:val="00726917"/>
    <w:rsid w:val="00730141"/>
    <w:rsid w:val="00731FD9"/>
    <w:rsid w:val="0073229E"/>
    <w:rsid w:val="007323F3"/>
    <w:rsid w:val="00732577"/>
    <w:rsid w:val="0073271A"/>
    <w:rsid w:val="0073317F"/>
    <w:rsid w:val="00733592"/>
    <w:rsid w:val="00733603"/>
    <w:rsid w:val="00733F75"/>
    <w:rsid w:val="00735A2D"/>
    <w:rsid w:val="00735AD0"/>
    <w:rsid w:val="00735FAF"/>
    <w:rsid w:val="00737FCC"/>
    <w:rsid w:val="00740B68"/>
    <w:rsid w:val="00741844"/>
    <w:rsid w:val="00741AD2"/>
    <w:rsid w:val="0074205B"/>
    <w:rsid w:val="00742132"/>
    <w:rsid w:val="00742405"/>
    <w:rsid w:val="00742C90"/>
    <w:rsid w:val="00742D6B"/>
    <w:rsid w:val="007433B6"/>
    <w:rsid w:val="00744766"/>
    <w:rsid w:val="00744F26"/>
    <w:rsid w:val="00745D7D"/>
    <w:rsid w:val="007469A3"/>
    <w:rsid w:val="00747988"/>
    <w:rsid w:val="00747A0F"/>
    <w:rsid w:val="00747A9D"/>
    <w:rsid w:val="00750397"/>
    <w:rsid w:val="00750570"/>
    <w:rsid w:val="0075057A"/>
    <w:rsid w:val="00750A4F"/>
    <w:rsid w:val="00750AA5"/>
    <w:rsid w:val="00752022"/>
    <w:rsid w:val="007530C5"/>
    <w:rsid w:val="00753481"/>
    <w:rsid w:val="00754A69"/>
    <w:rsid w:val="0075519A"/>
    <w:rsid w:val="007555E7"/>
    <w:rsid w:val="00755811"/>
    <w:rsid w:val="0075640D"/>
    <w:rsid w:val="007565B0"/>
    <w:rsid w:val="00756909"/>
    <w:rsid w:val="00756DD7"/>
    <w:rsid w:val="00756E52"/>
    <w:rsid w:val="00757770"/>
    <w:rsid w:val="007601C1"/>
    <w:rsid w:val="00760E93"/>
    <w:rsid w:val="007624BA"/>
    <w:rsid w:val="00762632"/>
    <w:rsid w:val="00762711"/>
    <w:rsid w:val="00762C09"/>
    <w:rsid w:val="007636DC"/>
    <w:rsid w:val="00763A27"/>
    <w:rsid w:val="00763C7C"/>
    <w:rsid w:val="00764026"/>
    <w:rsid w:val="00764074"/>
    <w:rsid w:val="00764533"/>
    <w:rsid w:val="00764576"/>
    <w:rsid w:val="007649BA"/>
    <w:rsid w:val="00764E40"/>
    <w:rsid w:val="0076565F"/>
    <w:rsid w:val="00765A82"/>
    <w:rsid w:val="00765C07"/>
    <w:rsid w:val="00765DE0"/>
    <w:rsid w:val="00766E73"/>
    <w:rsid w:val="00767143"/>
    <w:rsid w:val="0076734A"/>
    <w:rsid w:val="0076741D"/>
    <w:rsid w:val="00767432"/>
    <w:rsid w:val="007674D0"/>
    <w:rsid w:val="00767EF3"/>
    <w:rsid w:val="007708B5"/>
    <w:rsid w:val="007711CE"/>
    <w:rsid w:val="00771747"/>
    <w:rsid w:val="00772EF4"/>
    <w:rsid w:val="007743C6"/>
    <w:rsid w:val="007747FD"/>
    <w:rsid w:val="007749D9"/>
    <w:rsid w:val="00774F80"/>
    <w:rsid w:val="00775F41"/>
    <w:rsid w:val="00775FBF"/>
    <w:rsid w:val="007760B2"/>
    <w:rsid w:val="00776496"/>
    <w:rsid w:val="007768FA"/>
    <w:rsid w:val="00780721"/>
    <w:rsid w:val="00780733"/>
    <w:rsid w:val="00780D02"/>
    <w:rsid w:val="00781F00"/>
    <w:rsid w:val="00781FF1"/>
    <w:rsid w:val="0078249A"/>
    <w:rsid w:val="00782ACD"/>
    <w:rsid w:val="007845BA"/>
    <w:rsid w:val="00786749"/>
    <w:rsid w:val="00786E83"/>
    <w:rsid w:val="00787BF6"/>
    <w:rsid w:val="00790461"/>
    <w:rsid w:val="007910FD"/>
    <w:rsid w:val="007913D8"/>
    <w:rsid w:val="00791862"/>
    <w:rsid w:val="00791942"/>
    <w:rsid w:val="007921A7"/>
    <w:rsid w:val="00792251"/>
    <w:rsid w:val="00792450"/>
    <w:rsid w:val="0079383D"/>
    <w:rsid w:val="00794C22"/>
    <w:rsid w:val="00795AA6"/>
    <w:rsid w:val="00795BD8"/>
    <w:rsid w:val="00796655"/>
    <w:rsid w:val="007971F7"/>
    <w:rsid w:val="007A4256"/>
    <w:rsid w:val="007A49FF"/>
    <w:rsid w:val="007A4F3A"/>
    <w:rsid w:val="007A5599"/>
    <w:rsid w:val="007A5BFF"/>
    <w:rsid w:val="007A62BD"/>
    <w:rsid w:val="007A7D21"/>
    <w:rsid w:val="007B05BB"/>
    <w:rsid w:val="007B07A5"/>
    <w:rsid w:val="007B1071"/>
    <w:rsid w:val="007B135A"/>
    <w:rsid w:val="007B17A4"/>
    <w:rsid w:val="007B1E49"/>
    <w:rsid w:val="007B3F11"/>
    <w:rsid w:val="007B544F"/>
    <w:rsid w:val="007B5BA6"/>
    <w:rsid w:val="007B69C1"/>
    <w:rsid w:val="007B7659"/>
    <w:rsid w:val="007B78EB"/>
    <w:rsid w:val="007B7F9F"/>
    <w:rsid w:val="007C0286"/>
    <w:rsid w:val="007C053B"/>
    <w:rsid w:val="007C1063"/>
    <w:rsid w:val="007C130E"/>
    <w:rsid w:val="007C2F2D"/>
    <w:rsid w:val="007C3A0B"/>
    <w:rsid w:val="007C3B21"/>
    <w:rsid w:val="007C3F58"/>
    <w:rsid w:val="007C6CFA"/>
    <w:rsid w:val="007C6F26"/>
    <w:rsid w:val="007C70C9"/>
    <w:rsid w:val="007C73CB"/>
    <w:rsid w:val="007C7BCC"/>
    <w:rsid w:val="007D0213"/>
    <w:rsid w:val="007D09B1"/>
    <w:rsid w:val="007D103C"/>
    <w:rsid w:val="007D1343"/>
    <w:rsid w:val="007D21D1"/>
    <w:rsid w:val="007D3A04"/>
    <w:rsid w:val="007D3F4F"/>
    <w:rsid w:val="007D4729"/>
    <w:rsid w:val="007D4B94"/>
    <w:rsid w:val="007D4D58"/>
    <w:rsid w:val="007D5758"/>
    <w:rsid w:val="007D6284"/>
    <w:rsid w:val="007D70B2"/>
    <w:rsid w:val="007D7899"/>
    <w:rsid w:val="007D7D51"/>
    <w:rsid w:val="007E0A64"/>
    <w:rsid w:val="007E1031"/>
    <w:rsid w:val="007E284A"/>
    <w:rsid w:val="007E2AE9"/>
    <w:rsid w:val="007E3801"/>
    <w:rsid w:val="007E3A91"/>
    <w:rsid w:val="007E5A02"/>
    <w:rsid w:val="007E6584"/>
    <w:rsid w:val="007F029D"/>
    <w:rsid w:val="007F09C9"/>
    <w:rsid w:val="007F0DEF"/>
    <w:rsid w:val="007F23E9"/>
    <w:rsid w:val="007F2536"/>
    <w:rsid w:val="007F4147"/>
    <w:rsid w:val="007F4440"/>
    <w:rsid w:val="007F4827"/>
    <w:rsid w:val="007F48A1"/>
    <w:rsid w:val="007F4F4C"/>
    <w:rsid w:val="007F6666"/>
    <w:rsid w:val="007F6976"/>
    <w:rsid w:val="007F6B51"/>
    <w:rsid w:val="007F6FA1"/>
    <w:rsid w:val="007F701E"/>
    <w:rsid w:val="007F772F"/>
    <w:rsid w:val="007F77C5"/>
    <w:rsid w:val="007F7A00"/>
    <w:rsid w:val="007F7F5A"/>
    <w:rsid w:val="0080003C"/>
    <w:rsid w:val="008006B5"/>
    <w:rsid w:val="008028E0"/>
    <w:rsid w:val="0080468C"/>
    <w:rsid w:val="00804837"/>
    <w:rsid w:val="00804EE3"/>
    <w:rsid w:val="008054F3"/>
    <w:rsid w:val="00805754"/>
    <w:rsid w:val="00806B8D"/>
    <w:rsid w:val="00806BF7"/>
    <w:rsid w:val="008078BA"/>
    <w:rsid w:val="00807D86"/>
    <w:rsid w:val="00811AF1"/>
    <w:rsid w:val="00811DC7"/>
    <w:rsid w:val="00812FA7"/>
    <w:rsid w:val="00814395"/>
    <w:rsid w:val="00815112"/>
    <w:rsid w:val="00815280"/>
    <w:rsid w:val="00817355"/>
    <w:rsid w:val="00817875"/>
    <w:rsid w:val="00817C1E"/>
    <w:rsid w:val="00817FEA"/>
    <w:rsid w:val="00820070"/>
    <w:rsid w:val="00820C26"/>
    <w:rsid w:val="0082136D"/>
    <w:rsid w:val="00822B19"/>
    <w:rsid w:val="00822BEA"/>
    <w:rsid w:val="00822C0A"/>
    <w:rsid w:val="008247D8"/>
    <w:rsid w:val="00824A0C"/>
    <w:rsid w:val="008253C6"/>
    <w:rsid w:val="0082659C"/>
    <w:rsid w:val="008267CC"/>
    <w:rsid w:val="0082686B"/>
    <w:rsid w:val="00827EF3"/>
    <w:rsid w:val="00830092"/>
    <w:rsid w:val="008311C3"/>
    <w:rsid w:val="008319FB"/>
    <w:rsid w:val="00831CE7"/>
    <w:rsid w:val="00832295"/>
    <w:rsid w:val="0083278D"/>
    <w:rsid w:val="008332A7"/>
    <w:rsid w:val="00833C69"/>
    <w:rsid w:val="00833E7C"/>
    <w:rsid w:val="00835115"/>
    <w:rsid w:val="008354A0"/>
    <w:rsid w:val="00840373"/>
    <w:rsid w:val="008407C7"/>
    <w:rsid w:val="00841CA6"/>
    <w:rsid w:val="00842A17"/>
    <w:rsid w:val="00843352"/>
    <w:rsid w:val="00843968"/>
    <w:rsid w:val="00844321"/>
    <w:rsid w:val="008447E4"/>
    <w:rsid w:val="008459B9"/>
    <w:rsid w:val="00845E12"/>
    <w:rsid w:val="008478F4"/>
    <w:rsid w:val="00847A6B"/>
    <w:rsid w:val="00847F39"/>
    <w:rsid w:val="00850205"/>
    <w:rsid w:val="00850681"/>
    <w:rsid w:val="00850D6F"/>
    <w:rsid w:val="00850FC2"/>
    <w:rsid w:val="00851C16"/>
    <w:rsid w:val="00851F66"/>
    <w:rsid w:val="00852429"/>
    <w:rsid w:val="008524DF"/>
    <w:rsid w:val="008526F6"/>
    <w:rsid w:val="0085347A"/>
    <w:rsid w:val="00853525"/>
    <w:rsid w:val="0085530A"/>
    <w:rsid w:val="00855F0E"/>
    <w:rsid w:val="00855F59"/>
    <w:rsid w:val="008567DB"/>
    <w:rsid w:val="008572E5"/>
    <w:rsid w:val="008576C6"/>
    <w:rsid w:val="00860FAE"/>
    <w:rsid w:val="008639DE"/>
    <w:rsid w:val="0086525F"/>
    <w:rsid w:val="00865474"/>
    <w:rsid w:val="00865812"/>
    <w:rsid w:val="00867095"/>
    <w:rsid w:val="008675D8"/>
    <w:rsid w:val="00867CF0"/>
    <w:rsid w:val="00867E99"/>
    <w:rsid w:val="00870BA4"/>
    <w:rsid w:val="0087105A"/>
    <w:rsid w:val="00871A1D"/>
    <w:rsid w:val="00871A8A"/>
    <w:rsid w:val="008722FB"/>
    <w:rsid w:val="00872B00"/>
    <w:rsid w:val="00873308"/>
    <w:rsid w:val="008738A7"/>
    <w:rsid w:val="008757CA"/>
    <w:rsid w:val="008770CC"/>
    <w:rsid w:val="00877611"/>
    <w:rsid w:val="0088044A"/>
    <w:rsid w:val="00880450"/>
    <w:rsid w:val="008812F4"/>
    <w:rsid w:val="008813C1"/>
    <w:rsid w:val="00881F5A"/>
    <w:rsid w:val="00883214"/>
    <w:rsid w:val="008834BA"/>
    <w:rsid w:val="008835A2"/>
    <w:rsid w:val="00883A6C"/>
    <w:rsid w:val="008843E5"/>
    <w:rsid w:val="00884EF7"/>
    <w:rsid w:val="0088638E"/>
    <w:rsid w:val="00886B35"/>
    <w:rsid w:val="008875DA"/>
    <w:rsid w:val="00887E7D"/>
    <w:rsid w:val="00887F4E"/>
    <w:rsid w:val="00890151"/>
    <w:rsid w:val="008902C3"/>
    <w:rsid w:val="008910AB"/>
    <w:rsid w:val="00892FF1"/>
    <w:rsid w:val="0089392C"/>
    <w:rsid w:val="00893D1B"/>
    <w:rsid w:val="008944FD"/>
    <w:rsid w:val="008949A5"/>
    <w:rsid w:val="00894BDB"/>
    <w:rsid w:val="00895661"/>
    <w:rsid w:val="0089619A"/>
    <w:rsid w:val="00896587"/>
    <w:rsid w:val="008965F4"/>
    <w:rsid w:val="00896D7C"/>
    <w:rsid w:val="00897678"/>
    <w:rsid w:val="008A1B07"/>
    <w:rsid w:val="008A278E"/>
    <w:rsid w:val="008A3273"/>
    <w:rsid w:val="008A38BE"/>
    <w:rsid w:val="008A3A6D"/>
    <w:rsid w:val="008A3E37"/>
    <w:rsid w:val="008A43CE"/>
    <w:rsid w:val="008A4F04"/>
    <w:rsid w:val="008A541B"/>
    <w:rsid w:val="008A562D"/>
    <w:rsid w:val="008A5D65"/>
    <w:rsid w:val="008A5E17"/>
    <w:rsid w:val="008A628F"/>
    <w:rsid w:val="008A667F"/>
    <w:rsid w:val="008A69F8"/>
    <w:rsid w:val="008A7019"/>
    <w:rsid w:val="008A76C9"/>
    <w:rsid w:val="008A7F1F"/>
    <w:rsid w:val="008B1486"/>
    <w:rsid w:val="008B1A0A"/>
    <w:rsid w:val="008B22EB"/>
    <w:rsid w:val="008B2361"/>
    <w:rsid w:val="008B27DF"/>
    <w:rsid w:val="008B2BAB"/>
    <w:rsid w:val="008B3C96"/>
    <w:rsid w:val="008B4312"/>
    <w:rsid w:val="008B5407"/>
    <w:rsid w:val="008B5B95"/>
    <w:rsid w:val="008B6AD3"/>
    <w:rsid w:val="008C03AE"/>
    <w:rsid w:val="008C03E4"/>
    <w:rsid w:val="008C22F1"/>
    <w:rsid w:val="008C33F2"/>
    <w:rsid w:val="008C391D"/>
    <w:rsid w:val="008C3E28"/>
    <w:rsid w:val="008C3F7A"/>
    <w:rsid w:val="008C4C19"/>
    <w:rsid w:val="008C518A"/>
    <w:rsid w:val="008C6595"/>
    <w:rsid w:val="008C6DEC"/>
    <w:rsid w:val="008C721C"/>
    <w:rsid w:val="008C795A"/>
    <w:rsid w:val="008D0068"/>
    <w:rsid w:val="008D16A8"/>
    <w:rsid w:val="008D188C"/>
    <w:rsid w:val="008D27F8"/>
    <w:rsid w:val="008D2B38"/>
    <w:rsid w:val="008D2F4E"/>
    <w:rsid w:val="008D34B8"/>
    <w:rsid w:val="008D383D"/>
    <w:rsid w:val="008D394A"/>
    <w:rsid w:val="008D647D"/>
    <w:rsid w:val="008D65AB"/>
    <w:rsid w:val="008D6E06"/>
    <w:rsid w:val="008D704D"/>
    <w:rsid w:val="008D7B71"/>
    <w:rsid w:val="008E1100"/>
    <w:rsid w:val="008E19C3"/>
    <w:rsid w:val="008E2260"/>
    <w:rsid w:val="008E26C6"/>
    <w:rsid w:val="008E3A9D"/>
    <w:rsid w:val="008E409E"/>
    <w:rsid w:val="008E462C"/>
    <w:rsid w:val="008E663B"/>
    <w:rsid w:val="008E7220"/>
    <w:rsid w:val="008E7344"/>
    <w:rsid w:val="008E77A8"/>
    <w:rsid w:val="008F03FC"/>
    <w:rsid w:val="008F0412"/>
    <w:rsid w:val="008F16DE"/>
    <w:rsid w:val="008F1777"/>
    <w:rsid w:val="008F23A8"/>
    <w:rsid w:val="008F2867"/>
    <w:rsid w:val="008F3B26"/>
    <w:rsid w:val="008F527A"/>
    <w:rsid w:val="008F5352"/>
    <w:rsid w:val="008F5649"/>
    <w:rsid w:val="008F5D0D"/>
    <w:rsid w:val="008F5D9D"/>
    <w:rsid w:val="008F643F"/>
    <w:rsid w:val="008F737E"/>
    <w:rsid w:val="008F79F2"/>
    <w:rsid w:val="008F7B89"/>
    <w:rsid w:val="00900C04"/>
    <w:rsid w:val="00900EFA"/>
    <w:rsid w:val="00900F95"/>
    <w:rsid w:val="009017E6"/>
    <w:rsid w:val="0090200C"/>
    <w:rsid w:val="009022C0"/>
    <w:rsid w:val="00903679"/>
    <w:rsid w:val="0090436A"/>
    <w:rsid w:val="00904653"/>
    <w:rsid w:val="009047FC"/>
    <w:rsid w:val="00904E1B"/>
    <w:rsid w:val="00905006"/>
    <w:rsid w:val="00905BBF"/>
    <w:rsid w:val="00905DCE"/>
    <w:rsid w:val="00906FD5"/>
    <w:rsid w:val="00907502"/>
    <w:rsid w:val="0090796D"/>
    <w:rsid w:val="00910170"/>
    <w:rsid w:val="00910533"/>
    <w:rsid w:val="0091086A"/>
    <w:rsid w:val="009108FF"/>
    <w:rsid w:val="00912B6A"/>
    <w:rsid w:val="009131A7"/>
    <w:rsid w:val="0091431D"/>
    <w:rsid w:val="00914531"/>
    <w:rsid w:val="00914542"/>
    <w:rsid w:val="00914C72"/>
    <w:rsid w:val="00914D3A"/>
    <w:rsid w:val="009155E5"/>
    <w:rsid w:val="009165AC"/>
    <w:rsid w:val="00916D8B"/>
    <w:rsid w:val="00916DD9"/>
    <w:rsid w:val="00920CFE"/>
    <w:rsid w:val="00921572"/>
    <w:rsid w:val="00921C94"/>
    <w:rsid w:val="00921DD2"/>
    <w:rsid w:val="00922861"/>
    <w:rsid w:val="009234F2"/>
    <w:rsid w:val="00923EF9"/>
    <w:rsid w:val="00924C12"/>
    <w:rsid w:val="00924C6C"/>
    <w:rsid w:val="00925471"/>
    <w:rsid w:val="00925B2D"/>
    <w:rsid w:val="00926252"/>
    <w:rsid w:val="009271D5"/>
    <w:rsid w:val="00927270"/>
    <w:rsid w:val="00927828"/>
    <w:rsid w:val="00927C5C"/>
    <w:rsid w:val="009308E5"/>
    <w:rsid w:val="00930A35"/>
    <w:rsid w:val="009314C7"/>
    <w:rsid w:val="00931F4D"/>
    <w:rsid w:val="0093207C"/>
    <w:rsid w:val="009325AD"/>
    <w:rsid w:val="00933F7D"/>
    <w:rsid w:val="009343C2"/>
    <w:rsid w:val="0093490F"/>
    <w:rsid w:val="009354D1"/>
    <w:rsid w:val="00935E8E"/>
    <w:rsid w:val="00936458"/>
    <w:rsid w:val="00936797"/>
    <w:rsid w:val="00937F18"/>
    <w:rsid w:val="0094001C"/>
    <w:rsid w:val="00940DE7"/>
    <w:rsid w:val="009413DC"/>
    <w:rsid w:val="009419C9"/>
    <w:rsid w:val="00942A4D"/>
    <w:rsid w:val="00943FAD"/>
    <w:rsid w:val="00944194"/>
    <w:rsid w:val="00944920"/>
    <w:rsid w:val="009451A7"/>
    <w:rsid w:val="00946791"/>
    <w:rsid w:val="009468F9"/>
    <w:rsid w:val="009474AA"/>
    <w:rsid w:val="00947BB5"/>
    <w:rsid w:val="0095062D"/>
    <w:rsid w:val="00950D1B"/>
    <w:rsid w:val="00951B21"/>
    <w:rsid w:val="00951CD4"/>
    <w:rsid w:val="009522C6"/>
    <w:rsid w:val="009525C9"/>
    <w:rsid w:val="009526CE"/>
    <w:rsid w:val="0095429D"/>
    <w:rsid w:val="00954549"/>
    <w:rsid w:val="009546F3"/>
    <w:rsid w:val="00957FFE"/>
    <w:rsid w:val="0096068B"/>
    <w:rsid w:val="0096080B"/>
    <w:rsid w:val="009609BD"/>
    <w:rsid w:val="00960D69"/>
    <w:rsid w:val="00961035"/>
    <w:rsid w:val="00961995"/>
    <w:rsid w:val="00961F6D"/>
    <w:rsid w:val="00962839"/>
    <w:rsid w:val="0096287F"/>
    <w:rsid w:val="00962AB1"/>
    <w:rsid w:val="00963CC2"/>
    <w:rsid w:val="0096458C"/>
    <w:rsid w:val="0096462E"/>
    <w:rsid w:val="009649B1"/>
    <w:rsid w:val="009649D8"/>
    <w:rsid w:val="00965207"/>
    <w:rsid w:val="0096540D"/>
    <w:rsid w:val="009669EF"/>
    <w:rsid w:val="00966DA5"/>
    <w:rsid w:val="009671A7"/>
    <w:rsid w:val="00971164"/>
    <w:rsid w:val="009714CB"/>
    <w:rsid w:val="00971D00"/>
    <w:rsid w:val="00971E48"/>
    <w:rsid w:val="00972B6C"/>
    <w:rsid w:val="009730BF"/>
    <w:rsid w:val="00974A1F"/>
    <w:rsid w:val="009752B3"/>
    <w:rsid w:val="009754A3"/>
    <w:rsid w:val="009758E3"/>
    <w:rsid w:val="00976969"/>
    <w:rsid w:val="00976B78"/>
    <w:rsid w:val="009809D8"/>
    <w:rsid w:val="00981206"/>
    <w:rsid w:val="009819A0"/>
    <w:rsid w:val="00981D4E"/>
    <w:rsid w:val="00981E75"/>
    <w:rsid w:val="00982093"/>
    <w:rsid w:val="0098235F"/>
    <w:rsid w:val="00982C19"/>
    <w:rsid w:val="00982DBC"/>
    <w:rsid w:val="009837C6"/>
    <w:rsid w:val="00983C92"/>
    <w:rsid w:val="009849DE"/>
    <w:rsid w:val="00984C9D"/>
    <w:rsid w:val="00985D27"/>
    <w:rsid w:val="009867F4"/>
    <w:rsid w:val="00986D2B"/>
    <w:rsid w:val="0099094D"/>
    <w:rsid w:val="00990F80"/>
    <w:rsid w:val="00991512"/>
    <w:rsid w:val="00992F50"/>
    <w:rsid w:val="009937A9"/>
    <w:rsid w:val="00993D90"/>
    <w:rsid w:val="00993EFE"/>
    <w:rsid w:val="009944E3"/>
    <w:rsid w:val="0099453D"/>
    <w:rsid w:val="00994EDE"/>
    <w:rsid w:val="00994FD4"/>
    <w:rsid w:val="00995D6C"/>
    <w:rsid w:val="00995ECF"/>
    <w:rsid w:val="00996113"/>
    <w:rsid w:val="0099675C"/>
    <w:rsid w:val="009968F7"/>
    <w:rsid w:val="00996DCD"/>
    <w:rsid w:val="009979FE"/>
    <w:rsid w:val="009A04A1"/>
    <w:rsid w:val="009A1E69"/>
    <w:rsid w:val="009A2A73"/>
    <w:rsid w:val="009A3AEA"/>
    <w:rsid w:val="009A3F89"/>
    <w:rsid w:val="009A4613"/>
    <w:rsid w:val="009A4797"/>
    <w:rsid w:val="009A593E"/>
    <w:rsid w:val="009A5E88"/>
    <w:rsid w:val="009A6A21"/>
    <w:rsid w:val="009A7375"/>
    <w:rsid w:val="009B0CF9"/>
    <w:rsid w:val="009B1386"/>
    <w:rsid w:val="009B30BE"/>
    <w:rsid w:val="009B3805"/>
    <w:rsid w:val="009B4B29"/>
    <w:rsid w:val="009B558E"/>
    <w:rsid w:val="009B586B"/>
    <w:rsid w:val="009B5EB1"/>
    <w:rsid w:val="009B5FCC"/>
    <w:rsid w:val="009B63C6"/>
    <w:rsid w:val="009B6FF7"/>
    <w:rsid w:val="009B7BB2"/>
    <w:rsid w:val="009C0491"/>
    <w:rsid w:val="009C0C07"/>
    <w:rsid w:val="009C0F16"/>
    <w:rsid w:val="009C1856"/>
    <w:rsid w:val="009C1B1F"/>
    <w:rsid w:val="009C2BD7"/>
    <w:rsid w:val="009C35FB"/>
    <w:rsid w:val="009C3F05"/>
    <w:rsid w:val="009C470B"/>
    <w:rsid w:val="009C53C9"/>
    <w:rsid w:val="009C570B"/>
    <w:rsid w:val="009C591A"/>
    <w:rsid w:val="009C6045"/>
    <w:rsid w:val="009C63CB"/>
    <w:rsid w:val="009C71CC"/>
    <w:rsid w:val="009C7F50"/>
    <w:rsid w:val="009D029A"/>
    <w:rsid w:val="009D02CE"/>
    <w:rsid w:val="009D0641"/>
    <w:rsid w:val="009D0DEF"/>
    <w:rsid w:val="009D114E"/>
    <w:rsid w:val="009D22A9"/>
    <w:rsid w:val="009D2B7C"/>
    <w:rsid w:val="009D3D3B"/>
    <w:rsid w:val="009D4037"/>
    <w:rsid w:val="009D456C"/>
    <w:rsid w:val="009D4BCD"/>
    <w:rsid w:val="009D54D6"/>
    <w:rsid w:val="009D59D4"/>
    <w:rsid w:val="009D6693"/>
    <w:rsid w:val="009D6AF6"/>
    <w:rsid w:val="009D7064"/>
    <w:rsid w:val="009D70A3"/>
    <w:rsid w:val="009E0513"/>
    <w:rsid w:val="009E0D1D"/>
    <w:rsid w:val="009E1993"/>
    <w:rsid w:val="009E2F22"/>
    <w:rsid w:val="009E51F9"/>
    <w:rsid w:val="009E6E97"/>
    <w:rsid w:val="009E71BF"/>
    <w:rsid w:val="009F0AF9"/>
    <w:rsid w:val="009F1A54"/>
    <w:rsid w:val="009F2A37"/>
    <w:rsid w:val="009F3B90"/>
    <w:rsid w:val="009F434B"/>
    <w:rsid w:val="009F4E44"/>
    <w:rsid w:val="009F53C9"/>
    <w:rsid w:val="009F61DA"/>
    <w:rsid w:val="009F6B6F"/>
    <w:rsid w:val="00A00D18"/>
    <w:rsid w:val="00A02400"/>
    <w:rsid w:val="00A03464"/>
    <w:rsid w:val="00A0399F"/>
    <w:rsid w:val="00A03CDC"/>
    <w:rsid w:val="00A041D7"/>
    <w:rsid w:val="00A04D43"/>
    <w:rsid w:val="00A05699"/>
    <w:rsid w:val="00A05D87"/>
    <w:rsid w:val="00A06D3A"/>
    <w:rsid w:val="00A06DA1"/>
    <w:rsid w:val="00A07FE9"/>
    <w:rsid w:val="00A10B5F"/>
    <w:rsid w:val="00A10F1C"/>
    <w:rsid w:val="00A122B3"/>
    <w:rsid w:val="00A132BE"/>
    <w:rsid w:val="00A134B0"/>
    <w:rsid w:val="00A14DA9"/>
    <w:rsid w:val="00A15FCE"/>
    <w:rsid w:val="00A16C17"/>
    <w:rsid w:val="00A17A49"/>
    <w:rsid w:val="00A20543"/>
    <w:rsid w:val="00A212D1"/>
    <w:rsid w:val="00A21459"/>
    <w:rsid w:val="00A21B6C"/>
    <w:rsid w:val="00A22755"/>
    <w:rsid w:val="00A22FC3"/>
    <w:rsid w:val="00A231A0"/>
    <w:rsid w:val="00A238C2"/>
    <w:rsid w:val="00A246B7"/>
    <w:rsid w:val="00A255AC"/>
    <w:rsid w:val="00A25D4A"/>
    <w:rsid w:val="00A260F9"/>
    <w:rsid w:val="00A265A4"/>
    <w:rsid w:val="00A26F0D"/>
    <w:rsid w:val="00A271B1"/>
    <w:rsid w:val="00A2743E"/>
    <w:rsid w:val="00A301BF"/>
    <w:rsid w:val="00A31E85"/>
    <w:rsid w:val="00A31EB3"/>
    <w:rsid w:val="00A3229A"/>
    <w:rsid w:val="00A32BE5"/>
    <w:rsid w:val="00A32E5B"/>
    <w:rsid w:val="00A3346B"/>
    <w:rsid w:val="00A341DA"/>
    <w:rsid w:val="00A34DFB"/>
    <w:rsid w:val="00A34FED"/>
    <w:rsid w:val="00A35057"/>
    <w:rsid w:val="00A35694"/>
    <w:rsid w:val="00A36195"/>
    <w:rsid w:val="00A36B4A"/>
    <w:rsid w:val="00A373B4"/>
    <w:rsid w:val="00A41261"/>
    <w:rsid w:val="00A43F04"/>
    <w:rsid w:val="00A43F39"/>
    <w:rsid w:val="00A45EC5"/>
    <w:rsid w:val="00A506B9"/>
    <w:rsid w:val="00A50E41"/>
    <w:rsid w:val="00A516C4"/>
    <w:rsid w:val="00A51941"/>
    <w:rsid w:val="00A52512"/>
    <w:rsid w:val="00A52988"/>
    <w:rsid w:val="00A5392F"/>
    <w:rsid w:val="00A54760"/>
    <w:rsid w:val="00A54DEB"/>
    <w:rsid w:val="00A55B44"/>
    <w:rsid w:val="00A5787D"/>
    <w:rsid w:val="00A60532"/>
    <w:rsid w:val="00A61B7A"/>
    <w:rsid w:val="00A622CE"/>
    <w:rsid w:val="00A63A24"/>
    <w:rsid w:val="00A6429E"/>
    <w:rsid w:val="00A6474B"/>
    <w:rsid w:val="00A6760C"/>
    <w:rsid w:val="00A67666"/>
    <w:rsid w:val="00A67A19"/>
    <w:rsid w:val="00A67C24"/>
    <w:rsid w:val="00A67F16"/>
    <w:rsid w:val="00A700D6"/>
    <w:rsid w:val="00A71283"/>
    <w:rsid w:val="00A715E8"/>
    <w:rsid w:val="00A71D4E"/>
    <w:rsid w:val="00A72774"/>
    <w:rsid w:val="00A736C5"/>
    <w:rsid w:val="00A73C40"/>
    <w:rsid w:val="00A754D1"/>
    <w:rsid w:val="00A75A07"/>
    <w:rsid w:val="00A7609C"/>
    <w:rsid w:val="00A769DB"/>
    <w:rsid w:val="00A81075"/>
    <w:rsid w:val="00A824E6"/>
    <w:rsid w:val="00A827F8"/>
    <w:rsid w:val="00A83785"/>
    <w:rsid w:val="00A83BDF"/>
    <w:rsid w:val="00A83E2E"/>
    <w:rsid w:val="00A84127"/>
    <w:rsid w:val="00A84F42"/>
    <w:rsid w:val="00A84FFA"/>
    <w:rsid w:val="00A8534A"/>
    <w:rsid w:val="00A85AFB"/>
    <w:rsid w:val="00A85D25"/>
    <w:rsid w:val="00A86528"/>
    <w:rsid w:val="00A87E9B"/>
    <w:rsid w:val="00A90143"/>
    <w:rsid w:val="00A90274"/>
    <w:rsid w:val="00A90630"/>
    <w:rsid w:val="00A90BE4"/>
    <w:rsid w:val="00A90F1F"/>
    <w:rsid w:val="00A91492"/>
    <w:rsid w:val="00A91951"/>
    <w:rsid w:val="00A91FFF"/>
    <w:rsid w:val="00A93052"/>
    <w:rsid w:val="00A9421A"/>
    <w:rsid w:val="00A94784"/>
    <w:rsid w:val="00A94A6F"/>
    <w:rsid w:val="00A9512F"/>
    <w:rsid w:val="00A951A1"/>
    <w:rsid w:val="00A96B23"/>
    <w:rsid w:val="00AA00D9"/>
    <w:rsid w:val="00AA158B"/>
    <w:rsid w:val="00AA2A9E"/>
    <w:rsid w:val="00AA37D7"/>
    <w:rsid w:val="00AA40F4"/>
    <w:rsid w:val="00AA42A7"/>
    <w:rsid w:val="00AA5343"/>
    <w:rsid w:val="00AA5AC5"/>
    <w:rsid w:val="00AA5CBB"/>
    <w:rsid w:val="00AA6356"/>
    <w:rsid w:val="00AA6D6A"/>
    <w:rsid w:val="00AA718A"/>
    <w:rsid w:val="00AA75E2"/>
    <w:rsid w:val="00AA770A"/>
    <w:rsid w:val="00AB09B0"/>
    <w:rsid w:val="00AB0D60"/>
    <w:rsid w:val="00AB16D0"/>
    <w:rsid w:val="00AB2744"/>
    <w:rsid w:val="00AB29DE"/>
    <w:rsid w:val="00AB35A4"/>
    <w:rsid w:val="00AB4389"/>
    <w:rsid w:val="00AB46AA"/>
    <w:rsid w:val="00AB6457"/>
    <w:rsid w:val="00AB6C0F"/>
    <w:rsid w:val="00AB6F51"/>
    <w:rsid w:val="00AC5302"/>
    <w:rsid w:val="00AC5F69"/>
    <w:rsid w:val="00AC636A"/>
    <w:rsid w:val="00AC6A69"/>
    <w:rsid w:val="00AC6C8E"/>
    <w:rsid w:val="00AC7100"/>
    <w:rsid w:val="00AC73F3"/>
    <w:rsid w:val="00AD0373"/>
    <w:rsid w:val="00AD211C"/>
    <w:rsid w:val="00AD332F"/>
    <w:rsid w:val="00AD473B"/>
    <w:rsid w:val="00AD4758"/>
    <w:rsid w:val="00AD47A2"/>
    <w:rsid w:val="00AD57F9"/>
    <w:rsid w:val="00AD5862"/>
    <w:rsid w:val="00AD5B6B"/>
    <w:rsid w:val="00AD72D1"/>
    <w:rsid w:val="00AE20B9"/>
    <w:rsid w:val="00AE2567"/>
    <w:rsid w:val="00AE46D7"/>
    <w:rsid w:val="00AE4E89"/>
    <w:rsid w:val="00AE534F"/>
    <w:rsid w:val="00AE5C87"/>
    <w:rsid w:val="00AE66F4"/>
    <w:rsid w:val="00AE74C7"/>
    <w:rsid w:val="00AE79DE"/>
    <w:rsid w:val="00AF311C"/>
    <w:rsid w:val="00AF3B0C"/>
    <w:rsid w:val="00AF4CF7"/>
    <w:rsid w:val="00AF51EC"/>
    <w:rsid w:val="00AF66CB"/>
    <w:rsid w:val="00AF6BA9"/>
    <w:rsid w:val="00B0021F"/>
    <w:rsid w:val="00B00A84"/>
    <w:rsid w:val="00B02368"/>
    <w:rsid w:val="00B02EEA"/>
    <w:rsid w:val="00B042F6"/>
    <w:rsid w:val="00B04530"/>
    <w:rsid w:val="00B06096"/>
    <w:rsid w:val="00B07006"/>
    <w:rsid w:val="00B07659"/>
    <w:rsid w:val="00B07C03"/>
    <w:rsid w:val="00B101DC"/>
    <w:rsid w:val="00B13683"/>
    <w:rsid w:val="00B15008"/>
    <w:rsid w:val="00B17531"/>
    <w:rsid w:val="00B17D0A"/>
    <w:rsid w:val="00B22D0F"/>
    <w:rsid w:val="00B23407"/>
    <w:rsid w:val="00B241B0"/>
    <w:rsid w:val="00B250B8"/>
    <w:rsid w:val="00B250FD"/>
    <w:rsid w:val="00B264E2"/>
    <w:rsid w:val="00B303DE"/>
    <w:rsid w:val="00B322AC"/>
    <w:rsid w:val="00B327E4"/>
    <w:rsid w:val="00B327F1"/>
    <w:rsid w:val="00B32D69"/>
    <w:rsid w:val="00B3432F"/>
    <w:rsid w:val="00B347EA"/>
    <w:rsid w:val="00B34D4A"/>
    <w:rsid w:val="00B36D91"/>
    <w:rsid w:val="00B4038F"/>
    <w:rsid w:val="00B406C5"/>
    <w:rsid w:val="00B413D3"/>
    <w:rsid w:val="00B4209F"/>
    <w:rsid w:val="00B449E4"/>
    <w:rsid w:val="00B44FFC"/>
    <w:rsid w:val="00B4696C"/>
    <w:rsid w:val="00B46A97"/>
    <w:rsid w:val="00B46D4F"/>
    <w:rsid w:val="00B47299"/>
    <w:rsid w:val="00B4778F"/>
    <w:rsid w:val="00B50DF0"/>
    <w:rsid w:val="00B52B34"/>
    <w:rsid w:val="00B52E13"/>
    <w:rsid w:val="00B53444"/>
    <w:rsid w:val="00B5520C"/>
    <w:rsid w:val="00B55DA5"/>
    <w:rsid w:val="00B56C77"/>
    <w:rsid w:val="00B57613"/>
    <w:rsid w:val="00B608C8"/>
    <w:rsid w:val="00B61566"/>
    <w:rsid w:val="00B62536"/>
    <w:rsid w:val="00B62831"/>
    <w:rsid w:val="00B62E0F"/>
    <w:rsid w:val="00B636F6"/>
    <w:rsid w:val="00B6396A"/>
    <w:rsid w:val="00B63FC3"/>
    <w:rsid w:val="00B6450D"/>
    <w:rsid w:val="00B6485C"/>
    <w:rsid w:val="00B64EC5"/>
    <w:rsid w:val="00B65E86"/>
    <w:rsid w:val="00B66065"/>
    <w:rsid w:val="00B668E1"/>
    <w:rsid w:val="00B66B9A"/>
    <w:rsid w:val="00B67495"/>
    <w:rsid w:val="00B67A98"/>
    <w:rsid w:val="00B7105E"/>
    <w:rsid w:val="00B7177E"/>
    <w:rsid w:val="00B71DE1"/>
    <w:rsid w:val="00B75644"/>
    <w:rsid w:val="00B765B7"/>
    <w:rsid w:val="00B76866"/>
    <w:rsid w:val="00B76921"/>
    <w:rsid w:val="00B76B95"/>
    <w:rsid w:val="00B779AC"/>
    <w:rsid w:val="00B80646"/>
    <w:rsid w:val="00B80812"/>
    <w:rsid w:val="00B816CB"/>
    <w:rsid w:val="00B8254D"/>
    <w:rsid w:val="00B82865"/>
    <w:rsid w:val="00B829F7"/>
    <w:rsid w:val="00B82CD4"/>
    <w:rsid w:val="00B834FA"/>
    <w:rsid w:val="00B8392E"/>
    <w:rsid w:val="00B85327"/>
    <w:rsid w:val="00B85A67"/>
    <w:rsid w:val="00B875BD"/>
    <w:rsid w:val="00B90951"/>
    <w:rsid w:val="00B9113B"/>
    <w:rsid w:val="00B92340"/>
    <w:rsid w:val="00B92DE4"/>
    <w:rsid w:val="00B9326C"/>
    <w:rsid w:val="00B933EA"/>
    <w:rsid w:val="00B934C0"/>
    <w:rsid w:val="00B93DE5"/>
    <w:rsid w:val="00B93E9C"/>
    <w:rsid w:val="00B94358"/>
    <w:rsid w:val="00B9554B"/>
    <w:rsid w:val="00B955B6"/>
    <w:rsid w:val="00B95FE1"/>
    <w:rsid w:val="00B977A8"/>
    <w:rsid w:val="00BA05FA"/>
    <w:rsid w:val="00BA1288"/>
    <w:rsid w:val="00BA173B"/>
    <w:rsid w:val="00BA1D7C"/>
    <w:rsid w:val="00BA1E32"/>
    <w:rsid w:val="00BA2CD2"/>
    <w:rsid w:val="00BA31BD"/>
    <w:rsid w:val="00BA4592"/>
    <w:rsid w:val="00BA491F"/>
    <w:rsid w:val="00BA5AC6"/>
    <w:rsid w:val="00BA5C37"/>
    <w:rsid w:val="00BA60C9"/>
    <w:rsid w:val="00BA6875"/>
    <w:rsid w:val="00BA6938"/>
    <w:rsid w:val="00BA6CB6"/>
    <w:rsid w:val="00BA6FF9"/>
    <w:rsid w:val="00BA733A"/>
    <w:rsid w:val="00BA7C92"/>
    <w:rsid w:val="00BB00C0"/>
    <w:rsid w:val="00BB0779"/>
    <w:rsid w:val="00BB0FE0"/>
    <w:rsid w:val="00BB1519"/>
    <w:rsid w:val="00BB20A6"/>
    <w:rsid w:val="00BB2C4F"/>
    <w:rsid w:val="00BB33A8"/>
    <w:rsid w:val="00BB36E6"/>
    <w:rsid w:val="00BB3C62"/>
    <w:rsid w:val="00BB3FB5"/>
    <w:rsid w:val="00BB40CB"/>
    <w:rsid w:val="00BB4F37"/>
    <w:rsid w:val="00BB52F3"/>
    <w:rsid w:val="00BB5A33"/>
    <w:rsid w:val="00BB6330"/>
    <w:rsid w:val="00BB6515"/>
    <w:rsid w:val="00BB6D2A"/>
    <w:rsid w:val="00BC040C"/>
    <w:rsid w:val="00BC2DA4"/>
    <w:rsid w:val="00BC2DDA"/>
    <w:rsid w:val="00BC478F"/>
    <w:rsid w:val="00BC4A52"/>
    <w:rsid w:val="00BC73F1"/>
    <w:rsid w:val="00BC789B"/>
    <w:rsid w:val="00BC7CCF"/>
    <w:rsid w:val="00BC7E32"/>
    <w:rsid w:val="00BD071B"/>
    <w:rsid w:val="00BD0817"/>
    <w:rsid w:val="00BD1707"/>
    <w:rsid w:val="00BD1AF2"/>
    <w:rsid w:val="00BD1C17"/>
    <w:rsid w:val="00BD3372"/>
    <w:rsid w:val="00BD3DA2"/>
    <w:rsid w:val="00BD440D"/>
    <w:rsid w:val="00BD5BEE"/>
    <w:rsid w:val="00BD5DC6"/>
    <w:rsid w:val="00BD5E55"/>
    <w:rsid w:val="00BD6C69"/>
    <w:rsid w:val="00BD7ACC"/>
    <w:rsid w:val="00BE0358"/>
    <w:rsid w:val="00BE0933"/>
    <w:rsid w:val="00BE0D38"/>
    <w:rsid w:val="00BE11D6"/>
    <w:rsid w:val="00BE1607"/>
    <w:rsid w:val="00BE1717"/>
    <w:rsid w:val="00BE22C8"/>
    <w:rsid w:val="00BE286C"/>
    <w:rsid w:val="00BE2A2E"/>
    <w:rsid w:val="00BE2DBB"/>
    <w:rsid w:val="00BE3423"/>
    <w:rsid w:val="00BE5CD9"/>
    <w:rsid w:val="00BE735A"/>
    <w:rsid w:val="00BE7AF5"/>
    <w:rsid w:val="00BF04AF"/>
    <w:rsid w:val="00BF06E9"/>
    <w:rsid w:val="00BF085A"/>
    <w:rsid w:val="00BF1398"/>
    <w:rsid w:val="00BF2694"/>
    <w:rsid w:val="00BF3448"/>
    <w:rsid w:val="00BF5720"/>
    <w:rsid w:val="00BF6728"/>
    <w:rsid w:val="00BF6C75"/>
    <w:rsid w:val="00C00564"/>
    <w:rsid w:val="00C00FE5"/>
    <w:rsid w:val="00C02B01"/>
    <w:rsid w:val="00C03634"/>
    <w:rsid w:val="00C05242"/>
    <w:rsid w:val="00C05A05"/>
    <w:rsid w:val="00C06814"/>
    <w:rsid w:val="00C0763D"/>
    <w:rsid w:val="00C07B2B"/>
    <w:rsid w:val="00C07C75"/>
    <w:rsid w:val="00C101D7"/>
    <w:rsid w:val="00C101E7"/>
    <w:rsid w:val="00C10476"/>
    <w:rsid w:val="00C1081C"/>
    <w:rsid w:val="00C114D1"/>
    <w:rsid w:val="00C11CE3"/>
    <w:rsid w:val="00C1200E"/>
    <w:rsid w:val="00C12364"/>
    <w:rsid w:val="00C12636"/>
    <w:rsid w:val="00C147A4"/>
    <w:rsid w:val="00C14F89"/>
    <w:rsid w:val="00C15122"/>
    <w:rsid w:val="00C15507"/>
    <w:rsid w:val="00C1681B"/>
    <w:rsid w:val="00C16EEC"/>
    <w:rsid w:val="00C20093"/>
    <w:rsid w:val="00C200A3"/>
    <w:rsid w:val="00C207AA"/>
    <w:rsid w:val="00C2163B"/>
    <w:rsid w:val="00C21B48"/>
    <w:rsid w:val="00C2279E"/>
    <w:rsid w:val="00C2346D"/>
    <w:rsid w:val="00C23AE2"/>
    <w:rsid w:val="00C23EAB"/>
    <w:rsid w:val="00C2401E"/>
    <w:rsid w:val="00C24794"/>
    <w:rsid w:val="00C2494C"/>
    <w:rsid w:val="00C2765B"/>
    <w:rsid w:val="00C31296"/>
    <w:rsid w:val="00C31D63"/>
    <w:rsid w:val="00C320C8"/>
    <w:rsid w:val="00C322A3"/>
    <w:rsid w:val="00C32A42"/>
    <w:rsid w:val="00C32DFA"/>
    <w:rsid w:val="00C33614"/>
    <w:rsid w:val="00C33EC5"/>
    <w:rsid w:val="00C34618"/>
    <w:rsid w:val="00C3519F"/>
    <w:rsid w:val="00C35871"/>
    <w:rsid w:val="00C3644D"/>
    <w:rsid w:val="00C369E1"/>
    <w:rsid w:val="00C40DB3"/>
    <w:rsid w:val="00C4343B"/>
    <w:rsid w:val="00C4386F"/>
    <w:rsid w:val="00C44279"/>
    <w:rsid w:val="00C47484"/>
    <w:rsid w:val="00C47D1F"/>
    <w:rsid w:val="00C50465"/>
    <w:rsid w:val="00C5052B"/>
    <w:rsid w:val="00C512C6"/>
    <w:rsid w:val="00C5220F"/>
    <w:rsid w:val="00C525D7"/>
    <w:rsid w:val="00C54591"/>
    <w:rsid w:val="00C545CF"/>
    <w:rsid w:val="00C54690"/>
    <w:rsid w:val="00C5477F"/>
    <w:rsid w:val="00C54F9C"/>
    <w:rsid w:val="00C56479"/>
    <w:rsid w:val="00C57C6A"/>
    <w:rsid w:val="00C603F6"/>
    <w:rsid w:val="00C6174F"/>
    <w:rsid w:val="00C61BED"/>
    <w:rsid w:val="00C623C3"/>
    <w:rsid w:val="00C62E3C"/>
    <w:rsid w:val="00C6327A"/>
    <w:rsid w:val="00C641DE"/>
    <w:rsid w:val="00C64954"/>
    <w:rsid w:val="00C666DE"/>
    <w:rsid w:val="00C66CFD"/>
    <w:rsid w:val="00C6755F"/>
    <w:rsid w:val="00C67720"/>
    <w:rsid w:val="00C677AA"/>
    <w:rsid w:val="00C677B9"/>
    <w:rsid w:val="00C701F0"/>
    <w:rsid w:val="00C718E5"/>
    <w:rsid w:val="00C71C8E"/>
    <w:rsid w:val="00C71F75"/>
    <w:rsid w:val="00C75AEB"/>
    <w:rsid w:val="00C75D81"/>
    <w:rsid w:val="00C766EF"/>
    <w:rsid w:val="00C767AD"/>
    <w:rsid w:val="00C768C9"/>
    <w:rsid w:val="00C76E42"/>
    <w:rsid w:val="00C77237"/>
    <w:rsid w:val="00C80008"/>
    <w:rsid w:val="00C801C1"/>
    <w:rsid w:val="00C80B8A"/>
    <w:rsid w:val="00C80DA2"/>
    <w:rsid w:val="00C80E16"/>
    <w:rsid w:val="00C80E81"/>
    <w:rsid w:val="00C80EAE"/>
    <w:rsid w:val="00C816A7"/>
    <w:rsid w:val="00C81FB5"/>
    <w:rsid w:val="00C82139"/>
    <w:rsid w:val="00C82954"/>
    <w:rsid w:val="00C82BD6"/>
    <w:rsid w:val="00C82ECB"/>
    <w:rsid w:val="00C84501"/>
    <w:rsid w:val="00C8620D"/>
    <w:rsid w:val="00C8699B"/>
    <w:rsid w:val="00C87629"/>
    <w:rsid w:val="00C87B34"/>
    <w:rsid w:val="00C87D73"/>
    <w:rsid w:val="00C9013D"/>
    <w:rsid w:val="00C90744"/>
    <w:rsid w:val="00C9123B"/>
    <w:rsid w:val="00C916AB"/>
    <w:rsid w:val="00C93703"/>
    <w:rsid w:val="00C93796"/>
    <w:rsid w:val="00C93C7A"/>
    <w:rsid w:val="00C93D94"/>
    <w:rsid w:val="00C93F9B"/>
    <w:rsid w:val="00C940A0"/>
    <w:rsid w:val="00CA1495"/>
    <w:rsid w:val="00CA2013"/>
    <w:rsid w:val="00CA2AF7"/>
    <w:rsid w:val="00CA2DB6"/>
    <w:rsid w:val="00CA2DE1"/>
    <w:rsid w:val="00CA35BF"/>
    <w:rsid w:val="00CA42B1"/>
    <w:rsid w:val="00CA4901"/>
    <w:rsid w:val="00CA4A28"/>
    <w:rsid w:val="00CA4B11"/>
    <w:rsid w:val="00CA5926"/>
    <w:rsid w:val="00CA5EEC"/>
    <w:rsid w:val="00CA64ED"/>
    <w:rsid w:val="00CA71C4"/>
    <w:rsid w:val="00CA7513"/>
    <w:rsid w:val="00CB0A5E"/>
    <w:rsid w:val="00CB0CEB"/>
    <w:rsid w:val="00CB15F6"/>
    <w:rsid w:val="00CB16B2"/>
    <w:rsid w:val="00CB2BA4"/>
    <w:rsid w:val="00CB2EA5"/>
    <w:rsid w:val="00CB333D"/>
    <w:rsid w:val="00CB35F5"/>
    <w:rsid w:val="00CB5693"/>
    <w:rsid w:val="00CB5C3F"/>
    <w:rsid w:val="00CB6C6E"/>
    <w:rsid w:val="00CB7569"/>
    <w:rsid w:val="00CB77E6"/>
    <w:rsid w:val="00CB7D6F"/>
    <w:rsid w:val="00CC1FCD"/>
    <w:rsid w:val="00CC23CD"/>
    <w:rsid w:val="00CC2B7A"/>
    <w:rsid w:val="00CC2FE3"/>
    <w:rsid w:val="00CC507E"/>
    <w:rsid w:val="00CC53C7"/>
    <w:rsid w:val="00CC5D6F"/>
    <w:rsid w:val="00CC5ED4"/>
    <w:rsid w:val="00CC6966"/>
    <w:rsid w:val="00CC6969"/>
    <w:rsid w:val="00CC6A7F"/>
    <w:rsid w:val="00CC7694"/>
    <w:rsid w:val="00CC7DFD"/>
    <w:rsid w:val="00CD0D60"/>
    <w:rsid w:val="00CD0F20"/>
    <w:rsid w:val="00CD129F"/>
    <w:rsid w:val="00CD145A"/>
    <w:rsid w:val="00CD1CC3"/>
    <w:rsid w:val="00CD1F24"/>
    <w:rsid w:val="00CD2040"/>
    <w:rsid w:val="00CD441D"/>
    <w:rsid w:val="00CD44F6"/>
    <w:rsid w:val="00CD50FD"/>
    <w:rsid w:val="00CD531F"/>
    <w:rsid w:val="00CD57C1"/>
    <w:rsid w:val="00CD5D35"/>
    <w:rsid w:val="00CD62E6"/>
    <w:rsid w:val="00CD731A"/>
    <w:rsid w:val="00CD77D2"/>
    <w:rsid w:val="00CD780E"/>
    <w:rsid w:val="00CD79E3"/>
    <w:rsid w:val="00CE01E9"/>
    <w:rsid w:val="00CE1046"/>
    <w:rsid w:val="00CE1E55"/>
    <w:rsid w:val="00CE3733"/>
    <w:rsid w:val="00CE3EC2"/>
    <w:rsid w:val="00CE4371"/>
    <w:rsid w:val="00CE597A"/>
    <w:rsid w:val="00CE671F"/>
    <w:rsid w:val="00CE674B"/>
    <w:rsid w:val="00CF1494"/>
    <w:rsid w:val="00CF2858"/>
    <w:rsid w:val="00CF3184"/>
    <w:rsid w:val="00CF3AD5"/>
    <w:rsid w:val="00CF3D2F"/>
    <w:rsid w:val="00CF4BFA"/>
    <w:rsid w:val="00CF50EA"/>
    <w:rsid w:val="00CF5774"/>
    <w:rsid w:val="00CF5C51"/>
    <w:rsid w:val="00CF7557"/>
    <w:rsid w:val="00D0162F"/>
    <w:rsid w:val="00D01B7B"/>
    <w:rsid w:val="00D0231E"/>
    <w:rsid w:val="00D02F8A"/>
    <w:rsid w:val="00D0323F"/>
    <w:rsid w:val="00D032EA"/>
    <w:rsid w:val="00D03392"/>
    <w:rsid w:val="00D03A10"/>
    <w:rsid w:val="00D047C8"/>
    <w:rsid w:val="00D05532"/>
    <w:rsid w:val="00D05A80"/>
    <w:rsid w:val="00D05DC2"/>
    <w:rsid w:val="00D06040"/>
    <w:rsid w:val="00D06BA9"/>
    <w:rsid w:val="00D10FE7"/>
    <w:rsid w:val="00D139F9"/>
    <w:rsid w:val="00D1413F"/>
    <w:rsid w:val="00D14627"/>
    <w:rsid w:val="00D14DAD"/>
    <w:rsid w:val="00D155B5"/>
    <w:rsid w:val="00D16053"/>
    <w:rsid w:val="00D174DA"/>
    <w:rsid w:val="00D17B64"/>
    <w:rsid w:val="00D2085A"/>
    <w:rsid w:val="00D227A5"/>
    <w:rsid w:val="00D238D3"/>
    <w:rsid w:val="00D24689"/>
    <w:rsid w:val="00D249F5"/>
    <w:rsid w:val="00D24A0B"/>
    <w:rsid w:val="00D25EAB"/>
    <w:rsid w:val="00D2606E"/>
    <w:rsid w:val="00D26A4B"/>
    <w:rsid w:val="00D301DA"/>
    <w:rsid w:val="00D303FF"/>
    <w:rsid w:val="00D318B1"/>
    <w:rsid w:val="00D31B7D"/>
    <w:rsid w:val="00D31E19"/>
    <w:rsid w:val="00D328E3"/>
    <w:rsid w:val="00D35BAA"/>
    <w:rsid w:val="00D366F7"/>
    <w:rsid w:val="00D36ADA"/>
    <w:rsid w:val="00D36D5C"/>
    <w:rsid w:val="00D36DF1"/>
    <w:rsid w:val="00D3757D"/>
    <w:rsid w:val="00D37B3C"/>
    <w:rsid w:val="00D37B5A"/>
    <w:rsid w:val="00D400B6"/>
    <w:rsid w:val="00D40956"/>
    <w:rsid w:val="00D40C6B"/>
    <w:rsid w:val="00D414F0"/>
    <w:rsid w:val="00D41AAB"/>
    <w:rsid w:val="00D41C14"/>
    <w:rsid w:val="00D42AC4"/>
    <w:rsid w:val="00D43377"/>
    <w:rsid w:val="00D43D28"/>
    <w:rsid w:val="00D44C91"/>
    <w:rsid w:val="00D45488"/>
    <w:rsid w:val="00D45589"/>
    <w:rsid w:val="00D45665"/>
    <w:rsid w:val="00D45DF6"/>
    <w:rsid w:val="00D45EF1"/>
    <w:rsid w:val="00D47169"/>
    <w:rsid w:val="00D50339"/>
    <w:rsid w:val="00D50FA4"/>
    <w:rsid w:val="00D5228D"/>
    <w:rsid w:val="00D52606"/>
    <w:rsid w:val="00D534F4"/>
    <w:rsid w:val="00D53D0A"/>
    <w:rsid w:val="00D54A91"/>
    <w:rsid w:val="00D558AB"/>
    <w:rsid w:val="00D55F93"/>
    <w:rsid w:val="00D5695E"/>
    <w:rsid w:val="00D56C77"/>
    <w:rsid w:val="00D603CE"/>
    <w:rsid w:val="00D61318"/>
    <w:rsid w:val="00D61652"/>
    <w:rsid w:val="00D61D83"/>
    <w:rsid w:val="00D6367A"/>
    <w:rsid w:val="00D638E2"/>
    <w:rsid w:val="00D64AB3"/>
    <w:rsid w:val="00D653D9"/>
    <w:rsid w:val="00D6602D"/>
    <w:rsid w:val="00D6604D"/>
    <w:rsid w:val="00D668A7"/>
    <w:rsid w:val="00D6709E"/>
    <w:rsid w:val="00D674E4"/>
    <w:rsid w:val="00D677BF"/>
    <w:rsid w:val="00D70CF6"/>
    <w:rsid w:val="00D73343"/>
    <w:rsid w:val="00D738A7"/>
    <w:rsid w:val="00D74116"/>
    <w:rsid w:val="00D75A40"/>
    <w:rsid w:val="00D75E17"/>
    <w:rsid w:val="00D75FD9"/>
    <w:rsid w:val="00D76720"/>
    <w:rsid w:val="00D76CB3"/>
    <w:rsid w:val="00D77482"/>
    <w:rsid w:val="00D77EEF"/>
    <w:rsid w:val="00D8129D"/>
    <w:rsid w:val="00D81B0D"/>
    <w:rsid w:val="00D82BD4"/>
    <w:rsid w:val="00D839B9"/>
    <w:rsid w:val="00D84236"/>
    <w:rsid w:val="00D8495A"/>
    <w:rsid w:val="00D858FC"/>
    <w:rsid w:val="00D86073"/>
    <w:rsid w:val="00D86579"/>
    <w:rsid w:val="00D866E5"/>
    <w:rsid w:val="00D86DF9"/>
    <w:rsid w:val="00D87926"/>
    <w:rsid w:val="00D87B73"/>
    <w:rsid w:val="00D90D74"/>
    <w:rsid w:val="00D913D7"/>
    <w:rsid w:val="00D9175F"/>
    <w:rsid w:val="00D928A2"/>
    <w:rsid w:val="00D94276"/>
    <w:rsid w:val="00D949DA"/>
    <w:rsid w:val="00D953E3"/>
    <w:rsid w:val="00D955E9"/>
    <w:rsid w:val="00D964C5"/>
    <w:rsid w:val="00D97202"/>
    <w:rsid w:val="00D972A6"/>
    <w:rsid w:val="00D97534"/>
    <w:rsid w:val="00DA02EE"/>
    <w:rsid w:val="00DA1126"/>
    <w:rsid w:val="00DA15E4"/>
    <w:rsid w:val="00DA1970"/>
    <w:rsid w:val="00DA1EED"/>
    <w:rsid w:val="00DA28BF"/>
    <w:rsid w:val="00DA3023"/>
    <w:rsid w:val="00DA312A"/>
    <w:rsid w:val="00DA36B0"/>
    <w:rsid w:val="00DA4493"/>
    <w:rsid w:val="00DA5677"/>
    <w:rsid w:val="00DA62AB"/>
    <w:rsid w:val="00DA6C58"/>
    <w:rsid w:val="00DA6F12"/>
    <w:rsid w:val="00DA6FB2"/>
    <w:rsid w:val="00DA7D35"/>
    <w:rsid w:val="00DB03C6"/>
    <w:rsid w:val="00DB03EE"/>
    <w:rsid w:val="00DB1238"/>
    <w:rsid w:val="00DB1302"/>
    <w:rsid w:val="00DB13AF"/>
    <w:rsid w:val="00DB273A"/>
    <w:rsid w:val="00DB2E47"/>
    <w:rsid w:val="00DB5139"/>
    <w:rsid w:val="00DB5B0C"/>
    <w:rsid w:val="00DB5CE5"/>
    <w:rsid w:val="00DB72D8"/>
    <w:rsid w:val="00DC09B4"/>
    <w:rsid w:val="00DC19B2"/>
    <w:rsid w:val="00DC1DCA"/>
    <w:rsid w:val="00DC1E7A"/>
    <w:rsid w:val="00DC4182"/>
    <w:rsid w:val="00DC4814"/>
    <w:rsid w:val="00DC5213"/>
    <w:rsid w:val="00DC6F98"/>
    <w:rsid w:val="00DC7943"/>
    <w:rsid w:val="00DD0A85"/>
    <w:rsid w:val="00DD1008"/>
    <w:rsid w:val="00DD2CC2"/>
    <w:rsid w:val="00DD2D61"/>
    <w:rsid w:val="00DD43B6"/>
    <w:rsid w:val="00DD4A3E"/>
    <w:rsid w:val="00DD4CF3"/>
    <w:rsid w:val="00DD4D67"/>
    <w:rsid w:val="00DD4E4D"/>
    <w:rsid w:val="00DD4F1A"/>
    <w:rsid w:val="00DD56DC"/>
    <w:rsid w:val="00DD5871"/>
    <w:rsid w:val="00DD5DB6"/>
    <w:rsid w:val="00DD642F"/>
    <w:rsid w:val="00DD6487"/>
    <w:rsid w:val="00DD79ED"/>
    <w:rsid w:val="00DD7FB7"/>
    <w:rsid w:val="00DE009E"/>
    <w:rsid w:val="00DE0450"/>
    <w:rsid w:val="00DE0E47"/>
    <w:rsid w:val="00DE1DF3"/>
    <w:rsid w:val="00DE20C9"/>
    <w:rsid w:val="00DE2682"/>
    <w:rsid w:val="00DE2828"/>
    <w:rsid w:val="00DE2CBB"/>
    <w:rsid w:val="00DE356A"/>
    <w:rsid w:val="00DE3795"/>
    <w:rsid w:val="00DE3DC9"/>
    <w:rsid w:val="00DE4102"/>
    <w:rsid w:val="00DE4983"/>
    <w:rsid w:val="00DE4B75"/>
    <w:rsid w:val="00DE4C08"/>
    <w:rsid w:val="00DE53E7"/>
    <w:rsid w:val="00DE662C"/>
    <w:rsid w:val="00DE6760"/>
    <w:rsid w:val="00DE6C4E"/>
    <w:rsid w:val="00DE7155"/>
    <w:rsid w:val="00DF19DE"/>
    <w:rsid w:val="00DF4048"/>
    <w:rsid w:val="00DF4135"/>
    <w:rsid w:val="00DF428F"/>
    <w:rsid w:val="00DF6238"/>
    <w:rsid w:val="00DF623D"/>
    <w:rsid w:val="00DF662E"/>
    <w:rsid w:val="00DF6B6F"/>
    <w:rsid w:val="00DF6D60"/>
    <w:rsid w:val="00DF7C15"/>
    <w:rsid w:val="00DF7FE7"/>
    <w:rsid w:val="00E00159"/>
    <w:rsid w:val="00E00B25"/>
    <w:rsid w:val="00E02475"/>
    <w:rsid w:val="00E02D70"/>
    <w:rsid w:val="00E032AE"/>
    <w:rsid w:val="00E03744"/>
    <w:rsid w:val="00E03807"/>
    <w:rsid w:val="00E03FF8"/>
    <w:rsid w:val="00E049EF"/>
    <w:rsid w:val="00E04B44"/>
    <w:rsid w:val="00E06C13"/>
    <w:rsid w:val="00E0760C"/>
    <w:rsid w:val="00E076F0"/>
    <w:rsid w:val="00E1040B"/>
    <w:rsid w:val="00E10B54"/>
    <w:rsid w:val="00E10CC4"/>
    <w:rsid w:val="00E11D4C"/>
    <w:rsid w:val="00E1215D"/>
    <w:rsid w:val="00E13294"/>
    <w:rsid w:val="00E13412"/>
    <w:rsid w:val="00E134C9"/>
    <w:rsid w:val="00E14E59"/>
    <w:rsid w:val="00E15305"/>
    <w:rsid w:val="00E169D8"/>
    <w:rsid w:val="00E16DB6"/>
    <w:rsid w:val="00E17285"/>
    <w:rsid w:val="00E2029F"/>
    <w:rsid w:val="00E21396"/>
    <w:rsid w:val="00E216CA"/>
    <w:rsid w:val="00E22A0E"/>
    <w:rsid w:val="00E238F9"/>
    <w:rsid w:val="00E23E6E"/>
    <w:rsid w:val="00E24282"/>
    <w:rsid w:val="00E259A2"/>
    <w:rsid w:val="00E2609F"/>
    <w:rsid w:val="00E2761B"/>
    <w:rsid w:val="00E27D96"/>
    <w:rsid w:val="00E27F96"/>
    <w:rsid w:val="00E3041E"/>
    <w:rsid w:val="00E30B14"/>
    <w:rsid w:val="00E30BEF"/>
    <w:rsid w:val="00E31B53"/>
    <w:rsid w:val="00E320BB"/>
    <w:rsid w:val="00E32F94"/>
    <w:rsid w:val="00E33456"/>
    <w:rsid w:val="00E337C1"/>
    <w:rsid w:val="00E347AD"/>
    <w:rsid w:val="00E35C7D"/>
    <w:rsid w:val="00E36F84"/>
    <w:rsid w:val="00E37270"/>
    <w:rsid w:val="00E37C90"/>
    <w:rsid w:val="00E400F8"/>
    <w:rsid w:val="00E40BBB"/>
    <w:rsid w:val="00E4223E"/>
    <w:rsid w:val="00E422E6"/>
    <w:rsid w:val="00E42C98"/>
    <w:rsid w:val="00E4466B"/>
    <w:rsid w:val="00E447DF"/>
    <w:rsid w:val="00E44D8E"/>
    <w:rsid w:val="00E46421"/>
    <w:rsid w:val="00E47392"/>
    <w:rsid w:val="00E474A2"/>
    <w:rsid w:val="00E47BC0"/>
    <w:rsid w:val="00E47CC2"/>
    <w:rsid w:val="00E507C0"/>
    <w:rsid w:val="00E50A36"/>
    <w:rsid w:val="00E50A4B"/>
    <w:rsid w:val="00E50AFE"/>
    <w:rsid w:val="00E510DE"/>
    <w:rsid w:val="00E5191A"/>
    <w:rsid w:val="00E546EF"/>
    <w:rsid w:val="00E54B5C"/>
    <w:rsid w:val="00E55226"/>
    <w:rsid w:val="00E55606"/>
    <w:rsid w:val="00E55AB1"/>
    <w:rsid w:val="00E56456"/>
    <w:rsid w:val="00E56AC1"/>
    <w:rsid w:val="00E5704E"/>
    <w:rsid w:val="00E57AE4"/>
    <w:rsid w:val="00E61A50"/>
    <w:rsid w:val="00E61D57"/>
    <w:rsid w:val="00E62828"/>
    <w:rsid w:val="00E631B0"/>
    <w:rsid w:val="00E6377F"/>
    <w:rsid w:val="00E648E0"/>
    <w:rsid w:val="00E649B0"/>
    <w:rsid w:val="00E6643B"/>
    <w:rsid w:val="00E668B3"/>
    <w:rsid w:val="00E67D68"/>
    <w:rsid w:val="00E70AC1"/>
    <w:rsid w:val="00E70E6E"/>
    <w:rsid w:val="00E71620"/>
    <w:rsid w:val="00E724AD"/>
    <w:rsid w:val="00E737B7"/>
    <w:rsid w:val="00E73C27"/>
    <w:rsid w:val="00E73C9A"/>
    <w:rsid w:val="00E75600"/>
    <w:rsid w:val="00E7591D"/>
    <w:rsid w:val="00E75983"/>
    <w:rsid w:val="00E7643C"/>
    <w:rsid w:val="00E76925"/>
    <w:rsid w:val="00E76D35"/>
    <w:rsid w:val="00E76FEB"/>
    <w:rsid w:val="00E80511"/>
    <w:rsid w:val="00E80E60"/>
    <w:rsid w:val="00E81B71"/>
    <w:rsid w:val="00E81CE6"/>
    <w:rsid w:val="00E82120"/>
    <w:rsid w:val="00E82124"/>
    <w:rsid w:val="00E83325"/>
    <w:rsid w:val="00E8347A"/>
    <w:rsid w:val="00E834B5"/>
    <w:rsid w:val="00E83A57"/>
    <w:rsid w:val="00E844C4"/>
    <w:rsid w:val="00E84683"/>
    <w:rsid w:val="00E84B96"/>
    <w:rsid w:val="00E84C8D"/>
    <w:rsid w:val="00E84CE5"/>
    <w:rsid w:val="00E8586B"/>
    <w:rsid w:val="00E85A13"/>
    <w:rsid w:val="00E90A02"/>
    <w:rsid w:val="00E90D7C"/>
    <w:rsid w:val="00E91446"/>
    <w:rsid w:val="00E91AA1"/>
    <w:rsid w:val="00E92E5D"/>
    <w:rsid w:val="00E9346C"/>
    <w:rsid w:val="00E94B34"/>
    <w:rsid w:val="00E94C87"/>
    <w:rsid w:val="00E9550B"/>
    <w:rsid w:val="00E95B1F"/>
    <w:rsid w:val="00E967ED"/>
    <w:rsid w:val="00E96ABB"/>
    <w:rsid w:val="00E96D1A"/>
    <w:rsid w:val="00EA018B"/>
    <w:rsid w:val="00EA1080"/>
    <w:rsid w:val="00EA1B0B"/>
    <w:rsid w:val="00EA1F07"/>
    <w:rsid w:val="00EA2AC1"/>
    <w:rsid w:val="00EA2AD1"/>
    <w:rsid w:val="00EA3230"/>
    <w:rsid w:val="00EA3B45"/>
    <w:rsid w:val="00EA458F"/>
    <w:rsid w:val="00EA46C0"/>
    <w:rsid w:val="00EA493E"/>
    <w:rsid w:val="00EA58D6"/>
    <w:rsid w:val="00EA6B75"/>
    <w:rsid w:val="00EA72A6"/>
    <w:rsid w:val="00EA75CF"/>
    <w:rsid w:val="00EA765D"/>
    <w:rsid w:val="00EA78CA"/>
    <w:rsid w:val="00EA78FA"/>
    <w:rsid w:val="00EB2179"/>
    <w:rsid w:val="00EB266C"/>
    <w:rsid w:val="00EB278F"/>
    <w:rsid w:val="00EB2793"/>
    <w:rsid w:val="00EB3E64"/>
    <w:rsid w:val="00EB44A7"/>
    <w:rsid w:val="00EB4784"/>
    <w:rsid w:val="00EB4E79"/>
    <w:rsid w:val="00EB61DC"/>
    <w:rsid w:val="00EB658F"/>
    <w:rsid w:val="00EB74FC"/>
    <w:rsid w:val="00EB79EF"/>
    <w:rsid w:val="00EC0805"/>
    <w:rsid w:val="00EC09AD"/>
    <w:rsid w:val="00EC320C"/>
    <w:rsid w:val="00EC395A"/>
    <w:rsid w:val="00EC3BB3"/>
    <w:rsid w:val="00EC4E3F"/>
    <w:rsid w:val="00EC58FA"/>
    <w:rsid w:val="00EC6358"/>
    <w:rsid w:val="00EC678F"/>
    <w:rsid w:val="00EC68D9"/>
    <w:rsid w:val="00EC7524"/>
    <w:rsid w:val="00EC7DDF"/>
    <w:rsid w:val="00ED0EB5"/>
    <w:rsid w:val="00ED15A7"/>
    <w:rsid w:val="00ED1BB2"/>
    <w:rsid w:val="00ED2FA3"/>
    <w:rsid w:val="00ED733D"/>
    <w:rsid w:val="00ED77D5"/>
    <w:rsid w:val="00ED7BB4"/>
    <w:rsid w:val="00EE0FC4"/>
    <w:rsid w:val="00EE2B08"/>
    <w:rsid w:val="00EE3060"/>
    <w:rsid w:val="00EE399A"/>
    <w:rsid w:val="00EE3DE3"/>
    <w:rsid w:val="00EE45D3"/>
    <w:rsid w:val="00EE4BE7"/>
    <w:rsid w:val="00EE5561"/>
    <w:rsid w:val="00EE6383"/>
    <w:rsid w:val="00EE7DA3"/>
    <w:rsid w:val="00EF0073"/>
    <w:rsid w:val="00EF140C"/>
    <w:rsid w:val="00EF2025"/>
    <w:rsid w:val="00EF23FC"/>
    <w:rsid w:val="00EF3972"/>
    <w:rsid w:val="00EF3EFF"/>
    <w:rsid w:val="00EF4DE3"/>
    <w:rsid w:val="00EF581F"/>
    <w:rsid w:val="00EF5891"/>
    <w:rsid w:val="00EF6195"/>
    <w:rsid w:val="00EF79C0"/>
    <w:rsid w:val="00F00988"/>
    <w:rsid w:val="00F00A8B"/>
    <w:rsid w:val="00F00EA3"/>
    <w:rsid w:val="00F012EA"/>
    <w:rsid w:val="00F014C1"/>
    <w:rsid w:val="00F01DD5"/>
    <w:rsid w:val="00F026EF"/>
    <w:rsid w:val="00F02848"/>
    <w:rsid w:val="00F02A73"/>
    <w:rsid w:val="00F035F7"/>
    <w:rsid w:val="00F03702"/>
    <w:rsid w:val="00F0386E"/>
    <w:rsid w:val="00F04722"/>
    <w:rsid w:val="00F04A7E"/>
    <w:rsid w:val="00F04C74"/>
    <w:rsid w:val="00F0525C"/>
    <w:rsid w:val="00F06259"/>
    <w:rsid w:val="00F06265"/>
    <w:rsid w:val="00F064EE"/>
    <w:rsid w:val="00F06D0B"/>
    <w:rsid w:val="00F0715C"/>
    <w:rsid w:val="00F10074"/>
    <w:rsid w:val="00F11192"/>
    <w:rsid w:val="00F1262E"/>
    <w:rsid w:val="00F136F9"/>
    <w:rsid w:val="00F138BC"/>
    <w:rsid w:val="00F13B6C"/>
    <w:rsid w:val="00F143D5"/>
    <w:rsid w:val="00F14A9F"/>
    <w:rsid w:val="00F16891"/>
    <w:rsid w:val="00F16BF4"/>
    <w:rsid w:val="00F16E84"/>
    <w:rsid w:val="00F174B8"/>
    <w:rsid w:val="00F201FE"/>
    <w:rsid w:val="00F2133A"/>
    <w:rsid w:val="00F21C19"/>
    <w:rsid w:val="00F23F1D"/>
    <w:rsid w:val="00F23FE7"/>
    <w:rsid w:val="00F24740"/>
    <w:rsid w:val="00F26547"/>
    <w:rsid w:val="00F26CC3"/>
    <w:rsid w:val="00F278D4"/>
    <w:rsid w:val="00F27AFA"/>
    <w:rsid w:val="00F31271"/>
    <w:rsid w:val="00F31277"/>
    <w:rsid w:val="00F31597"/>
    <w:rsid w:val="00F31786"/>
    <w:rsid w:val="00F318D2"/>
    <w:rsid w:val="00F3325F"/>
    <w:rsid w:val="00F333EA"/>
    <w:rsid w:val="00F35AE0"/>
    <w:rsid w:val="00F378CA"/>
    <w:rsid w:val="00F37C4F"/>
    <w:rsid w:val="00F40067"/>
    <w:rsid w:val="00F40DB8"/>
    <w:rsid w:val="00F41048"/>
    <w:rsid w:val="00F41F64"/>
    <w:rsid w:val="00F42943"/>
    <w:rsid w:val="00F42D0E"/>
    <w:rsid w:val="00F438C8"/>
    <w:rsid w:val="00F441E7"/>
    <w:rsid w:val="00F44538"/>
    <w:rsid w:val="00F44A3D"/>
    <w:rsid w:val="00F44B0A"/>
    <w:rsid w:val="00F44D32"/>
    <w:rsid w:val="00F459B5"/>
    <w:rsid w:val="00F46AD3"/>
    <w:rsid w:val="00F477C2"/>
    <w:rsid w:val="00F504AC"/>
    <w:rsid w:val="00F51719"/>
    <w:rsid w:val="00F51CCC"/>
    <w:rsid w:val="00F531EC"/>
    <w:rsid w:val="00F53745"/>
    <w:rsid w:val="00F53DE8"/>
    <w:rsid w:val="00F53E31"/>
    <w:rsid w:val="00F53EE2"/>
    <w:rsid w:val="00F54002"/>
    <w:rsid w:val="00F54415"/>
    <w:rsid w:val="00F54459"/>
    <w:rsid w:val="00F54895"/>
    <w:rsid w:val="00F548B9"/>
    <w:rsid w:val="00F54B78"/>
    <w:rsid w:val="00F55FE7"/>
    <w:rsid w:val="00F5609C"/>
    <w:rsid w:val="00F57C9D"/>
    <w:rsid w:val="00F603F7"/>
    <w:rsid w:val="00F60F47"/>
    <w:rsid w:val="00F61CAC"/>
    <w:rsid w:val="00F62807"/>
    <w:rsid w:val="00F628DB"/>
    <w:rsid w:val="00F62D60"/>
    <w:rsid w:val="00F63E76"/>
    <w:rsid w:val="00F63F7E"/>
    <w:rsid w:val="00F6611E"/>
    <w:rsid w:val="00F671E5"/>
    <w:rsid w:val="00F7191D"/>
    <w:rsid w:val="00F71A7A"/>
    <w:rsid w:val="00F7478B"/>
    <w:rsid w:val="00F74935"/>
    <w:rsid w:val="00F74CE3"/>
    <w:rsid w:val="00F75067"/>
    <w:rsid w:val="00F76190"/>
    <w:rsid w:val="00F76353"/>
    <w:rsid w:val="00F7647F"/>
    <w:rsid w:val="00F76F79"/>
    <w:rsid w:val="00F776AC"/>
    <w:rsid w:val="00F80222"/>
    <w:rsid w:val="00F815C3"/>
    <w:rsid w:val="00F8173E"/>
    <w:rsid w:val="00F820E2"/>
    <w:rsid w:val="00F8211E"/>
    <w:rsid w:val="00F8244E"/>
    <w:rsid w:val="00F83139"/>
    <w:rsid w:val="00F833D5"/>
    <w:rsid w:val="00F83C06"/>
    <w:rsid w:val="00F842E0"/>
    <w:rsid w:val="00F84BE3"/>
    <w:rsid w:val="00F8522A"/>
    <w:rsid w:val="00F8577A"/>
    <w:rsid w:val="00F85E72"/>
    <w:rsid w:val="00F86635"/>
    <w:rsid w:val="00F8749D"/>
    <w:rsid w:val="00F9008B"/>
    <w:rsid w:val="00F90D08"/>
    <w:rsid w:val="00F90DBE"/>
    <w:rsid w:val="00F90F25"/>
    <w:rsid w:val="00F915F6"/>
    <w:rsid w:val="00F9288C"/>
    <w:rsid w:val="00F94515"/>
    <w:rsid w:val="00F953FC"/>
    <w:rsid w:val="00F9577F"/>
    <w:rsid w:val="00F96F75"/>
    <w:rsid w:val="00F977BE"/>
    <w:rsid w:val="00FA0295"/>
    <w:rsid w:val="00FA0491"/>
    <w:rsid w:val="00FA072C"/>
    <w:rsid w:val="00FA1F4E"/>
    <w:rsid w:val="00FA4D29"/>
    <w:rsid w:val="00FA631C"/>
    <w:rsid w:val="00FA6FA9"/>
    <w:rsid w:val="00FB0691"/>
    <w:rsid w:val="00FB06AD"/>
    <w:rsid w:val="00FB0C92"/>
    <w:rsid w:val="00FB177E"/>
    <w:rsid w:val="00FB17C1"/>
    <w:rsid w:val="00FB2A61"/>
    <w:rsid w:val="00FB2D8E"/>
    <w:rsid w:val="00FB4003"/>
    <w:rsid w:val="00FB42DE"/>
    <w:rsid w:val="00FB47FC"/>
    <w:rsid w:val="00FB5082"/>
    <w:rsid w:val="00FB5695"/>
    <w:rsid w:val="00FB5A47"/>
    <w:rsid w:val="00FB5C36"/>
    <w:rsid w:val="00FB634B"/>
    <w:rsid w:val="00FB6B26"/>
    <w:rsid w:val="00FB6C84"/>
    <w:rsid w:val="00FB7397"/>
    <w:rsid w:val="00FB7F96"/>
    <w:rsid w:val="00FC0192"/>
    <w:rsid w:val="00FC1270"/>
    <w:rsid w:val="00FC1F21"/>
    <w:rsid w:val="00FC2441"/>
    <w:rsid w:val="00FC2ACA"/>
    <w:rsid w:val="00FC3281"/>
    <w:rsid w:val="00FC3426"/>
    <w:rsid w:val="00FC3EE7"/>
    <w:rsid w:val="00FC3F14"/>
    <w:rsid w:val="00FC48E9"/>
    <w:rsid w:val="00FC4B1D"/>
    <w:rsid w:val="00FC7065"/>
    <w:rsid w:val="00FC763F"/>
    <w:rsid w:val="00FC7674"/>
    <w:rsid w:val="00FD0524"/>
    <w:rsid w:val="00FD2522"/>
    <w:rsid w:val="00FD27CB"/>
    <w:rsid w:val="00FD2D8E"/>
    <w:rsid w:val="00FD2EB7"/>
    <w:rsid w:val="00FD31C0"/>
    <w:rsid w:val="00FD47D3"/>
    <w:rsid w:val="00FD4B19"/>
    <w:rsid w:val="00FD4EDA"/>
    <w:rsid w:val="00FD51A2"/>
    <w:rsid w:val="00FD56C3"/>
    <w:rsid w:val="00FD5C15"/>
    <w:rsid w:val="00FD5DA3"/>
    <w:rsid w:val="00FD612E"/>
    <w:rsid w:val="00FD70F6"/>
    <w:rsid w:val="00FD7D19"/>
    <w:rsid w:val="00FE13ED"/>
    <w:rsid w:val="00FE15EE"/>
    <w:rsid w:val="00FE29C1"/>
    <w:rsid w:val="00FE2DE4"/>
    <w:rsid w:val="00FE3E23"/>
    <w:rsid w:val="00FE442F"/>
    <w:rsid w:val="00FE4755"/>
    <w:rsid w:val="00FE5A8A"/>
    <w:rsid w:val="00FE5EDC"/>
    <w:rsid w:val="00FE6442"/>
    <w:rsid w:val="00FE731E"/>
    <w:rsid w:val="00FE7962"/>
    <w:rsid w:val="00FF160A"/>
    <w:rsid w:val="00FF1C91"/>
    <w:rsid w:val="00FF1D7C"/>
    <w:rsid w:val="00FF237B"/>
    <w:rsid w:val="00FF2548"/>
    <w:rsid w:val="00FF29BD"/>
    <w:rsid w:val="00FF2F7E"/>
    <w:rsid w:val="00FF39DD"/>
    <w:rsid w:val="00FF436E"/>
    <w:rsid w:val="00FF6388"/>
    <w:rsid w:val="00FF6FC4"/>
    <w:rsid w:val="00FF7747"/>
    <w:rsid w:val="00FF7ED0"/>
    <w:rsid w:val="00FF7F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D7EB78"/>
  <w15:docId w15:val="{6BFB8211-F0CC-42AC-BF15-29B27A62E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7F49"/>
    <w:rPr>
      <w:sz w:val="24"/>
      <w:szCs w:val="24"/>
      <w:lang w:val="uk-UA"/>
    </w:rPr>
  </w:style>
  <w:style w:type="paragraph" w:styleId="2">
    <w:name w:val="heading 2"/>
    <w:basedOn w:val="a"/>
    <w:next w:val="a"/>
    <w:qFormat/>
    <w:rsid w:val="00287F49"/>
    <w:pPr>
      <w:keepNext/>
      <w:jc w:val="center"/>
      <w:outlineLvl w:val="1"/>
    </w:pPr>
    <w:rPr>
      <w:rFonts w:eastAsia="Arial Unicode MS"/>
      <w:i/>
      <w:i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287F49"/>
    <w:pPr>
      <w:jc w:val="center"/>
    </w:pPr>
    <w:rPr>
      <w:b/>
      <w:bCs/>
    </w:rPr>
  </w:style>
  <w:style w:type="paragraph" w:styleId="a4">
    <w:name w:val="Body Text Indent"/>
    <w:basedOn w:val="a"/>
    <w:semiHidden/>
    <w:rsid w:val="00287F49"/>
    <w:pPr>
      <w:ind w:left="780"/>
    </w:pPr>
    <w:rPr>
      <w:i/>
      <w:iCs/>
      <w:sz w:val="28"/>
    </w:rPr>
  </w:style>
  <w:style w:type="paragraph" w:styleId="a5">
    <w:name w:val="Body Text"/>
    <w:basedOn w:val="a"/>
    <w:semiHidden/>
    <w:rsid w:val="00287F49"/>
    <w:rPr>
      <w:i/>
      <w:iCs/>
    </w:rPr>
  </w:style>
  <w:style w:type="paragraph" w:styleId="20">
    <w:name w:val="Body Text 2"/>
    <w:basedOn w:val="a"/>
    <w:semiHidden/>
    <w:rsid w:val="00287F49"/>
    <w:rPr>
      <w:sz w:val="28"/>
    </w:rPr>
  </w:style>
  <w:style w:type="paragraph" w:styleId="3">
    <w:name w:val="Body Text 3"/>
    <w:basedOn w:val="a"/>
    <w:semiHidden/>
    <w:rsid w:val="00287F49"/>
    <w:pPr>
      <w:tabs>
        <w:tab w:val="left" w:pos="540"/>
      </w:tabs>
      <w:jc w:val="both"/>
    </w:pPr>
    <w:rPr>
      <w:sz w:val="28"/>
    </w:rPr>
  </w:style>
  <w:style w:type="paragraph" w:styleId="21">
    <w:name w:val="Body Text Indent 2"/>
    <w:basedOn w:val="a"/>
    <w:link w:val="22"/>
    <w:semiHidden/>
    <w:rsid w:val="00287F49"/>
    <w:pPr>
      <w:shd w:val="clear" w:color="auto" w:fill="FFFFFF"/>
      <w:spacing w:before="5"/>
      <w:ind w:right="10" w:firstLine="567"/>
      <w:jc w:val="both"/>
    </w:pPr>
    <w:rPr>
      <w:sz w:val="28"/>
      <w:szCs w:val="28"/>
    </w:rPr>
  </w:style>
  <w:style w:type="paragraph" w:styleId="30">
    <w:name w:val="Body Text Indent 3"/>
    <w:basedOn w:val="a"/>
    <w:semiHidden/>
    <w:rsid w:val="00287F49"/>
    <w:pPr>
      <w:spacing w:after="120"/>
      <w:ind w:left="283"/>
    </w:pPr>
    <w:rPr>
      <w:sz w:val="16"/>
      <w:szCs w:val="16"/>
    </w:rPr>
  </w:style>
  <w:style w:type="paragraph" w:customStyle="1" w:styleId="Just">
    <w:name w:val="Just"/>
    <w:rsid w:val="00287F49"/>
    <w:pPr>
      <w:autoSpaceDE w:val="0"/>
      <w:autoSpaceDN w:val="0"/>
      <w:adjustRightInd w:val="0"/>
      <w:spacing w:before="40" w:after="40"/>
      <w:ind w:firstLine="568"/>
      <w:jc w:val="both"/>
    </w:pPr>
    <w:rPr>
      <w:sz w:val="24"/>
      <w:szCs w:val="24"/>
    </w:rPr>
  </w:style>
  <w:style w:type="paragraph" w:styleId="a6">
    <w:name w:val="Balloon Text"/>
    <w:basedOn w:val="a"/>
    <w:semiHidden/>
    <w:rsid w:val="00287F49"/>
    <w:rPr>
      <w:rFonts w:ascii="Tahoma" w:hAnsi="Tahoma" w:cs="Tahoma"/>
      <w:sz w:val="16"/>
      <w:szCs w:val="16"/>
    </w:rPr>
  </w:style>
  <w:style w:type="table" w:styleId="a7">
    <w:name w:val="Table Grid"/>
    <w:basedOn w:val="a1"/>
    <w:uiPriority w:val="39"/>
    <w:rsid w:val="003A7B5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header"/>
    <w:basedOn w:val="a"/>
    <w:link w:val="a9"/>
    <w:uiPriority w:val="99"/>
    <w:unhideWhenUsed/>
    <w:rsid w:val="00531607"/>
    <w:pPr>
      <w:tabs>
        <w:tab w:val="center" w:pos="4677"/>
        <w:tab w:val="right" w:pos="9355"/>
      </w:tabs>
    </w:pPr>
  </w:style>
  <w:style w:type="character" w:customStyle="1" w:styleId="a9">
    <w:name w:val="Верхний колонтитул Знак"/>
    <w:basedOn w:val="a0"/>
    <w:link w:val="a8"/>
    <w:uiPriority w:val="99"/>
    <w:rsid w:val="00531607"/>
    <w:rPr>
      <w:sz w:val="24"/>
      <w:szCs w:val="24"/>
      <w:lang w:val="uk-UA"/>
    </w:rPr>
  </w:style>
  <w:style w:type="paragraph" w:styleId="aa">
    <w:name w:val="footer"/>
    <w:basedOn w:val="a"/>
    <w:link w:val="ab"/>
    <w:uiPriority w:val="99"/>
    <w:unhideWhenUsed/>
    <w:rsid w:val="00531607"/>
    <w:pPr>
      <w:tabs>
        <w:tab w:val="center" w:pos="4677"/>
        <w:tab w:val="right" w:pos="9355"/>
      </w:tabs>
    </w:pPr>
  </w:style>
  <w:style w:type="character" w:customStyle="1" w:styleId="ab">
    <w:name w:val="Нижний колонтитул Знак"/>
    <w:basedOn w:val="a0"/>
    <w:link w:val="aa"/>
    <w:uiPriority w:val="99"/>
    <w:rsid w:val="00531607"/>
    <w:rPr>
      <w:sz w:val="24"/>
      <w:szCs w:val="24"/>
      <w:lang w:val="uk-UA"/>
    </w:rPr>
  </w:style>
  <w:style w:type="character" w:styleId="ac">
    <w:name w:val="Placeholder Text"/>
    <w:basedOn w:val="a0"/>
    <w:uiPriority w:val="99"/>
    <w:semiHidden/>
    <w:rsid w:val="008965F4"/>
    <w:rPr>
      <w:color w:val="808080"/>
    </w:rPr>
  </w:style>
  <w:style w:type="paragraph" w:styleId="ad">
    <w:name w:val="List Paragraph"/>
    <w:basedOn w:val="a"/>
    <w:uiPriority w:val="34"/>
    <w:qFormat/>
    <w:rsid w:val="00F54459"/>
    <w:pPr>
      <w:spacing w:after="200" w:line="276" w:lineRule="auto"/>
      <w:ind w:left="720"/>
      <w:contextualSpacing/>
    </w:pPr>
    <w:rPr>
      <w:rFonts w:ascii="Calibri" w:hAnsi="Calibri"/>
      <w:sz w:val="22"/>
      <w:szCs w:val="22"/>
      <w:lang w:val="ru-RU"/>
    </w:rPr>
  </w:style>
  <w:style w:type="character" w:customStyle="1" w:styleId="22">
    <w:name w:val="Основной текст с отступом 2 Знак"/>
    <w:basedOn w:val="a0"/>
    <w:link w:val="21"/>
    <w:semiHidden/>
    <w:rsid w:val="008E77A8"/>
    <w:rPr>
      <w:sz w:val="28"/>
      <w:szCs w:val="28"/>
      <w:shd w:val="clear" w:color="auto" w:fill="FFFFFF"/>
      <w:lang w:val="uk-UA"/>
    </w:rPr>
  </w:style>
  <w:style w:type="character" w:customStyle="1" w:styleId="FontStyle38">
    <w:name w:val="Font Style38"/>
    <w:basedOn w:val="a0"/>
    <w:uiPriority w:val="99"/>
    <w:rsid w:val="00630D49"/>
    <w:rPr>
      <w:rFonts w:ascii="Times New Roman" w:hAnsi="Times New Roman" w:cs="Times New Roman"/>
      <w:sz w:val="26"/>
      <w:szCs w:val="26"/>
    </w:rPr>
  </w:style>
  <w:style w:type="paragraph" w:customStyle="1" w:styleId="Style25">
    <w:name w:val="Style25"/>
    <w:basedOn w:val="a"/>
    <w:uiPriority w:val="99"/>
    <w:rsid w:val="00630D49"/>
    <w:pPr>
      <w:widowControl w:val="0"/>
      <w:autoSpaceDE w:val="0"/>
      <w:autoSpaceDN w:val="0"/>
      <w:adjustRightInd w:val="0"/>
      <w:spacing w:line="322" w:lineRule="exact"/>
      <w:ind w:firstLine="965"/>
    </w:pPr>
    <w:rPr>
      <w:lang w:val="ru-RU"/>
    </w:rPr>
  </w:style>
  <w:style w:type="paragraph" w:styleId="ae">
    <w:name w:val="Normal (Web)"/>
    <w:basedOn w:val="a"/>
    <w:uiPriority w:val="99"/>
    <w:unhideWhenUsed/>
    <w:rsid w:val="00744766"/>
    <w:pPr>
      <w:spacing w:before="100" w:beforeAutospacing="1" w:after="100" w:afterAutospacing="1"/>
    </w:pPr>
    <w:rPr>
      <w:lang w:val="ru-RU"/>
    </w:rPr>
  </w:style>
  <w:style w:type="paragraph" w:customStyle="1" w:styleId="af">
    <w:name w:val="Знак"/>
    <w:basedOn w:val="a"/>
    <w:rsid w:val="00161B6F"/>
    <w:rPr>
      <w:rFonts w:ascii="Verdana" w:hAnsi="Verdana" w:cs="Verdana"/>
      <w:sz w:val="20"/>
      <w:szCs w:val="20"/>
      <w:lang w:val="en-US" w:eastAsia="en-US"/>
    </w:rPr>
  </w:style>
  <w:style w:type="character" w:customStyle="1" w:styleId="rvts9">
    <w:name w:val="rvts9"/>
    <w:basedOn w:val="a0"/>
    <w:rsid w:val="001D206B"/>
    <w:rPr>
      <w:rFonts w:ascii="Times New Roman" w:hAnsi="Times New Roman" w:cs="Times New Roman" w:hint="default"/>
      <w:b/>
      <w:bCs/>
      <w:i w:val="0"/>
      <w:iCs w:val="0"/>
      <w:strike w:val="0"/>
      <w:dstrike w:val="0"/>
      <w:color w:val="000000"/>
      <w:sz w:val="24"/>
      <w:szCs w:val="24"/>
      <w:u w:val="none"/>
      <w:effect w:val="none"/>
    </w:rPr>
  </w:style>
  <w:style w:type="character" w:customStyle="1" w:styleId="rvts23">
    <w:name w:val="rvts23"/>
    <w:basedOn w:val="a0"/>
    <w:rsid w:val="001D206B"/>
    <w:rPr>
      <w:rFonts w:ascii="Times New Roman" w:hAnsi="Times New Roman" w:cs="Times New Roman" w:hint="default"/>
      <w:b/>
      <w:bCs/>
      <w:i w:val="0"/>
      <w:iCs w:val="0"/>
      <w:strike w:val="0"/>
      <w:dstrike w:val="0"/>
      <w:color w:val="000000"/>
      <w:sz w:val="32"/>
      <w:szCs w:val="32"/>
      <w:u w:val="none"/>
      <w:effect w:val="none"/>
    </w:rPr>
  </w:style>
  <w:style w:type="character" w:customStyle="1" w:styleId="rvts37">
    <w:name w:val="rvts37"/>
    <w:basedOn w:val="a0"/>
    <w:rsid w:val="001D206B"/>
    <w:rPr>
      <w:rFonts w:ascii="Times New Roman" w:hAnsi="Times New Roman" w:cs="Times New Roman" w:hint="default"/>
      <w:b/>
      <w:bCs/>
      <w:i w:val="0"/>
      <w:iCs w:val="0"/>
      <w:strike w:val="0"/>
      <w:dstrike w:val="0"/>
      <w:color w:val="000000"/>
      <w:sz w:val="16"/>
      <w:szCs w:val="16"/>
      <w:u w:val="none"/>
      <w:effect w:val="none"/>
      <w:vertAlign w:val="superscript"/>
    </w:rPr>
  </w:style>
  <w:style w:type="character" w:customStyle="1" w:styleId="rvts52">
    <w:name w:val="rvts52"/>
    <w:basedOn w:val="a0"/>
    <w:rsid w:val="001D206B"/>
    <w:rPr>
      <w:rFonts w:ascii="Times New Roman" w:hAnsi="Times New Roman" w:cs="Times New Roman" w:hint="default"/>
      <w:b/>
      <w:bCs/>
      <w:i w:val="0"/>
      <w:iCs w:val="0"/>
      <w:strike w:val="0"/>
      <w:dstrike w:val="0"/>
      <w:color w:val="000000"/>
      <w:spacing w:val="21"/>
      <w:sz w:val="24"/>
      <w:szCs w:val="24"/>
      <w:u w:val="none"/>
      <w:effect w:val="none"/>
    </w:rPr>
  </w:style>
  <w:style w:type="character" w:customStyle="1" w:styleId="rvts78">
    <w:name w:val="rvts78"/>
    <w:basedOn w:val="a0"/>
    <w:rsid w:val="001D206B"/>
    <w:rPr>
      <w:rFonts w:ascii="Times New Roman" w:hAnsi="Times New Roman" w:cs="Times New Roman" w:hint="default"/>
      <w:b/>
      <w:bCs/>
      <w:i/>
      <w:iCs/>
      <w:strike w:val="0"/>
      <w:dstrike w:val="0"/>
      <w:color w:val="000000"/>
      <w:spacing w:val="43"/>
      <w:sz w:val="40"/>
      <w:szCs w:val="40"/>
      <w:u w:val="none"/>
      <w:effect w:val="none"/>
    </w:rPr>
  </w:style>
  <w:style w:type="paragraph" w:customStyle="1" w:styleId="rvps71">
    <w:name w:val="rvps71"/>
    <w:basedOn w:val="a"/>
    <w:rsid w:val="001D206B"/>
    <w:pPr>
      <w:spacing w:before="107" w:after="107"/>
      <w:ind w:left="322" w:right="322"/>
      <w:jc w:val="center"/>
    </w:pPr>
    <w:rPr>
      <w:lang w:val="ru-RU"/>
    </w:rPr>
  </w:style>
  <w:style w:type="paragraph" w:customStyle="1" w:styleId="rvps171">
    <w:name w:val="rvps171"/>
    <w:basedOn w:val="a"/>
    <w:rsid w:val="001D206B"/>
    <w:pPr>
      <w:spacing w:before="215" w:after="107"/>
      <w:ind w:left="322" w:right="322"/>
      <w:jc w:val="center"/>
    </w:pPr>
    <w:rPr>
      <w:lang w:val="ru-RU"/>
    </w:rPr>
  </w:style>
  <w:style w:type="paragraph" w:customStyle="1" w:styleId="rvps61">
    <w:name w:val="rvps61"/>
    <w:basedOn w:val="a"/>
    <w:rsid w:val="001D206B"/>
    <w:pPr>
      <w:spacing w:before="215" w:after="107"/>
      <w:ind w:left="322" w:right="322"/>
      <w:jc w:val="center"/>
    </w:pPr>
    <w:rPr>
      <w:lang w:val="ru-RU"/>
    </w:rPr>
  </w:style>
  <w:style w:type="paragraph" w:customStyle="1" w:styleId="rvps21">
    <w:name w:val="rvps21"/>
    <w:basedOn w:val="a"/>
    <w:rsid w:val="001D206B"/>
    <w:pPr>
      <w:spacing w:after="107"/>
      <w:ind w:firstLine="322"/>
      <w:jc w:val="both"/>
    </w:pPr>
    <w:rPr>
      <w:lang w:val="ru-RU"/>
    </w:rPr>
  </w:style>
  <w:style w:type="paragraph" w:styleId="af0">
    <w:name w:val="No Spacing"/>
    <w:uiPriority w:val="1"/>
    <w:qFormat/>
    <w:rsid w:val="00353851"/>
    <w:rPr>
      <w:rFonts w:ascii="Calibri" w:hAnsi="Calibri"/>
      <w:sz w:val="22"/>
      <w:szCs w:val="22"/>
      <w:lang w:eastAsia="en-US"/>
    </w:rPr>
  </w:style>
  <w:style w:type="paragraph" w:customStyle="1" w:styleId="listparagraph">
    <w:name w:val="listparagraph"/>
    <w:basedOn w:val="a"/>
    <w:rsid w:val="00521B96"/>
    <w:pPr>
      <w:spacing w:before="100" w:beforeAutospacing="1" w:after="100" w:afterAutospacing="1"/>
    </w:pPr>
    <w:rPr>
      <w:lang w:val="ru-RU"/>
    </w:rPr>
  </w:style>
  <w:style w:type="character" w:styleId="af1">
    <w:name w:val="Hyperlink"/>
    <w:basedOn w:val="a0"/>
    <w:uiPriority w:val="99"/>
    <w:semiHidden/>
    <w:unhideWhenUsed/>
    <w:rsid w:val="00521B96"/>
    <w:rPr>
      <w:color w:val="0000FF"/>
      <w:u w:val="single"/>
    </w:rPr>
  </w:style>
  <w:style w:type="character" w:customStyle="1" w:styleId="1">
    <w:name w:val="Основной текст1"/>
    <w:basedOn w:val="a0"/>
    <w:rsid w:val="006B26AC"/>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style>
  <w:style w:type="character" w:customStyle="1" w:styleId="apple-converted-space">
    <w:name w:val="apple-converted-space"/>
    <w:basedOn w:val="a0"/>
    <w:rsid w:val="00FB5A47"/>
  </w:style>
  <w:style w:type="paragraph" w:customStyle="1" w:styleId="ps0">
    <w:name w:val="ps0"/>
    <w:basedOn w:val="a"/>
    <w:rsid w:val="00144DB3"/>
    <w:pPr>
      <w:spacing w:before="100" w:beforeAutospacing="1" w:after="100" w:afterAutospacing="1"/>
      <w:jc w:val="both"/>
    </w:pPr>
    <w:rPr>
      <w:lang w:val="ru-RU"/>
    </w:rPr>
  </w:style>
  <w:style w:type="paragraph" w:customStyle="1" w:styleId="Default">
    <w:name w:val="Default"/>
    <w:rsid w:val="008E2260"/>
    <w:pPr>
      <w:autoSpaceDE w:val="0"/>
      <w:autoSpaceDN w:val="0"/>
      <w:adjustRightInd w:val="0"/>
    </w:pPr>
    <w:rPr>
      <w:color w:val="000000"/>
      <w:sz w:val="24"/>
      <w:szCs w:val="24"/>
      <w:lang w:val="en-US"/>
    </w:rPr>
  </w:style>
  <w:style w:type="paragraph" w:customStyle="1" w:styleId="rvps2">
    <w:name w:val="rvps2"/>
    <w:basedOn w:val="a"/>
    <w:rsid w:val="005114A8"/>
    <w:pPr>
      <w:spacing w:before="100" w:beforeAutospacing="1" w:after="100" w:afterAutospacing="1"/>
    </w:pPr>
    <w:rPr>
      <w:lang w:val="en-US" w:eastAsia="en-US"/>
    </w:rPr>
  </w:style>
  <w:style w:type="character" w:customStyle="1" w:styleId="date-display-single">
    <w:name w:val="date-display-single"/>
    <w:basedOn w:val="a0"/>
    <w:rsid w:val="000E1D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04157">
      <w:bodyDiv w:val="1"/>
      <w:marLeft w:val="0"/>
      <w:marRight w:val="0"/>
      <w:marTop w:val="0"/>
      <w:marBottom w:val="0"/>
      <w:divBdr>
        <w:top w:val="none" w:sz="0" w:space="0" w:color="auto"/>
        <w:left w:val="none" w:sz="0" w:space="0" w:color="auto"/>
        <w:bottom w:val="none" w:sz="0" w:space="0" w:color="auto"/>
        <w:right w:val="none" w:sz="0" w:space="0" w:color="auto"/>
      </w:divBdr>
    </w:div>
    <w:div w:id="32194792">
      <w:bodyDiv w:val="1"/>
      <w:marLeft w:val="0"/>
      <w:marRight w:val="0"/>
      <w:marTop w:val="0"/>
      <w:marBottom w:val="0"/>
      <w:divBdr>
        <w:top w:val="none" w:sz="0" w:space="0" w:color="auto"/>
        <w:left w:val="none" w:sz="0" w:space="0" w:color="auto"/>
        <w:bottom w:val="none" w:sz="0" w:space="0" w:color="auto"/>
        <w:right w:val="none" w:sz="0" w:space="0" w:color="auto"/>
      </w:divBdr>
    </w:div>
    <w:div w:id="36395388">
      <w:bodyDiv w:val="1"/>
      <w:marLeft w:val="0"/>
      <w:marRight w:val="0"/>
      <w:marTop w:val="0"/>
      <w:marBottom w:val="0"/>
      <w:divBdr>
        <w:top w:val="none" w:sz="0" w:space="0" w:color="auto"/>
        <w:left w:val="none" w:sz="0" w:space="0" w:color="auto"/>
        <w:bottom w:val="none" w:sz="0" w:space="0" w:color="auto"/>
        <w:right w:val="none" w:sz="0" w:space="0" w:color="auto"/>
      </w:divBdr>
    </w:div>
    <w:div w:id="65416001">
      <w:bodyDiv w:val="1"/>
      <w:marLeft w:val="0"/>
      <w:marRight w:val="0"/>
      <w:marTop w:val="0"/>
      <w:marBottom w:val="0"/>
      <w:divBdr>
        <w:top w:val="none" w:sz="0" w:space="0" w:color="auto"/>
        <w:left w:val="none" w:sz="0" w:space="0" w:color="auto"/>
        <w:bottom w:val="none" w:sz="0" w:space="0" w:color="auto"/>
        <w:right w:val="none" w:sz="0" w:space="0" w:color="auto"/>
      </w:divBdr>
    </w:div>
    <w:div w:id="99180416">
      <w:bodyDiv w:val="1"/>
      <w:marLeft w:val="0"/>
      <w:marRight w:val="0"/>
      <w:marTop w:val="0"/>
      <w:marBottom w:val="0"/>
      <w:divBdr>
        <w:top w:val="none" w:sz="0" w:space="0" w:color="auto"/>
        <w:left w:val="none" w:sz="0" w:space="0" w:color="auto"/>
        <w:bottom w:val="none" w:sz="0" w:space="0" w:color="auto"/>
        <w:right w:val="none" w:sz="0" w:space="0" w:color="auto"/>
      </w:divBdr>
    </w:div>
    <w:div w:id="194193664">
      <w:bodyDiv w:val="1"/>
      <w:marLeft w:val="0"/>
      <w:marRight w:val="0"/>
      <w:marTop w:val="0"/>
      <w:marBottom w:val="0"/>
      <w:divBdr>
        <w:top w:val="none" w:sz="0" w:space="0" w:color="auto"/>
        <w:left w:val="none" w:sz="0" w:space="0" w:color="auto"/>
        <w:bottom w:val="none" w:sz="0" w:space="0" w:color="auto"/>
        <w:right w:val="none" w:sz="0" w:space="0" w:color="auto"/>
      </w:divBdr>
    </w:div>
    <w:div w:id="198130456">
      <w:bodyDiv w:val="1"/>
      <w:marLeft w:val="0"/>
      <w:marRight w:val="0"/>
      <w:marTop w:val="0"/>
      <w:marBottom w:val="0"/>
      <w:divBdr>
        <w:top w:val="none" w:sz="0" w:space="0" w:color="auto"/>
        <w:left w:val="none" w:sz="0" w:space="0" w:color="auto"/>
        <w:bottom w:val="none" w:sz="0" w:space="0" w:color="auto"/>
        <w:right w:val="none" w:sz="0" w:space="0" w:color="auto"/>
      </w:divBdr>
    </w:div>
    <w:div w:id="240993184">
      <w:bodyDiv w:val="1"/>
      <w:marLeft w:val="0"/>
      <w:marRight w:val="0"/>
      <w:marTop w:val="0"/>
      <w:marBottom w:val="0"/>
      <w:divBdr>
        <w:top w:val="none" w:sz="0" w:space="0" w:color="auto"/>
        <w:left w:val="none" w:sz="0" w:space="0" w:color="auto"/>
        <w:bottom w:val="none" w:sz="0" w:space="0" w:color="auto"/>
        <w:right w:val="none" w:sz="0" w:space="0" w:color="auto"/>
      </w:divBdr>
    </w:div>
    <w:div w:id="253784021">
      <w:bodyDiv w:val="1"/>
      <w:marLeft w:val="0"/>
      <w:marRight w:val="0"/>
      <w:marTop w:val="0"/>
      <w:marBottom w:val="0"/>
      <w:divBdr>
        <w:top w:val="none" w:sz="0" w:space="0" w:color="auto"/>
        <w:left w:val="none" w:sz="0" w:space="0" w:color="auto"/>
        <w:bottom w:val="none" w:sz="0" w:space="0" w:color="auto"/>
        <w:right w:val="none" w:sz="0" w:space="0" w:color="auto"/>
      </w:divBdr>
    </w:div>
    <w:div w:id="271592912">
      <w:bodyDiv w:val="1"/>
      <w:marLeft w:val="0"/>
      <w:marRight w:val="0"/>
      <w:marTop w:val="0"/>
      <w:marBottom w:val="0"/>
      <w:divBdr>
        <w:top w:val="none" w:sz="0" w:space="0" w:color="auto"/>
        <w:left w:val="none" w:sz="0" w:space="0" w:color="auto"/>
        <w:bottom w:val="none" w:sz="0" w:space="0" w:color="auto"/>
        <w:right w:val="none" w:sz="0" w:space="0" w:color="auto"/>
      </w:divBdr>
    </w:div>
    <w:div w:id="286933544">
      <w:bodyDiv w:val="1"/>
      <w:marLeft w:val="0"/>
      <w:marRight w:val="0"/>
      <w:marTop w:val="0"/>
      <w:marBottom w:val="0"/>
      <w:divBdr>
        <w:top w:val="none" w:sz="0" w:space="0" w:color="auto"/>
        <w:left w:val="none" w:sz="0" w:space="0" w:color="auto"/>
        <w:bottom w:val="none" w:sz="0" w:space="0" w:color="auto"/>
        <w:right w:val="none" w:sz="0" w:space="0" w:color="auto"/>
      </w:divBdr>
    </w:div>
    <w:div w:id="340353565">
      <w:bodyDiv w:val="1"/>
      <w:marLeft w:val="0"/>
      <w:marRight w:val="0"/>
      <w:marTop w:val="0"/>
      <w:marBottom w:val="0"/>
      <w:divBdr>
        <w:top w:val="none" w:sz="0" w:space="0" w:color="auto"/>
        <w:left w:val="none" w:sz="0" w:space="0" w:color="auto"/>
        <w:bottom w:val="none" w:sz="0" w:space="0" w:color="auto"/>
        <w:right w:val="none" w:sz="0" w:space="0" w:color="auto"/>
      </w:divBdr>
    </w:div>
    <w:div w:id="516118196">
      <w:bodyDiv w:val="1"/>
      <w:marLeft w:val="0"/>
      <w:marRight w:val="0"/>
      <w:marTop w:val="0"/>
      <w:marBottom w:val="0"/>
      <w:divBdr>
        <w:top w:val="none" w:sz="0" w:space="0" w:color="auto"/>
        <w:left w:val="none" w:sz="0" w:space="0" w:color="auto"/>
        <w:bottom w:val="none" w:sz="0" w:space="0" w:color="auto"/>
        <w:right w:val="none" w:sz="0" w:space="0" w:color="auto"/>
      </w:divBdr>
    </w:div>
    <w:div w:id="546529170">
      <w:bodyDiv w:val="1"/>
      <w:marLeft w:val="0"/>
      <w:marRight w:val="0"/>
      <w:marTop w:val="0"/>
      <w:marBottom w:val="0"/>
      <w:divBdr>
        <w:top w:val="none" w:sz="0" w:space="0" w:color="auto"/>
        <w:left w:val="none" w:sz="0" w:space="0" w:color="auto"/>
        <w:bottom w:val="none" w:sz="0" w:space="0" w:color="auto"/>
        <w:right w:val="none" w:sz="0" w:space="0" w:color="auto"/>
      </w:divBdr>
    </w:div>
    <w:div w:id="685523761">
      <w:bodyDiv w:val="1"/>
      <w:marLeft w:val="0"/>
      <w:marRight w:val="0"/>
      <w:marTop w:val="0"/>
      <w:marBottom w:val="0"/>
      <w:divBdr>
        <w:top w:val="none" w:sz="0" w:space="0" w:color="auto"/>
        <w:left w:val="none" w:sz="0" w:space="0" w:color="auto"/>
        <w:bottom w:val="none" w:sz="0" w:space="0" w:color="auto"/>
        <w:right w:val="none" w:sz="0" w:space="0" w:color="auto"/>
      </w:divBdr>
    </w:div>
    <w:div w:id="713579673">
      <w:bodyDiv w:val="1"/>
      <w:marLeft w:val="0"/>
      <w:marRight w:val="0"/>
      <w:marTop w:val="0"/>
      <w:marBottom w:val="0"/>
      <w:divBdr>
        <w:top w:val="none" w:sz="0" w:space="0" w:color="auto"/>
        <w:left w:val="none" w:sz="0" w:space="0" w:color="auto"/>
        <w:bottom w:val="none" w:sz="0" w:space="0" w:color="auto"/>
        <w:right w:val="none" w:sz="0" w:space="0" w:color="auto"/>
      </w:divBdr>
    </w:div>
    <w:div w:id="770129427">
      <w:bodyDiv w:val="1"/>
      <w:marLeft w:val="0"/>
      <w:marRight w:val="0"/>
      <w:marTop w:val="0"/>
      <w:marBottom w:val="0"/>
      <w:divBdr>
        <w:top w:val="none" w:sz="0" w:space="0" w:color="auto"/>
        <w:left w:val="none" w:sz="0" w:space="0" w:color="auto"/>
        <w:bottom w:val="none" w:sz="0" w:space="0" w:color="auto"/>
        <w:right w:val="none" w:sz="0" w:space="0" w:color="auto"/>
      </w:divBdr>
    </w:div>
    <w:div w:id="865023907">
      <w:bodyDiv w:val="1"/>
      <w:marLeft w:val="0"/>
      <w:marRight w:val="0"/>
      <w:marTop w:val="0"/>
      <w:marBottom w:val="0"/>
      <w:divBdr>
        <w:top w:val="none" w:sz="0" w:space="0" w:color="auto"/>
        <w:left w:val="none" w:sz="0" w:space="0" w:color="auto"/>
        <w:bottom w:val="none" w:sz="0" w:space="0" w:color="auto"/>
        <w:right w:val="none" w:sz="0" w:space="0" w:color="auto"/>
      </w:divBdr>
    </w:div>
    <w:div w:id="875896636">
      <w:bodyDiv w:val="1"/>
      <w:marLeft w:val="0"/>
      <w:marRight w:val="0"/>
      <w:marTop w:val="0"/>
      <w:marBottom w:val="0"/>
      <w:divBdr>
        <w:top w:val="none" w:sz="0" w:space="0" w:color="auto"/>
        <w:left w:val="none" w:sz="0" w:space="0" w:color="auto"/>
        <w:bottom w:val="none" w:sz="0" w:space="0" w:color="auto"/>
        <w:right w:val="none" w:sz="0" w:space="0" w:color="auto"/>
      </w:divBdr>
    </w:div>
    <w:div w:id="884877427">
      <w:bodyDiv w:val="1"/>
      <w:marLeft w:val="0"/>
      <w:marRight w:val="0"/>
      <w:marTop w:val="0"/>
      <w:marBottom w:val="0"/>
      <w:divBdr>
        <w:top w:val="none" w:sz="0" w:space="0" w:color="auto"/>
        <w:left w:val="none" w:sz="0" w:space="0" w:color="auto"/>
        <w:bottom w:val="none" w:sz="0" w:space="0" w:color="auto"/>
        <w:right w:val="none" w:sz="0" w:space="0" w:color="auto"/>
      </w:divBdr>
    </w:div>
    <w:div w:id="899443280">
      <w:bodyDiv w:val="1"/>
      <w:marLeft w:val="0"/>
      <w:marRight w:val="0"/>
      <w:marTop w:val="0"/>
      <w:marBottom w:val="0"/>
      <w:divBdr>
        <w:top w:val="none" w:sz="0" w:space="0" w:color="auto"/>
        <w:left w:val="none" w:sz="0" w:space="0" w:color="auto"/>
        <w:bottom w:val="none" w:sz="0" w:space="0" w:color="auto"/>
        <w:right w:val="none" w:sz="0" w:space="0" w:color="auto"/>
      </w:divBdr>
    </w:div>
    <w:div w:id="924538444">
      <w:bodyDiv w:val="1"/>
      <w:marLeft w:val="0"/>
      <w:marRight w:val="0"/>
      <w:marTop w:val="0"/>
      <w:marBottom w:val="0"/>
      <w:divBdr>
        <w:top w:val="none" w:sz="0" w:space="0" w:color="auto"/>
        <w:left w:val="none" w:sz="0" w:space="0" w:color="auto"/>
        <w:bottom w:val="none" w:sz="0" w:space="0" w:color="auto"/>
        <w:right w:val="none" w:sz="0" w:space="0" w:color="auto"/>
      </w:divBdr>
    </w:div>
    <w:div w:id="988242971">
      <w:bodyDiv w:val="1"/>
      <w:marLeft w:val="0"/>
      <w:marRight w:val="0"/>
      <w:marTop w:val="0"/>
      <w:marBottom w:val="0"/>
      <w:divBdr>
        <w:top w:val="none" w:sz="0" w:space="0" w:color="auto"/>
        <w:left w:val="none" w:sz="0" w:space="0" w:color="auto"/>
        <w:bottom w:val="none" w:sz="0" w:space="0" w:color="auto"/>
        <w:right w:val="none" w:sz="0" w:space="0" w:color="auto"/>
      </w:divBdr>
    </w:div>
    <w:div w:id="1002586317">
      <w:bodyDiv w:val="1"/>
      <w:marLeft w:val="0"/>
      <w:marRight w:val="0"/>
      <w:marTop w:val="0"/>
      <w:marBottom w:val="0"/>
      <w:divBdr>
        <w:top w:val="none" w:sz="0" w:space="0" w:color="auto"/>
        <w:left w:val="none" w:sz="0" w:space="0" w:color="auto"/>
        <w:bottom w:val="none" w:sz="0" w:space="0" w:color="auto"/>
        <w:right w:val="none" w:sz="0" w:space="0" w:color="auto"/>
      </w:divBdr>
    </w:div>
    <w:div w:id="1023945295">
      <w:bodyDiv w:val="1"/>
      <w:marLeft w:val="0"/>
      <w:marRight w:val="0"/>
      <w:marTop w:val="0"/>
      <w:marBottom w:val="0"/>
      <w:divBdr>
        <w:top w:val="none" w:sz="0" w:space="0" w:color="auto"/>
        <w:left w:val="none" w:sz="0" w:space="0" w:color="auto"/>
        <w:bottom w:val="none" w:sz="0" w:space="0" w:color="auto"/>
        <w:right w:val="none" w:sz="0" w:space="0" w:color="auto"/>
      </w:divBdr>
    </w:div>
    <w:div w:id="1029986651">
      <w:bodyDiv w:val="1"/>
      <w:marLeft w:val="0"/>
      <w:marRight w:val="0"/>
      <w:marTop w:val="0"/>
      <w:marBottom w:val="0"/>
      <w:divBdr>
        <w:top w:val="none" w:sz="0" w:space="0" w:color="auto"/>
        <w:left w:val="none" w:sz="0" w:space="0" w:color="auto"/>
        <w:bottom w:val="none" w:sz="0" w:space="0" w:color="auto"/>
        <w:right w:val="none" w:sz="0" w:space="0" w:color="auto"/>
      </w:divBdr>
    </w:div>
    <w:div w:id="1040743549">
      <w:bodyDiv w:val="1"/>
      <w:marLeft w:val="0"/>
      <w:marRight w:val="0"/>
      <w:marTop w:val="0"/>
      <w:marBottom w:val="0"/>
      <w:divBdr>
        <w:top w:val="none" w:sz="0" w:space="0" w:color="auto"/>
        <w:left w:val="none" w:sz="0" w:space="0" w:color="auto"/>
        <w:bottom w:val="none" w:sz="0" w:space="0" w:color="auto"/>
        <w:right w:val="none" w:sz="0" w:space="0" w:color="auto"/>
      </w:divBdr>
    </w:div>
    <w:div w:id="1051884777">
      <w:bodyDiv w:val="1"/>
      <w:marLeft w:val="0"/>
      <w:marRight w:val="0"/>
      <w:marTop w:val="0"/>
      <w:marBottom w:val="0"/>
      <w:divBdr>
        <w:top w:val="none" w:sz="0" w:space="0" w:color="auto"/>
        <w:left w:val="none" w:sz="0" w:space="0" w:color="auto"/>
        <w:bottom w:val="none" w:sz="0" w:space="0" w:color="auto"/>
        <w:right w:val="none" w:sz="0" w:space="0" w:color="auto"/>
      </w:divBdr>
    </w:div>
    <w:div w:id="1136294471">
      <w:bodyDiv w:val="1"/>
      <w:marLeft w:val="0"/>
      <w:marRight w:val="0"/>
      <w:marTop w:val="0"/>
      <w:marBottom w:val="0"/>
      <w:divBdr>
        <w:top w:val="none" w:sz="0" w:space="0" w:color="auto"/>
        <w:left w:val="none" w:sz="0" w:space="0" w:color="auto"/>
        <w:bottom w:val="none" w:sz="0" w:space="0" w:color="auto"/>
        <w:right w:val="none" w:sz="0" w:space="0" w:color="auto"/>
      </w:divBdr>
    </w:div>
    <w:div w:id="1143698769">
      <w:bodyDiv w:val="1"/>
      <w:marLeft w:val="0"/>
      <w:marRight w:val="0"/>
      <w:marTop w:val="0"/>
      <w:marBottom w:val="0"/>
      <w:divBdr>
        <w:top w:val="none" w:sz="0" w:space="0" w:color="auto"/>
        <w:left w:val="none" w:sz="0" w:space="0" w:color="auto"/>
        <w:bottom w:val="none" w:sz="0" w:space="0" w:color="auto"/>
        <w:right w:val="none" w:sz="0" w:space="0" w:color="auto"/>
      </w:divBdr>
    </w:div>
    <w:div w:id="1168518551">
      <w:bodyDiv w:val="1"/>
      <w:marLeft w:val="0"/>
      <w:marRight w:val="0"/>
      <w:marTop w:val="0"/>
      <w:marBottom w:val="0"/>
      <w:divBdr>
        <w:top w:val="none" w:sz="0" w:space="0" w:color="auto"/>
        <w:left w:val="none" w:sz="0" w:space="0" w:color="auto"/>
        <w:bottom w:val="none" w:sz="0" w:space="0" w:color="auto"/>
        <w:right w:val="none" w:sz="0" w:space="0" w:color="auto"/>
      </w:divBdr>
    </w:div>
    <w:div w:id="1248003717">
      <w:bodyDiv w:val="1"/>
      <w:marLeft w:val="0"/>
      <w:marRight w:val="0"/>
      <w:marTop w:val="0"/>
      <w:marBottom w:val="0"/>
      <w:divBdr>
        <w:top w:val="none" w:sz="0" w:space="0" w:color="auto"/>
        <w:left w:val="none" w:sz="0" w:space="0" w:color="auto"/>
        <w:bottom w:val="none" w:sz="0" w:space="0" w:color="auto"/>
        <w:right w:val="none" w:sz="0" w:space="0" w:color="auto"/>
      </w:divBdr>
    </w:div>
    <w:div w:id="1281108539">
      <w:bodyDiv w:val="1"/>
      <w:marLeft w:val="0"/>
      <w:marRight w:val="0"/>
      <w:marTop w:val="0"/>
      <w:marBottom w:val="0"/>
      <w:divBdr>
        <w:top w:val="none" w:sz="0" w:space="0" w:color="auto"/>
        <w:left w:val="none" w:sz="0" w:space="0" w:color="auto"/>
        <w:bottom w:val="none" w:sz="0" w:space="0" w:color="auto"/>
        <w:right w:val="none" w:sz="0" w:space="0" w:color="auto"/>
      </w:divBdr>
    </w:div>
    <w:div w:id="1285577391">
      <w:bodyDiv w:val="1"/>
      <w:marLeft w:val="0"/>
      <w:marRight w:val="0"/>
      <w:marTop w:val="0"/>
      <w:marBottom w:val="0"/>
      <w:divBdr>
        <w:top w:val="none" w:sz="0" w:space="0" w:color="auto"/>
        <w:left w:val="none" w:sz="0" w:space="0" w:color="auto"/>
        <w:bottom w:val="none" w:sz="0" w:space="0" w:color="auto"/>
        <w:right w:val="none" w:sz="0" w:space="0" w:color="auto"/>
      </w:divBdr>
    </w:div>
    <w:div w:id="1302881436">
      <w:bodyDiv w:val="1"/>
      <w:marLeft w:val="0"/>
      <w:marRight w:val="0"/>
      <w:marTop w:val="0"/>
      <w:marBottom w:val="0"/>
      <w:divBdr>
        <w:top w:val="none" w:sz="0" w:space="0" w:color="auto"/>
        <w:left w:val="none" w:sz="0" w:space="0" w:color="auto"/>
        <w:bottom w:val="none" w:sz="0" w:space="0" w:color="auto"/>
        <w:right w:val="none" w:sz="0" w:space="0" w:color="auto"/>
      </w:divBdr>
    </w:div>
    <w:div w:id="1324816819">
      <w:bodyDiv w:val="1"/>
      <w:marLeft w:val="0"/>
      <w:marRight w:val="0"/>
      <w:marTop w:val="0"/>
      <w:marBottom w:val="0"/>
      <w:divBdr>
        <w:top w:val="none" w:sz="0" w:space="0" w:color="auto"/>
        <w:left w:val="none" w:sz="0" w:space="0" w:color="auto"/>
        <w:bottom w:val="none" w:sz="0" w:space="0" w:color="auto"/>
        <w:right w:val="none" w:sz="0" w:space="0" w:color="auto"/>
      </w:divBdr>
    </w:div>
    <w:div w:id="1481532538">
      <w:bodyDiv w:val="1"/>
      <w:marLeft w:val="0"/>
      <w:marRight w:val="0"/>
      <w:marTop w:val="0"/>
      <w:marBottom w:val="0"/>
      <w:divBdr>
        <w:top w:val="none" w:sz="0" w:space="0" w:color="auto"/>
        <w:left w:val="none" w:sz="0" w:space="0" w:color="auto"/>
        <w:bottom w:val="none" w:sz="0" w:space="0" w:color="auto"/>
        <w:right w:val="none" w:sz="0" w:space="0" w:color="auto"/>
      </w:divBdr>
    </w:div>
    <w:div w:id="1503202946">
      <w:bodyDiv w:val="1"/>
      <w:marLeft w:val="0"/>
      <w:marRight w:val="0"/>
      <w:marTop w:val="0"/>
      <w:marBottom w:val="0"/>
      <w:divBdr>
        <w:top w:val="none" w:sz="0" w:space="0" w:color="auto"/>
        <w:left w:val="none" w:sz="0" w:space="0" w:color="auto"/>
        <w:bottom w:val="none" w:sz="0" w:space="0" w:color="auto"/>
        <w:right w:val="none" w:sz="0" w:space="0" w:color="auto"/>
      </w:divBdr>
    </w:div>
    <w:div w:id="1564870657">
      <w:bodyDiv w:val="1"/>
      <w:marLeft w:val="0"/>
      <w:marRight w:val="0"/>
      <w:marTop w:val="0"/>
      <w:marBottom w:val="0"/>
      <w:divBdr>
        <w:top w:val="none" w:sz="0" w:space="0" w:color="auto"/>
        <w:left w:val="none" w:sz="0" w:space="0" w:color="auto"/>
        <w:bottom w:val="none" w:sz="0" w:space="0" w:color="auto"/>
        <w:right w:val="none" w:sz="0" w:space="0" w:color="auto"/>
      </w:divBdr>
    </w:div>
    <w:div w:id="1673414608">
      <w:bodyDiv w:val="1"/>
      <w:marLeft w:val="0"/>
      <w:marRight w:val="0"/>
      <w:marTop w:val="0"/>
      <w:marBottom w:val="0"/>
      <w:divBdr>
        <w:top w:val="none" w:sz="0" w:space="0" w:color="auto"/>
        <w:left w:val="none" w:sz="0" w:space="0" w:color="auto"/>
        <w:bottom w:val="none" w:sz="0" w:space="0" w:color="auto"/>
        <w:right w:val="none" w:sz="0" w:space="0" w:color="auto"/>
      </w:divBdr>
      <w:divsChild>
        <w:div w:id="1719016446">
          <w:marLeft w:val="0"/>
          <w:marRight w:val="0"/>
          <w:marTop w:val="0"/>
          <w:marBottom w:val="0"/>
          <w:divBdr>
            <w:top w:val="none" w:sz="0" w:space="0" w:color="auto"/>
            <w:left w:val="none" w:sz="0" w:space="0" w:color="auto"/>
            <w:bottom w:val="none" w:sz="0" w:space="0" w:color="auto"/>
            <w:right w:val="none" w:sz="0" w:space="0" w:color="auto"/>
          </w:divBdr>
          <w:divsChild>
            <w:div w:id="458692866">
              <w:marLeft w:val="0"/>
              <w:marRight w:val="0"/>
              <w:marTop w:val="0"/>
              <w:marBottom w:val="0"/>
              <w:divBdr>
                <w:top w:val="none" w:sz="0" w:space="0" w:color="auto"/>
                <w:left w:val="none" w:sz="0" w:space="0" w:color="auto"/>
                <w:bottom w:val="none" w:sz="0" w:space="0" w:color="auto"/>
                <w:right w:val="none" w:sz="0" w:space="0" w:color="auto"/>
              </w:divBdr>
              <w:divsChild>
                <w:div w:id="1874614606">
                  <w:marLeft w:val="0"/>
                  <w:marRight w:val="0"/>
                  <w:marTop w:val="0"/>
                  <w:marBottom w:val="0"/>
                  <w:divBdr>
                    <w:top w:val="none" w:sz="0" w:space="0" w:color="auto"/>
                    <w:left w:val="none" w:sz="0" w:space="0" w:color="auto"/>
                    <w:bottom w:val="none" w:sz="0" w:space="0" w:color="auto"/>
                    <w:right w:val="none" w:sz="0" w:space="0" w:color="auto"/>
                  </w:divBdr>
                  <w:divsChild>
                    <w:div w:id="270430068">
                      <w:marLeft w:val="0"/>
                      <w:marRight w:val="0"/>
                      <w:marTop w:val="0"/>
                      <w:marBottom w:val="0"/>
                      <w:divBdr>
                        <w:top w:val="none" w:sz="0" w:space="0" w:color="auto"/>
                        <w:left w:val="none" w:sz="0" w:space="0" w:color="auto"/>
                        <w:bottom w:val="none" w:sz="0" w:space="0" w:color="auto"/>
                        <w:right w:val="none" w:sz="0" w:space="0" w:color="auto"/>
                      </w:divBdr>
                      <w:divsChild>
                        <w:div w:id="24202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823581">
              <w:marLeft w:val="0"/>
              <w:marRight w:val="0"/>
              <w:marTop w:val="0"/>
              <w:marBottom w:val="0"/>
              <w:divBdr>
                <w:top w:val="none" w:sz="0" w:space="0" w:color="auto"/>
                <w:left w:val="none" w:sz="0" w:space="0" w:color="auto"/>
                <w:bottom w:val="none" w:sz="0" w:space="0" w:color="auto"/>
                <w:right w:val="none" w:sz="0" w:space="0" w:color="auto"/>
              </w:divBdr>
              <w:divsChild>
                <w:div w:id="307368324">
                  <w:marLeft w:val="0"/>
                  <w:marRight w:val="0"/>
                  <w:marTop w:val="0"/>
                  <w:marBottom w:val="0"/>
                  <w:divBdr>
                    <w:top w:val="none" w:sz="0" w:space="0" w:color="auto"/>
                    <w:left w:val="none" w:sz="0" w:space="0" w:color="auto"/>
                    <w:bottom w:val="none" w:sz="0" w:space="0" w:color="auto"/>
                    <w:right w:val="none" w:sz="0" w:space="0" w:color="auto"/>
                  </w:divBdr>
                  <w:divsChild>
                    <w:div w:id="1657562670">
                      <w:marLeft w:val="0"/>
                      <w:marRight w:val="0"/>
                      <w:marTop w:val="0"/>
                      <w:marBottom w:val="0"/>
                      <w:divBdr>
                        <w:top w:val="none" w:sz="0" w:space="0" w:color="auto"/>
                        <w:left w:val="none" w:sz="0" w:space="0" w:color="auto"/>
                        <w:bottom w:val="none" w:sz="0" w:space="0" w:color="auto"/>
                        <w:right w:val="none" w:sz="0" w:space="0" w:color="auto"/>
                      </w:divBdr>
                      <w:divsChild>
                        <w:div w:id="199448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4989092">
      <w:bodyDiv w:val="1"/>
      <w:marLeft w:val="0"/>
      <w:marRight w:val="0"/>
      <w:marTop w:val="0"/>
      <w:marBottom w:val="0"/>
      <w:divBdr>
        <w:top w:val="none" w:sz="0" w:space="0" w:color="auto"/>
        <w:left w:val="none" w:sz="0" w:space="0" w:color="auto"/>
        <w:bottom w:val="none" w:sz="0" w:space="0" w:color="auto"/>
        <w:right w:val="none" w:sz="0" w:space="0" w:color="auto"/>
      </w:divBdr>
    </w:div>
    <w:div w:id="1708793180">
      <w:bodyDiv w:val="1"/>
      <w:marLeft w:val="0"/>
      <w:marRight w:val="0"/>
      <w:marTop w:val="0"/>
      <w:marBottom w:val="0"/>
      <w:divBdr>
        <w:top w:val="none" w:sz="0" w:space="0" w:color="auto"/>
        <w:left w:val="none" w:sz="0" w:space="0" w:color="auto"/>
        <w:bottom w:val="none" w:sz="0" w:space="0" w:color="auto"/>
        <w:right w:val="none" w:sz="0" w:space="0" w:color="auto"/>
      </w:divBdr>
    </w:div>
    <w:div w:id="1759867471">
      <w:bodyDiv w:val="1"/>
      <w:marLeft w:val="0"/>
      <w:marRight w:val="0"/>
      <w:marTop w:val="0"/>
      <w:marBottom w:val="0"/>
      <w:divBdr>
        <w:top w:val="none" w:sz="0" w:space="0" w:color="auto"/>
        <w:left w:val="none" w:sz="0" w:space="0" w:color="auto"/>
        <w:bottom w:val="none" w:sz="0" w:space="0" w:color="auto"/>
        <w:right w:val="none" w:sz="0" w:space="0" w:color="auto"/>
      </w:divBdr>
    </w:div>
    <w:div w:id="1786924651">
      <w:bodyDiv w:val="1"/>
      <w:marLeft w:val="0"/>
      <w:marRight w:val="0"/>
      <w:marTop w:val="0"/>
      <w:marBottom w:val="0"/>
      <w:divBdr>
        <w:top w:val="none" w:sz="0" w:space="0" w:color="auto"/>
        <w:left w:val="none" w:sz="0" w:space="0" w:color="auto"/>
        <w:bottom w:val="none" w:sz="0" w:space="0" w:color="auto"/>
        <w:right w:val="none" w:sz="0" w:space="0" w:color="auto"/>
      </w:divBdr>
    </w:div>
    <w:div w:id="1802840347">
      <w:bodyDiv w:val="1"/>
      <w:marLeft w:val="0"/>
      <w:marRight w:val="0"/>
      <w:marTop w:val="0"/>
      <w:marBottom w:val="0"/>
      <w:divBdr>
        <w:top w:val="none" w:sz="0" w:space="0" w:color="auto"/>
        <w:left w:val="none" w:sz="0" w:space="0" w:color="auto"/>
        <w:bottom w:val="none" w:sz="0" w:space="0" w:color="auto"/>
        <w:right w:val="none" w:sz="0" w:space="0" w:color="auto"/>
      </w:divBdr>
    </w:div>
    <w:div w:id="1807627622">
      <w:bodyDiv w:val="1"/>
      <w:marLeft w:val="0"/>
      <w:marRight w:val="0"/>
      <w:marTop w:val="0"/>
      <w:marBottom w:val="0"/>
      <w:divBdr>
        <w:top w:val="none" w:sz="0" w:space="0" w:color="auto"/>
        <w:left w:val="none" w:sz="0" w:space="0" w:color="auto"/>
        <w:bottom w:val="none" w:sz="0" w:space="0" w:color="auto"/>
        <w:right w:val="none" w:sz="0" w:space="0" w:color="auto"/>
      </w:divBdr>
    </w:div>
    <w:div w:id="1820730709">
      <w:bodyDiv w:val="1"/>
      <w:marLeft w:val="0"/>
      <w:marRight w:val="0"/>
      <w:marTop w:val="0"/>
      <w:marBottom w:val="0"/>
      <w:divBdr>
        <w:top w:val="none" w:sz="0" w:space="0" w:color="auto"/>
        <w:left w:val="none" w:sz="0" w:space="0" w:color="auto"/>
        <w:bottom w:val="none" w:sz="0" w:space="0" w:color="auto"/>
        <w:right w:val="none" w:sz="0" w:space="0" w:color="auto"/>
      </w:divBdr>
    </w:div>
    <w:div w:id="1828475030">
      <w:bodyDiv w:val="1"/>
      <w:marLeft w:val="0"/>
      <w:marRight w:val="0"/>
      <w:marTop w:val="0"/>
      <w:marBottom w:val="0"/>
      <w:divBdr>
        <w:top w:val="none" w:sz="0" w:space="0" w:color="auto"/>
        <w:left w:val="none" w:sz="0" w:space="0" w:color="auto"/>
        <w:bottom w:val="none" w:sz="0" w:space="0" w:color="auto"/>
        <w:right w:val="none" w:sz="0" w:space="0" w:color="auto"/>
      </w:divBdr>
    </w:div>
    <w:div w:id="1832137648">
      <w:bodyDiv w:val="1"/>
      <w:marLeft w:val="0"/>
      <w:marRight w:val="0"/>
      <w:marTop w:val="0"/>
      <w:marBottom w:val="0"/>
      <w:divBdr>
        <w:top w:val="none" w:sz="0" w:space="0" w:color="auto"/>
        <w:left w:val="none" w:sz="0" w:space="0" w:color="auto"/>
        <w:bottom w:val="none" w:sz="0" w:space="0" w:color="auto"/>
        <w:right w:val="none" w:sz="0" w:space="0" w:color="auto"/>
      </w:divBdr>
    </w:div>
    <w:div w:id="1903326636">
      <w:bodyDiv w:val="1"/>
      <w:marLeft w:val="0"/>
      <w:marRight w:val="0"/>
      <w:marTop w:val="0"/>
      <w:marBottom w:val="0"/>
      <w:divBdr>
        <w:top w:val="none" w:sz="0" w:space="0" w:color="auto"/>
        <w:left w:val="none" w:sz="0" w:space="0" w:color="auto"/>
        <w:bottom w:val="none" w:sz="0" w:space="0" w:color="auto"/>
        <w:right w:val="none" w:sz="0" w:space="0" w:color="auto"/>
      </w:divBdr>
    </w:div>
    <w:div w:id="1908567067">
      <w:bodyDiv w:val="1"/>
      <w:marLeft w:val="0"/>
      <w:marRight w:val="0"/>
      <w:marTop w:val="0"/>
      <w:marBottom w:val="0"/>
      <w:divBdr>
        <w:top w:val="none" w:sz="0" w:space="0" w:color="auto"/>
        <w:left w:val="none" w:sz="0" w:space="0" w:color="auto"/>
        <w:bottom w:val="none" w:sz="0" w:space="0" w:color="auto"/>
        <w:right w:val="none" w:sz="0" w:space="0" w:color="auto"/>
      </w:divBdr>
    </w:div>
    <w:div w:id="1919515771">
      <w:bodyDiv w:val="1"/>
      <w:marLeft w:val="0"/>
      <w:marRight w:val="0"/>
      <w:marTop w:val="0"/>
      <w:marBottom w:val="0"/>
      <w:divBdr>
        <w:top w:val="none" w:sz="0" w:space="0" w:color="auto"/>
        <w:left w:val="none" w:sz="0" w:space="0" w:color="auto"/>
        <w:bottom w:val="none" w:sz="0" w:space="0" w:color="auto"/>
        <w:right w:val="none" w:sz="0" w:space="0" w:color="auto"/>
      </w:divBdr>
    </w:div>
    <w:div w:id="1933078026">
      <w:bodyDiv w:val="1"/>
      <w:marLeft w:val="0"/>
      <w:marRight w:val="0"/>
      <w:marTop w:val="0"/>
      <w:marBottom w:val="0"/>
      <w:divBdr>
        <w:top w:val="none" w:sz="0" w:space="0" w:color="auto"/>
        <w:left w:val="none" w:sz="0" w:space="0" w:color="auto"/>
        <w:bottom w:val="none" w:sz="0" w:space="0" w:color="auto"/>
        <w:right w:val="none" w:sz="0" w:space="0" w:color="auto"/>
      </w:divBdr>
    </w:div>
    <w:div w:id="1951161467">
      <w:bodyDiv w:val="1"/>
      <w:marLeft w:val="0"/>
      <w:marRight w:val="0"/>
      <w:marTop w:val="0"/>
      <w:marBottom w:val="0"/>
      <w:divBdr>
        <w:top w:val="none" w:sz="0" w:space="0" w:color="auto"/>
        <w:left w:val="none" w:sz="0" w:space="0" w:color="auto"/>
        <w:bottom w:val="none" w:sz="0" w:space="0" w:color="auto"/>
        <w:right w:val="none" w:sz="0" w:space="0" w:color="auto"/>
      </w:divBdr>
    </w:div>
    <w:div w:id="1958173150">
      <w:bodyDiv w:val="1"/>
      <w:marLeft w:val="0"/>
      <w:marRight w:val="0"/>
      <w:marTop w:val="0"/>
      <w:marBottom w:val="0"/>
      <w:divBdr>
        <w:top w:val="none" w:sz="0" w:space="0" w:color="auto"/>
        <w:left w:val="none" w:sz="0" w:space="0" w:color="auto"/>
        <w:bottom w:val="none" w:sz="0" w:space="0" w:color="auto"/>
        <w:right w:val="none" w:sz="0" w:space="0" w:color="auto"/>
      </w:divBdr>
    </w:div>
    <w:div w:id="1981883997">
      <w:bodyDiv w:val="1"/>
      <w:marLeft w:val="0"/>
      <w:marRight w:val="0"/>
      <w:marTop w:val="0"/>
      <w:marBottom w:val="0"/>
      <w:divBdr>
        <w:top w:val="none" w:sz="0" w:space="0" w:color="auto"/>
        <w:left w:val="none" w:sz="0" w:space="0" w:color="auto"/>
        <w:bottom w:val="none" w:sz="0" w:space="0" w:color="auto"/>
        <w:right w:val="none" w:sz="0" w:space="0" w:color="auto"/>
      </w:divBdr>
    </w:div>
    <w:div w:id="1994599791">
      <w:bodyDiv w:val="1"/>
      <w:marLeft w:val="0"/>
      <w:marRight w:val="0"/>
      <w:marTop w:val="0"/>
      <w:marBottom w:val="0"/>
      <w:divBdr>
        <w:top w:val="none" w:sz="0" w:space="0" w:color="auto"/>
        <w:left w:val="none" w:sz="0" w:space="0" w:color="auto"/>
        <w:bottom w:val="none" w:sz="0" w:space="0" w:color="auto"/>
        <w:right w:val="none" w:sz="0" w:space="0" w:color="auto"/>
      </w:divBdr>
    </w:div>
    <w:div w:id="1995988155">
      <w:bodyDiv w:val="1"/>
      <w:marLeft w:val="0"/>
      <w:marRight w:val="0"/>
      <w:marTop w:val="0"/>
      <w:marBottom w:val="0"/>
      <w:divBdr>
        <w:top w:val="none" w:sz="0" w:space="0" w:color="auto"/>
        <w:left w:val="none" w:sz="0" w:space="0" w:color="auto"/>
        <w:bottom w:val="none" w:sz="0" w:space="0" w:color="auto"/>
        <w:right w:val="none" w:sz="0" w:space="0" w:color="auto"/>
      </w:divBdr>
    </w:div>
    <w:div w:id="2011594098">
      <w:bodyDiv w:val="1"/>
      <w:marLeft w:val="0"/>
      <w:marRight w:val="0"/>
      <w:marTop w:val="0"/>
      <w:marBottom w:val="0"/>
      <w:divBdr>
        <w:top w:val="none" w:sz="0" w:space="0" w:color="auto"/>
        <w:left w:val="none" w:sz="0" w:space="0" w:color="auto"/>
        <w:bottom w:val="none" w:sz="0" w:space="0" w:color="auto"/>
        <w:right w:val="none" w:sz="0" w:space="0" w:color="auto"/>
      </w:divBdr>
      <w:divsChild>
        <w:div w:id="601258626">
          <w:marLeft w:val="0"/>
          <w:marRight w:val="0"/>
          <w:marTop w:val="100"/>
          <w:marBottom w:val="100"/>
          <w:divBdr>
            <w:top w:val="none" w:sz="0" w:space="0" w:color="auto"/>
            <w:left w:val="none" w:sz="0" w:space="0" w:color="auto"/>
            <w:bottom w:val="none" w:sz="0" w:space="0" w:color="auto"/>
            <w:right w:val="none" w:sz="0" w:space="0" w:color="auto"/>
          </w:divBdr>
          <w:divsChild>
            <w:div w:id="1690402292">
              <w:marLeft w:val="0"/>
              <w:marRight w:val="0"/>
              <w:marTop w:val="0"/>
              <w:marBottom w:val="0"/>
              <w:divBdr>
                <w:top w:val="single" w:sz="4" w:space="3" w:color="DCDCDC"/>
                <w:left w:val="single" w:sz="4" w:space="3" w:color="DCDCDC"/>
                <w:bottom w:val="single" w:sz="4" w:space="0" w:color="DCDCDC"/>
                <w:right w:val="single" w:sz="4" w:space="3" w:color="DCDCDC"/>
              </w:divBdr>
              <w:divsChild>
                <w:div w:id="371810536">
                  <w:marLeft w:val="-54"/>
                  <w:marRight w:val="-54"/>
                  <w:marTop w:val="0"/>
                  <w:marBottom w:val="107"/>
                  <w:divBdr>
                    <w:top w:val="none" w:sz="0" w:space="0" w:color="auto"/>
                    <w:left w:val="none" w:sz="0" w:space="0" w:color="auto"/>
                    <w:bottom w:val="single" w:sz="8" w:space="5" w:color="2474B1"/>
                    <w:right w:val="none" w:sz="0" w:space="0" w:color="auto"/>
                  </w:divBdr>
                </w:div>
                <w:div w:id="153638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_____Microsoft_Excel.xlsx"/></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_____Microsoft_Excel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_____Microsoft_Excel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_____Microsoft_Excel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_rels/chart8.xml.rels><?xml version="1.0" encoding="UTF-8" standalone="yes"?>
<Relationships xmlns="http://schemas.openxmlformats.org/package/2006/relationships"><Relationship Id="rId3" Type="http://schemas.openxmlformats.org/officeDocument/2006/relationships/package" Target="../embeddings/_____Microsoft_Excel7.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uk-UA" sz="1200" b="1">
                <a:solidFill>
                  <a:schemeClr val="bg1"/>
                </a:solidFill>
                <a:latin typeface="Times New Roman" panose="02020603050405020304" pitchFamily="18" charset="0"/>
                <a:cs typeface="Times New Roman" panose="02020603050405020304" pitchFamily="18" charset="0"/>
              </a:rPr>
              <a:t>Загальні показники здійснення правосуддя у порівнянні</a:t>
            </a:r>
            <a:r>
              <a:rPr lang="uk-UA" sz="1200" b="1" baseline="0">
                <a:solidFill>
                  <a:schemeClr val="bg1"/>
                </a:solidFill>
                <a:latin typeface="Times New Roman" panose="02020603050405020304" pitchFamily="18" charset="0"/>
                <a:cs typeface="Times New Roman" panose="02020603050405020304" pitchFamily="18" charset="0"/>
              </a:rPr>
              <a:t> 2023-2025 років</a:t>
            </a:r>
            <a:endParaRPr lang="uk-UA" sz="1200" b="1">
              <a:solidFill>
                <a:schemeClr val="bg1"/>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Лист1!$B$1</c:f>
              <c:strCache>
                <c:ptCount val="1"/>
                <c:pt idx="0">
                  <c:v>2023</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Лист1!$A$2:$A$5</c:f>
              <c:strCache>
                <c:ptCount val="4"/>
                <c:pt idx="0">
                  <c:v>перебувало в провадженні</c:v>
                </c:pt>
                <c:pt idx="1">
                  <c:v>надійшло</c:v>
                </c:pt>
                <c:pt idx="2">
                  <c:v>розглянуто</c:v>
                </c:pt>
                <c:pt idx="3">
                  <c:v>залишок нерозглянутих</c:v>
                </c:pt>
              </c:strCache>
            </c:strRef>
          </c:cat>
          <c:val>
            <c:numRef>
              <c:f>Лист1!$B$2:$B$5</c:f>
              <c:numCache>
                <c:formatCode>#,##0</c:formatCode>
                <c:ptCount val="4"/>
                <c:pt idx="0">
                  <c:v>26230</c:v>
                </c:pt>
                <c:pt idx="1">
                  <c:v>20924</c:v>
                </c:pt>
                <c:pt idx="2">
                  <c:v>20659</c:v>
                </c:pt>
                <c:pt idx="3" formatCode="General">
                  <c:v>5571</c:v>
                </c:pt>
              </c:numCache>
            </c:numRef>
          </c:val>
          <c:extLst>
            <c:ext xmlns:c16="http://schemas.microsoft.com/office/drawing/2014/chart" uri="{C3380CC4-5D6E-409C-BE32-E72D297353CC}">
              <c16:uniqueId val="{00000000-4133-4F3E-838B-2C366E2CA5FF}"/>
            </c:ext>
          </c:extLst>
        </c:ser>
        <c:ser>
          <c:idx val="1"/>
          <c:order val="1"/>
          <c:tx>
            <c:strRef>
              <c:f>Лист1!$C$1</c:f>
              <c:strCache>
                <c:ptCount val="1"/>
                <c:pt idx="0">
                  <c:v>2024</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Лист1!$A$2:$A$5</c:f>
              <c:strCache>
                <c:ptCount val="4"/>
                <c:pt idx="0">
                  <c:v>перебувало в провадженні</c:v>
                </c:pt>
                <c:pt idx="1">
                  <c:v>надійшло</c:v>
                </c:pt>
                <c:pt idx="2">
                  <c:v>розглянуто</c:v>
                </c:pt>
                <c:pt idx="3">
                  <c:v>залишок нерозглянутих</c:v>
                </c:pt>
              </c:strCache>
            </c:strRef>
          </c:cat>
          <c:val>
            <c:numRef>
              <c:f>Лист1!$C$2:$C$5</c:f>
              <c:numCache>
                <c:formatCode>#,##0</c:formatCode>
                <c:ptCount val="4"/>
                <c:pt idx="0">
                  <c:v>33334</c:v>
                </c:pt>
                <c:pt idx="1">
                  <c:v>27764</c:v>
                </c:pt>
                <c:pt idx="2">
                  <c:v>25831</c:v>
                </c:pt>
                <c:pt idx="3" formatCode="General">
                  <c:v>7503</c:v>
                </c:pt>
              </c:numCache>
            </c:numRef>
          </c:val>
          <c:extLst>
            <c:ext xmlns:c16="http://schemas.microsoft.com/office/drawing/2014/chart" uri="{C3380CC4-5D6E-409C-BE32-E72D297353CC}">
              <c16:uniqueId val="{00000001-4133-4F3E-838B-2C366E2CA5FF}"/>
            </c:ext>
          </c:extLst>
        </c:ser>
        <c:ser>
          <c:idx val="2"/>
          <c:order val="2"/>
          <c:tx>
            <c:strRef>
              <c:f>Лист1!$D$1</c:f>
              <c:strCache>
                <c:ptCount val="1"/>
                <c:pt idx="0">
                  <c:v>2025</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Лист1!$A$2:$A$5</c:f>
              <c:strCache>
                <c:ptCount val="4"/>
                <c:pt idx="0">
                  <c:v>перебувало в провадженні</c:v>
                </c:pt>
                <c:pt idx="1">
                  <c:v>надійшло</c:v>
                </c:pt>
                <c:pt idx="2">
                  <c:v>розглянуто</c:v>
                </c:pt>
                <c:pt idx="3">
                  <c:v>залишок нерозглянутих</c:v>
                </c:pt>
              </c:strCache>
            </c:strRef>
          </c:cat>
          <c:val>
            <c:numRef>
              <c:f>Лист1!$D$2:$D$5</c:f>
              <c:numCache>
                <c:formatCode>#,##0</c:formatCode>
                <c:ptCount val="4"/>
                <c:pt idx="0">
                  <c:v>43982</c:v>
                </c:pt>
                <c:pt idx="1">
                  <c:v>36495</c:v>
                </c:pt>
                <c:pt idx="2">
                  <c:v>30572</c:v>
                </c:pt>
                <c:pt idx="3">
                  <c:v>13410</c:v>
                </c:pt>
              </c:numCache>
            </c:numRef>
          </c:val>
          <c:extLst>
            <c:ext xmlns:c16="http://schemas.microsoft.com/office/drawing/2014/chart" uri="{C3380CC4-5D6E-409C-BE32-E72D297353CC}">
              <c16:uniqueId val="{00000002-4133-4F3E-838B-2C366E2CA5FF}"/>
            </c:ext>
          </c:extLst>
        </c:ser>
        <c:dLbls>
          <c:showLegendKey val="0"/>
          <c:showVal val="0"/>
          <c:showCatName val="0"/>
          <c:showSerName val="0"/>
          <c:showPercent val="0"/>
          <c:showBubbleSize val="0"/>
        </c:dLbls>
        <c:gapWidth val="150"/>
        <c:shape val="box"/>
        <c:axId val="414711920"/>
        <c:axId val="414712248"/>
        <c:axId val="414954368"/>
      </c:bar3DChart>
      <c:catAx>
        <c:axId val="41471192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crossAx val="414712248"/>
        <c:crosses val="autoZero"/>
        <c:auto val="1"/>
        <c:lblAlgn val="ctr"/>
        <c:lblOffset val="100"/>
        <c:noMultiLvlLbl val="0"/>
      </c:catAx>
      <c:valAx>
        <c:axId val="414712248"/>
        <c:scaling>
          <c:orientation val="minMax"/>
        </c:scaling>
        <c:delete val="1"/>
        <c:axPos val="l"/>
        <c:majorGridlines>
          <c:spPr>
            <a:ln w="9525" cap="flat" cmpd="sng" algn="ctr">
              <a:solidFill>
                <a:schemeClr val="dk1">
                  <a:lumMod val="50000"/>
                  <a:lumOff val="50000"/>
                </a:schemeClr>
              </a:solidFill>
              <a:round/>
            </a:ln>
            <a:effectLst/>
          </c:spPr>
        </c:majorGridlines>
        <c:numFmt formatCode="#,##0" sourceLinked="1"/>
        <c:majorTickMark val="none"/>
        <c:minorTickMark val="none"/>
        <c:tickLblPos val="nextTo"/>
        <c:crossAx val="414711920"/>
        <c:crosses val="autoZero"/>
        <c:crossBetween val="between"/>
      </c:valAx>
      <c:serAx>
        <c:axId val="414954368"/>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crossAx val="414712248"/>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2981464315666879"/>
          <c:y val="9.3768367996790405E-2"/>
          <c:w val="0.4733094463777629"/>
          <c:h val="0.78770341458129889"/>
        </c:manualLayout>
      </c:layout>
      <c:doughnutChart>
        <c:varyColors val="1"/>
        <c:ser>
          <c:idx val="0"/>
          <c:order val="0"/>
          <c:tx>
            <c:strRef>
              <c:f>Лист1!$B$1</c:f>
              <c:strCache>
                <c:ptCount val="1"/>
                <c:pt idx="0">
                  <c:v>Продажи</c:v>
                </c:pt>
              </c:strCache>
            </c:strRef>
          </c:tx>
          <c:dPt>
            <c:idx val="0"/>
            <c:bubble3D val="0"/>
            <c:explosion val="4"/>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2BF7-4003-A6CF-C5999DB9D960}"/>
              </c:ext>
            </c:extLst>
          </c:dPt>
          <c:dPt>
            <c:idx val="1"/>
            <c:bubble3D val="0"/>
            <c:explosion val="12"/>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2BF7-4003-A6CF-C5999DB9D960}"/>
              </c:ext>
            </c:extLst>
          </c:dPt>
          <c:dLbls>
            <c:dLbl>
              <c:idx val="0"/>
              <c:tx>
                <c:rich>
                  <a:bodyPr/>
                  <a:lstStyle/>
                  <a:p>
                    <a:r>
                      <a:rPr lang="en-US" baseline="0"/>
                      <a:t> 69,5%</a:t>
                    </a:r>
                  </a:p>
                </c:rich>
              </c:tx>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2BF7-4003-A6CF-C5999DB9D960}"/>
                </c:ext>
              </c:extLst>
            </c:dLbl>
            <c:dLbl>
              <c:idx val="1"/>
              <c:tx>
                <c:rich>
                  <a:bodyPr/>
                  <a:lstStyle/>
                  <a:p>
                    <a:r>
                      <a:rPr lang="en-US" baseline="0"/>
                      <a:t>30,5%</a:t>
                    </a:r>
                    <a:endParaRPr lang="en-US"/>
                  </a:p>
                </c:rich>
              </c:tx>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2BF7-4003-A6CF-C5999DB9D960}"/>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Лист1!$A$2:$A$3</c:f>
              <c:strCache>
                <c:ptCount val="2"/>
                <c:pt idx="0">
                  <c:v>розглянуто</c:v>
                </c:pt>
                <c:pt idx="1">
                  <c:v>залишок нерозглянутих</c:v>
                </c:pt>
              </c:strCache>
            </c:strRef>
          </c:cat>
          <c:val>
            <c:numRef>
              <c:f>Лист1!$B$2:$B$3</c:f>
              <c:numCache>
                <c:formatCode>0%</c:formatCode>
                <c:ptCount val="2"/>
                <c:pt idx="0">
                  <c:v>0.78</c:v>
                </c:pt>
                <c:pt idx="1">
                  <c:v>0.22</c:v>
                </c:pt>
              </c:numCache>
            </c:numRef>
          </c:val>
          <c:extLst>
            <c:ext xmlns:c16="http://schemas.microsoft.com/office/drawing/2014/chart" uri="{C3380CC4-5D6E-409C-BE32-E72D297353CC}">
              <c16:uniqueId val="{00000004-2BF7-4003-A6CF-C5999DB9D960}"/>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legendEntry>
        <c:idx val="0"/>
        <c:txPr>
          <a:bodyPr rot="0" spcFirstLastPara="1" vertOverflow="ellipsis" vert="horz" wrap="square" anchor="ctr" anchorCtr="1"/>
          <a:lstStyle/>
          <a:p>
            <a:pPr>
              <a:defRPr sz="10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Entry>
      <c:legendEntry>
        <c:idx val="1"/>
        <c:txPr>
          <a:bodyPr rot="0" spcFirstLastPara="1" vertOverflow="ellipsis" vert="horz" wrap="square" anchor="ctr" anchorCtr="1"/>
          <a:lstStyle/>
          <a:p>
            <a:pPr>
              <a:defRPr sz="10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Entry>
      <c:layout>
        <c:manualLayout>
          <c:xMode val="edge"/>
          <c:yMode val="edge"/>
          <c:x val="0.31298720260226198"/>
          <c:y val="0.84780520082048583"/>
          <c:w val="0.25281906061871634"/>
          <c:h val="0.12671651337700435"/>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0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ofPieChart>
        <c:ofPieType val="pie"/>
        <c:varyColors val="1"/>
        <c:ser>
          <c:idx val="0"/>
          <c:order val="0"/>
          <c:tx>
            <c:strRef>
              <c:f>Лист1!$B$1</c:f>
              <c:strCache>
                <c:ptCount val="1"/>
                <c:pt idx="0">
                  <c:v>Продажи</c:v>
                </c:pt>
              </c:strCache>
            </c:strRef>
          </c:tx>
          <c:dPt>
            <c:idx val="0"/>
            <c:bubble3D val="0"/>
            <c:explosion val="3"/>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5A84-4490-8B5C-E719B8A66B00}"/>
              </c:ext>
            </c:extLst>
          </c:dPt>
          <c:dPt>
            <c:idx val="1"/>
            <c:bubble3D val="0"/>
            <c:explosion val="3"/>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5A84-4490-8B5C-E719B8A66B00}"/>
              </c:ext>
            </c:extLst>
          </c:dPt>
          <c:dPt>
            <c:idx val="2"/>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5A84-4490-8B5C-E719B8A66B00}"/>
              </c:ext>
            </c:extLst>
          </c:dPt>
          <c:dPt>
            <c:idx val="3"/>
            <c:bubble3D val="0"/>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5A84-4490-8B5C-E719B8A66B00}"/>
              </c:ext>
            </c:extLst>
          </c:dPt>
          <c:dPt>
            <c:idx val="4"/>
            <c:bubble3D val="0"/>
            <c:explosion val="4"/>
            <c:spPr>
              <a:gradFill rotWithShape="1">
                <a:gsLst>
                  <a:gs pos="0">
                    <a:schemeClr val="accent5">
                      <a:lumMod val="60000"/>
                      <a:satMod val="103000"/>
                      <a:lumMod val="102000"/>
                      <a:tint val="94000"/>
                    </a:schemeClr>
                  </a:gs>
                  <a:gs pos="50000">
                    <a:schemeClr val="accent5">
                      <a:lumMod val="60000"/>
                      <a:satMod val="110000"/>
                      <a:lumMod val="100000"/>
                      <a:shade val="100000"/>
                    </a:schemeClr>
                  </a:gs>
                  <a:gs pos="100000">
                    <a:schemeClr val="accent5">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9-5A84-4490-8B5C-E719B8A66B00}"/>
              </c:ext>
            </c:extLst>
          </c:dPt>
          <c:dPt>
            <c:idx val="5"/>
            <c:bubble3D val="0"/>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B-5A84-4490-8B5C-E719B8A66B00}"/>
              </c:ext>
            </c:extLst>
          </c:dPt>
          <c:dLbls>
            <c:dLbl>
              <c:idx val="5"/>
              <c:delete val="1"/>
              <c:extLst>
                <c:ext xmlns:c15="http://schemas.microsoft.com/office/drawing/2012/chart" uri="{CE6537A1-D6FC-4f65-9D91-7224C49458BB}"/>
                <c:ext xmlns:c16="http://schemas.microsoft.com/office/drawing/2014/chart" uri="{C3380CC4-5D6E-409C-BE32-E72D297353CC}">
                  <c16:uniqueId val="{0000000B-5A84-4490-8B5C-E719B8A66B00}"/>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Лист1!$A$2:$A$6</c:f>
              <c:strCache>
                <c:ptCount val="5"/>
                <c:pt idx="0">
                  <c:v>до 3 місяців</c:v>
                </c:pt>
                <c:pt idx="1">
                  <c:v>понад 3 міс. до 1 року </c:v>
                </c:pt>
                <c:pt idx="2">
                  <c:v>понад 1 рік до 2-х років</c:v>
                </c:pt>
                <c:pt idx="3">
                  <c:v>понад 2-х років до 3-х років</c:v>
                </c:pt>
                <c:pt idx="4">
                  <c:v>понад 3 роки</c:v>
                </c:pt>
              </c:strCache>
            </c:strRef>
          </c:cat>
          <c:val>
            <c:numRef>
              <c:f>Лист1!$B$2:$B$6</c:f>
              <c:numCache>
                <c:formatCode>0.00%</c:formatCode>
                <c:ptCount val="5"/>
                <c:pt idx="0">
                  <c:v>0.50900000000000001</c:v>
                </c:pt>
                <c:pt idx="1">
                  <c:v>0.47499999999999998</c:v>
                </c:pt>
                <c:pt idx="2">
                  <c:v>1.4E-2</c:v>
                </c:pt>
                <c:pt idx="3">
                  <c:v>5.9999999999999995E-4</c:v>
                </c:pt>
                <c:pt idx="4">
                  <c:v>1.4E-3</c:v>
                </c:pt>
              </c:numCache>
            </c:numRef>
          </c:val>
          <c:extLst>
            <c:ext xmlns:c16="http://schemas.microsoft.com/office/drawing/2014/chart" uri="{C3380CC4-5D6E-409C-BE32-E72D297353CC}">
              <c16:uniqueId val="{0000000C-5A84-4490-8B5C-E719B8A66B00}"/>
            </c:ext>
          </c:extLst>
        </c:ser>
        <c:dLbls>
          <c:showLegendKey val="0"/>
          <c:showVal val="0"/>
          <c:showCatName val="0"/>
          <c:showSerName val="0"/>
          <c:showPercent val="0"/>
          <c:showBubbleSize val="0"/>
          <c:showLeaderLines val="1"/>
        </c:dLbls>
        <c:gapWidth val="100"/>
        <c:secondPieSize val="75"/>
        <c:serLines>
          <c:spPr>
            <a:ln w="9525" cap="flat" cmpd="sng" algn="ctr">
              <a:solidFill>
                <a:schemeClr val="tx1">
                  <a:lumMod val="35000"/>
                  <a:lumOff val="65000"/>
                </a:schemeClr>
              </a:solidFill>
              <a:round/>
            </a:ln>
            <a:effectLst/>
          </c:spPr>
        </c:serLines>
      </c:ofPieChart>
      <c:spPr>
        <a:noFill/>
        <a:ln>
          <a:noFill/>
        </a:ln>
        <a:effectLst/>
      </c:spPr>
    </c:plotArea>
    <c:legend>
      <c:legendPos val="b"/>
      <c:layout>
        <c:manualLayout>
          <c:xMode val="edge"/>
          <c:yMode val="edge"/>
          <c:x val="0.35331196762264383"/>
          <c:y val="0.76186020806144228"/>
          <c:w val="0.32996651085854906"/>
          <c:h val="0.21525213220176584"/>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2025</c:v>
                </c:pt>
              </c:strCache>
            </c:strRef>
          </c:tx>
          <c:spPr>
            <a:solidFill>
              <a:schemeClr val="accent1">
                <a:alpha val="85000"/>
              </a:schemeClr>
            </a:solidFill>
            <a:ln w="9525" cap="flat" cmpd="sng" algn="ctr">
              <a:solidFill>
                <a:schemeClr val="lt1">
                  <a:alpha val="50000"/>
                </a:schemeClr>
              </a:solidFill>
              <a:round/>
            </a:ln>
            <a:effectLst>
              <a:innerShdw blurRad="63500" dist="50800" dir="8100000">
                <a:prstClr val="black">
                  <a:alpha val="50000"/>
                </a:prstClr>
              </a:innerShdw>
            </a:effectLst>
          </c:spPr>
          <c:invertIfNegative val="0"/>
          <c:dLbls>
            <c:spPr>
              <a:noFill/>
              <a:ln>
                <a:noFill/>
              </a:ln>
              <a:effectLst>
                <a:outerShdw blurRad="50800" dist="50800" dir="5400000" algn="ctr" rotWithShape="0">
                  <a:schemeClr val="accent1">
                    <a:lumMod val="50000"/>
                  </a:scheme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Лист1!$A$2:$A$3</c:f>
              <c:strCache>
                <c:ptCount val="2"/>
                <c:pt idx="0">
                  <c:v>понад 6 місяців до 1 року</c:v>
                </c:pt>
                <c:pt idx="1">
                  <c:v>поад 1 рік до 2 років</c:v>
                </c:pt>
              </c:strCache>
            </c:strRef>
          </c:cat>
          <c:val>
            <c:numRef>
              <c:f>Лист1!$B$2:$B$3</c:f>
              <c:numCache>
                <c:formatCode>General</c:formatCode>
                <c:ptCount val="2"/>
                <c:pt idx="0">
                  <c:v>1657</c:v>
                </c:pt>
                <c:pt idx="1">
                  <c:v>318</c:v>
                </c:pt>
              </c:numCache>
            </c:numRef>
          </c:val>
          <c:extLst>
            <c:ext xmlns:c16="http://schemas.microsoft.com/office/drawing/2014/chart" uri="{C3380CC4-5D6E-409C-BE32-E72D297353CC}">
              <c16:uniqueId val="{00000000-EADD-47F5-957F-F5185A610277}"/>
            </c:ext>
          </c:extLst>
        </c:ser>
        <c:ser>
          <c:idx val="1"/>
          <c:order val="1"/>
          <c:tx>
            <c:strRef>
              <c:f>Лист1!$C$1</c:f>
              <c:strCache>
                <c:ptCount val="1"/>
                <c:pt idx="0">
                  <c:v>2024</c:v>
                </c:pt>
              </c:strCache>
            </c:strRef>
          </c:tx>
          <c:spPr>
            <a:solidFill>
              <a:schemeClr val="accent2">
                <a:alpha val="85000"/>
              </a:schemeClr>
            </a:solidFill>
            <a:ln w="9525" cap="flat" cmpd="sng" algn="ctr">
              <a:solidFill>
                <a:schemeClr val="lt1">
                  <a:alpha val="50000"/>
                </a:schemeClr>
              </a:solidFill>
              <a:round/>
            </a:ln>
            <a:effectLst>
              <a:innerShdw blurRad="63500" dist="50800" dir="13500000">
                <a:srgbClr val="FFFF00">
                  <a:alpha val="50000"/>
                </a:srgbClr>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1"/>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Лист1!$A$2:$A$3</c:f>
              <c:strCache>
                <c:ptCount val="2"/>
                <c:pt idx="0">
                  <c:v>понад 6 місяців до 1 року</c:v>
                </c:pt>
                <c:pt idx="1">
                  <c:v>поад 1 рік до 2 років</c:v>
                </c:pt>
              </c:strCache>
            </c:strRef>
          </c:cat>
          <c:val>
            <c:numRef>
              <c:f>Лист1!$C$2:$C$3</c:f>
              <c:numCache>
                <c:formatCode>General</c:formatCode>
                <c:ptCount val="2"/>
                <c:pt idx="0">
                  <c:v>491</c:v>
                </c:pt>
                <c:pt idx="1">
                  <c:v>96</c:v>
                </c:pt>
              </c:numCache>
            </c:numRef>
          </c:val>
          <c:extLst>
            <c:ext xmlns:c16="http://schemas.microsoft.com/office/drawing/2014/chart" uri="{C3380CC4-5D6E-409C-BE32-E72D297353CC}">
              <c16:uniqueId val="{00000001-EADD-47F5-957F-F5185A610277}"/>
            </c:ext>
          </c:extLst>
        </c:ser>
        <c:ser>
          <c:idx val="2"/>
          <c:order val="2"/>
          <c:tx>
            <c:strRef>
              <c:f>Лист1!$D$1</c:f>
              <c:strCache>
                <c:ptCount val="1"/>
                <c:pt idx="0">
                  <c:v>2023</c:v>
                </c:pt>
              </c:strCache>
            </c:strRef>
          </c:tx>
          <c:spPr>
            <a:solidFill>
              <a:schemeClr val="accent3">
                <a:alpha val="85000"/>
              </a:schemeClr>
            </a:solidFill>
            <a:ln w="9525" cap="flat" cmpd="sng" algn="ctr">
              <a:solidFill>
                <a:schemeClr val="lt1">
                  <a:alpha val="50000"/>
                </a:schemeClr>
              </a:solidFill>
              <a:round/>
            </a:ln>
            <a:effectLst>
              <a:innerShdw blurRad="63500" dist="50800" dir="8100000">
                <a:prstClr val="black">
                  <a:alpha val="50000"/>
                </a:prstClr>
              </a:innerShdw>
            </a:effectLst>
          </c:spPr>
          <c:invertIfNegative val="0"/>
          <c:dLbls>
            <c:spPr>
              <a:noFill/>
              <a:ln>
                <a:noFill/>
              </a:ln>
              <a:effectLst>
                <a:innerShdw blurRad="63500" dist="50800" dir="8100000">
                  <a:prstClr val="black">
                    <a:alpha val="50000"/>
                  </a:prstClr>
                </a:innerShdw>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Лист1!$A$2:$A$3</c:f>
              <c:strCache>
                <c:ptCount val="2"/>
                <c:pt idx="0">
                  <c:v>понад 6 місяців до 1 року</c:v>
                </c:pt>
                <c:pt idx="1">
                  <c:v>поад 1 рік до 2 років</c:v>
                </c:pt>
              </c:strCache>
            </c:strRef>
          </c:cat>
          <c:val>
            <c:numRef>
              <c:f>Лист1!$D$2:$D$3</c:f>
              <c:numCache>
                <c:formatCode>General</c:formatCode>
                <c:ptCount val="2"/>
                <c:pt idx="0">
                  <c:v>200</c:v>
                </c:pt>
                <c:pt idx="1">
                  <c:v>116</c:v>
                </c:pt>
              </c:numCache>
            </c:numRef>
          </c:val>
          <c:extLst>
            <c:ext xmlns:c16="http://schemas.microsoft.com/office/drawing/2014/chart" uri="{C3380CC4-5D6E-409C-BE32-E72D297353CC}">
              <c16:uniqueId val="{00000002-EADD-47F5-957F-F5185A610277}"/>
            </c:ext>
          </c:extLst>
        </c:ser>
        <c:dLbls>
          <c:dLblPos val="inEnd"/>
          <c:showLegendKey val="0"/>
          <c:showVal val="1"/>
          <c:showCatName val="0"/>
          <c:showSerName val="0"/>
          <c:showPercent val="0"/>
          <c:showBubbleSize val="0"/>
        </c:dLbls>
        <c:gapWidth val="65"/>
        <c:axId val="522818592"/>
        <c:axId val="522816624"/>
      </c:barChart>
      <c:catAx>
        <c:axId val="52281859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000" b="1"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22816624"/>
        <c:crosses val="autoZero"/>
        <c:auto val="1"/>
        <c:lblAlgn val="ctr"/>
        <c:lblOffset val="100"/>
        <c:noMultiLvlLbl val="0"/>
      </c:catAx>
      <c:valAx>
        <c:axId val="522816624"/>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522818592"/>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percentStacked"/>
        <c:varyColors val="0"/>
        <c:ser>
          <c:idx val="0"/>
          <c:order val="0"/>
          <c:tx>
            <c:strRef>
              <c:f>Лист1!$B$1</c:f>
              <c:strCache>
                <c:ptCount val="1"/>
                <c:pt idx="0">
                  <c:v>2024</c:v>
                </c:pt>
              </c:strCache>
            </c:strRef>
          </c:tx>
          <c:spPr>
            <a:gradFill rotWithShape="1">
              <a:gsLst>
                <a:gs pos="0">
                  <a:schemeClr val="accent1">
                    <a:shade val="15000"/>
                    <a:satMod val="180000"/>
                  </a:schemeClr>
                </a:gs>
                <a:gs pos="50000">
                  <a:schemeClr val="accent1">
                    <a:shade val="45000"/>
                    <a:satMod val="170000"/>
                  </a:schemeClr>
                </a:gs>
                <a:gs pos="70000">
                  <a:schemeClr val="accent1">
                    <a:tint val="99000"/>
                    <a:shade val="65000"/>
                    <a:satMod val="155000"/>
                  </a:schemeClr>
                </a:gs>
                <a:gs pos="100000">
                  <a:schemeClr val="accent1">
                    <a:tint val="95500"/>
                    <a:shade val="100000"/>
                    <a:satMod val="155000"/>
                  </a:schemeClr>
                </a:gs>
              </a:gsLst>
              <a:lin ang="16200000" scaled="0"/>
            </a:gradFill>
            <a:ln>
              <a:noFill/>
            </a:ln>
            <a:effectLst>
              <a:outerShdw blurRad="50800" dist="38100" dir="5400000" rotWithShape="0">
                <a:srgbClr val="000000">
                  <a:alpha val="35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Лист1!$A$2:$A$4</c:f>
              <c:strCache>
                <c:ptCount val="3"/>
                <c:pt idx="0">
                  <c:v>ухвал суду залишено без змін</c:v>
                </c:pt>
                <c:pt idx="1">
                  <c:v>ухвал суду змінено</c:v>
                </c:pt>
                <c:pt idx="2">
                  <c:v>ухвал суду скасовано</c:v>
                </c:pt>
              </c:strCache>
            </c:strRef>
          </c:cat>
          <c:val>
            <c:numRef>
              <c:f>Лист1!$B$2:$B$4</c:f>
              <c:numCache>
                <c:formatCode>0.00%</c:formatCode>
                <c:ptCount val="3"/>
                <c:pt idx="0">
                  <c:v>0.57499999999999996</c:v>
                </c:pt>
                <c:pt idx="1">
                  <c:v>1.4999999999999999E-2</c:v>
                </c:pt>
                <c:pt idx="2">
                  <c:v>0.41</c:v>
                </c:pt>
              </c:numCache>
            </c:numRef>
          </c:val>
          <c:extLst>
            <c:ext xmlns:c16="http://schemas.microsoft.com/office/drawing/2014/chart" uri="{C3380CC4-5D6E-409C-BE32-E72D297353CC}">
              <c16:uniqueId val="{00000000-0087-458B-BE4A-B7421D5019F9}"/>
            </c:ext>
          </c:extLst>
        </c:ser>
        <c:ser>
          <c:idx val="1"/>
          <c:order val="1"/>
          <c:tx>
            <c:strRef>
              <c:f>Лист1!$C$1</c:f>
              <c:strCache>
                <c:ptCount val="1"/>
                <c:pt idx="0">
                  <c:v>2025</c:v>
                </c:pt>
              </c:strCache>
            </c:strRef>
          </c:tx>
          <c:spPr>
            <a:gradFill rotWithShape="1">
              <a:gsLst>
                <a:gs pos="0">
                  <a:schemeClr val="accent2">
                    <a:shade val="15000"/>
                    <a:satMod val="180000"/>
                  </a:schemeClr>
                </a:gs>
                <a:gs pos="50000">
                  <a:schemeClr val="accent2">
                    <a:shade val="45000"/>
                    <a:satMod val="170000"/>
                  </a:schemeClr>
                </a:gs>
                <a:gs pos="70000">
                  <a:schemeClr val="accent2">
                    <a:tint val="99000"/>
                    <a:shade val="65000"/>
                    <a:satMod val="155000"/>
                  </a:schemeClr>
                </a:gs>
                <a:gs pos="100000">
                  <a:schemeClr val="accent2">
                    <a:tint val="95500"/>
                    <a:shade val="100000"/>
                    <a:satMod val="155000"/>
                  </a:schemeClr>
                </a:gs>
              </a:gsLst>
              <a:lin ang="16200000" scaled="0"/>
            </a:gradFill>
            <a:ln>
              <a:noFill/>
            </a:ln>
            <a:effectLst>
              <a:outerShdw blurRad="50800" dist="38100" dir="5400000" rotWithShape="0">
                <a:srgbClr val="000000">
                  <a:alpha val="35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Лист1!$A$2:$A$4</c:f>
              <c:strCache>
                <c:ptCount val="3"/>
                <c:pt idx="0">
                  <c:v>ухвал суду залишено без змін</c:v>
                </c:pt>
                <c:pt idx="1">
                  <c:v>ухвал суду змінено</c:v>
                </c:pt>
                <c:pt idx="2">
                  <c:v>ухвал суду скасовано</c:v>
                </c:pt>
              </c:strCache>
            </c:strRef>
          </c:cat>
          <c:val>
            <c:numRef>
              <c:f>Лист1!$C$2:$C$4</c:f>
              <c:numCache>
                <c:formatCode>0.00%</c:formatCode>
                <c:ptCount val="3"/>
                <c:pt idx="0">
                  <c:v>0.64</c:v>
                </c:pt>
                <c:pt idx="1">
                  <c:v>0.01</c:v>
                </c:pt>
                <c:pt idx="2">
                  <c:v>0.35</c:v>
                </c:pt>
              </c:numCache>
            </c:numRef>
          </c:val>
          <c:extLst>
            <c:ext xmlns:c16="http://schemas.microsoft.com/office/drawing/2014/chart" uri="{C3380CC4-5D6E-409C-BE32-E72D297353CC}">
              <c16:uniqueId val="{00000001-0087-458B-BE4A-B7421D5019F9}"/>
            </c:ext>
          </c:extLst>
        </c:ser>
        <c:dLbls>
          <c:showLegendKey val="0"/>
          <c:showVal val="0"/>
          <c:showCatName val="0"/>
          <c:showSerName val="0"/>
          <c:showPercent val="0"/>
          <c:showBubbleSize val="0"/>
        </c:dLbls>
        <c:gapWidth val="150"/>
        <c:shape val="box"/>
        <c:axId val="629279544"/>
        <c:axId val="629281840"/>
        <c:axId val="0"/>
      </c:bar3DChart>
      <c:catAx>
        <c:axId val="62927954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29281840"/>
        <c:crosses val="autoZero"/>
        <c:auto val="1"/>
        <c:lblAlgn val="ctr"/>
        <c:lblOffset val="100"/>
        <c:noMultiLvlLbl val="0"/>
      </c:catAx>
      <c:valAx>
        <c:axId val="629281840"/>
        <c:scaling>
          <c:orientation val="minMax"/>
        </c:scaling>
        <c:delete val="1"/>
        <c:axPos val="l"/>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crossAx val="6292795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r>
              <a:rPr lang="uk-UA" sz="1200" b="1">
                <a:solidFill>
                  <a:sysClr val="windowText" lastClr="000000"/>
                </a:solidFill>
                <a:latin typeface="Times New Roman" panose="02020603050405020304" pitchFamily="18" charset="0"/>
                <a:cs typeface="Times New Roman" panose="02020603050405020304" pitchFamily="18" charset="0"/>
              </a:rPr>
              <a:t>За наслідками скасування ухвал в апеляційному порядку 700 одиниць, або 35% від загальної кількості таких ухвал:</a:t>
            </a:r>
          </a:p>
        </c:rich>
      </c:tx>
      <c:overlay val="0"/>
      <c:spPr>
        <a:noFill/>
        <a:ln>
          <a:noFill/>
        </a:ln>
        <a:effectLst/>
      </c:spPr>
    </c:title>
    <c:autoTitleDeleted val="0"/>
    <c:view3D>
      <c:rotX val="50"/>
      <c:rotY val="62"/>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За наслідками скасування ухвал в апеляційному порядку 700 одиниць, або 35% від загальної кількості таких ухвал:</c:v>
                </c:pt>
              </c:strCache>
            </c:strRef>
          </c:tx>
          <c:spPr>
            <a:ln>
              <a:solidFill>
                <a:schemeClr val="tx1"/>
              </a:solidFill>
            </a:ln>
          </c:spPr>
          <c:explosion val="5"/>
          <c:dPt>
            <c:idx val="0"/>
            <c:bubble3D val="0"/>
            <c:spPr>
              <a:solidFill>
                <a:schemeClr val="accent1"/>
              </a:solidFill>
              <a:ln>
                <a:solidFill>
                  <a:schemeClr val="tx1"/>
                </a:solidFill>
              </a:ln>
              <a:effectLst>
                <a:outerShdw blurRad="254000" sx="102000" sy="102000" algn="ctr" rotWithShape="0">
                  <a:prstClr val="black">
                    <a:alpha val="20000"/>
                  </a:prstClr>
                </a:outerShdw>
              </a:effectLst>
              <a:sp3d>
                <a:contourClr>
                  <a:schemeClr val="tx1"/>
                </a:contourClr>
              </a:sp3d>
            </c:spPr>
            <c:extLst>
              <c:ext xmlns:c16="http://schemas.microsoft.com/office/drawing/2014/chart" uri="{C3380CC4-5D6E-409C-BE32-E72D297353CC}">
                <c16:uniqueId val="{00000001-5908-424C-AB8E-0C7B1D7678A9}"/>
              </c:ext>
            </c:extLst>
          </c:dPt>
          <c:dPt>
            <c:idx val="1"/>
            <c:bubble3D val="0"/>
            <c:spPr>
              <a:solidFill>
                <a:schemeClr val="accent2"/>
              </a:solidFill>
              <a:ln>
                <a:solidFill>
                  <a:schemeClr val="tx1"/>
                </a:solidFill>
              </a:ln>
              <a:effectLst>
                <a:outerShdw blurRad="254000" sx="102000" sy="102000" algn="ctr" rotWithShape="0">
                  <a:prstClr val="black">
                    <a:alpha val="20000"/>
                  </a:prstClr>
                </a:outerShdw>
              </a:effectLst>
              <a:sp3d>
                <a:contourClr>
                  <a:schemeClr val="tx1"/>
                </a:contourClr>
              </a:sp3d>
            </c:spPr>
            <c:extLst>
              <c:ext xmlns:c16="http://schemas.microsoft.com/office/drawing/2014/chart" uri="{C3380CC4-5D6E-409C-BE32-E72D297353CC}">
                <c16:uniqueId val="{00000002-5908-424C-AB8E-0C7B1D7678A9}"/>
              </c:ext>
            </c:extLst>
          </c:dPt>
          <c:dLbls>
            <c:dLbl>
              <c:idx val="0"/>
              <c:tx>
                <c:rich>
                  <a:bodyPr rot="0" spcFirstLastPara="1" vertOverflow="ellipsis" vert="horz" wrap="square" lIns="38100" tIns="19050" rIns="38100" bIns="19050" anchor="ctr" anchorCtr="1">
                    <a:noAutofit/>
                  </a:bodyPr>
                  <a:lstStyle/>
                  <a:p>
                    <a:pPr>
                      <a:defRPr sz="800" b="1" i="0" u="none" strike="noStrike" kern="1200" baseline="0">
                        <a:solidFill>
                          <a:schemeClr val="bg1"/>
                        </a:solidFill>
                        <a:latin typeface="Times New Roman" panose="02020603050405020304" pitchFamily="18" charset="0"/>
                        <a:ea typeface="+mn-ea"/>
                        <a:cs typeface="Times New Roman" panose="02020603050405020304" pitchFamily="18" charset="0"/>
                      </a:defRPr>
                    </a:pPr>
                    <a:r>
                      <a:rPr lang="en-US" sz="800">
                        <a:solidFill>
                          <a:schemeClr val="bg1"/>
                        </a:solidFill>
                        <a:latin typeface="Times New Roman" panose="02020603050405020304" pitchFamily="18" charset="0"/>
                        <a:cs typeface="Times New Roman" panose="02020603050405020304" pitchFamily="18" charset="0"/>
                      </a:rPr>
                      <a:t>524 (</a:t>
                    </a:r>
                    <a:fld id="{D6196699-D04B-4113-A628-57D599828164}" type="PERCENTAGE">
                      <a:rPr lang="en-US" sz="800">
                        <a:solidFill>
                          <a:schemeClr val="bg1"/>
                        </a:solidFill>
                        <a:latin typeface="Times New Roman" panose="02020603050405020304" pitchFamily="18" charset="0"/>
                        <a:cs typeface="Times New Roman" panose="02020603050405020304" pitchFamily="18" charset="0"/>
                      </a:rPr>
                      <a:pPr>
                        <a:defRPr sz="800" b="1" i="0" u="none" strike="noStrike" kern="1200" baseline="0">
                          <a:solidFill>
                            <a:schemeClr val="bg1"/>
                          </a:solidFill>
                          <a:latin typeface="Times New Roman" panose="02020603050405020304" pitchFamily="18" charset="0"/>
                          <a:ea typeface="+mn-ea"/>
                          <a:cs typeface="Times New Roman" panose="02020603050405020304" pitchFamily="18" charset="0"/>
                        </a:defRPr>
                      </a:pPr>
                      <a:t>[ПРОЦЕНТ]</a:t>
                    </a:fld>
                    <a:r>
                      <a:rPr lang="en-US" sz="800">
                        <a:solidFill>
                          <a:schemeClr val="bg1"/>
                        </a:solidFill>
                        <a:latin typeface="Times New Roman" panose="02020603050405020304" pitchFamily="18" charset="0"/>
                        <a:cs typeface="Times New Roman" panose="02020603050405020304" pitchFamily="18" charset="0"/>
                      </a:rPr>
                      <a:t>)</a:t>
                    </a:r>
                  </a:p>
                </c:rich>
              </c:tx>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dLblPos val="ctr"/>
              <c:showLegendKey val="0"/>
              <c:showVal val="0"/>
              <c:showCatName val="0"/>
              <c:showSerName val="0"/>
              <c:showPercent val="1"/>
              <c:showBubbleSize val="0"/>
              <c:extLst>
                <c:ext xmlns:c15="http://schemas.microsoft.com/office/drawing/2012/chart" uri="{CE6537A1-D6FC-4f65-9D91-7224C49458BB}">
                  <c15:spPr xmlns:c15="http://schemas.microsoft.com/office/drawing/2012/chart">
                    <a:prstGeom prst="rect">
                      <a:avLst/>
                    </a:prstGeom>
                  </c15:spPr>
                  <c15:dlblFieldTable/>
                  <c15:showDataLabelsRange val="0"/>
                </c:ext>
                <c:ext xmlns:c16="http://schemas.microsoft.com/office/drawing/2014/chart" uri="{C3380CC4-5D6E-409C-BE32-E72D297353CC}">
                  <c16:uniqueId val="{00000001-5908-424C-AB8E-0C7B1D7678A9}"/>
                </c:ext>
              </c:extLst>
            </c:dLbl>
            <c:dLbl>
              <c:idx val="1"/>
              <c:tx>
                <c:rich>
                  <a:bodyPr rot="0" spcFirstLastPara="1" vertOverflow="ellipsis" vert="horz" wrap="square" lIns="38100" tIns="19050" rIns="38100" bIns="19050" anchor="ctr" anchorCtr="1">
                    <a:noAutofit/>
                  </a:bodyPr>
                  <a:lstStyle/>
                  <a:p>
                    <a:pPr>
                      <a:defRPr sz="800" b="1" i="0" u="none" strike="noStrike" kern="1200" baseline="0">
                        <a:solidFill>
                          <a:schemeClr val="bg1"/>
                        </a:solidFill>
                        <a:latin typeface="Times New Roman" panose="02020603050405020304" pitchFamily="18" charset="0"/>
                        <a:ea typeface="+mn-ea"/>
                        <a:cs typeface="Times New Roman" panose="02020603050405020304" pitchFamily="18" charset="0"/>
                      </a:defRPr>
                    </a:pPr>
                    <a:r>
                      <a:rPr lang="en-US" sz="800">
                        <a:solidFill>
                          <a:schemeClr val="bg1"/>
                        </a:solidFill>
                        <a:latin typeface="Times New Roman" panose="02020603050405020304" pitchFamily="18" charset="0"/>
                        <a:cs typeface="Times New Roman" panose="02020603050405020304" pitchFamily="18" charset="0"/>
                      </a:rPr>
                      <a:t>176 (</a:t>
                    </a:r>
                    <a:fld id="{CED35D2D-947E-4611-8AEE-F4D8B28FE04B}" type="PERCENTAGE">
                      <a:rPr lang="en-US" sz="800">
                        <a:solidFill>
                          <a:schemeClr val="bg1"/>
                        </a:solidFill>
                        <a:latin typeface="Times New Roman" panose="02020603050405020304" pitchFamily="18" charset="0"/>
                        <a:cs typeface="Times New Roman" panose="02020603050405020304" pitchFamily="18" charset="0"/>
                      </a:rPr>
                      <a:pPr>
                        <a:defRPr sz="800" b="1" i="0" u="none" strike="noStrike" kern="1200" baseline="0">
                          <a:solidFill>
                            <a:schemeClr val="bg1"/>
                          </a:solidFill>
                          <a:latin typeface="Times New Roman" panose="02020603050405020304" pitchFamily="18" charset="0"/>
                          <a:ea typeface="+mn-ea"/>
                          <a:cs typeface="Times New Roman" panose="02020603050405020304" pitchFamily="18" charset="0"/>
                        </a:defRPr>
                      </a:pPr>
                      <a:t>[ПРОЦЕНТ]</a:t>
                    </a:fld>
                    <a:r>
                      <a:rPr lang="en-US" sz="800">
                        <a:solidFill>
                          <a:schemeClr val="bg1"/>
                        </a:solidFill>
                        <a:latin typeface="Times New Roman" panose="02020603050405020304" pitchFamily="18" charset="0"/>
                        <a:cs typeface="Times New Roman" panose="02020603050405020304" pitchFamily="18" charset="0"/>
                      </a:rPr>
                      <a:t>)</a:t>
                    </a:r>
                  </a:p>
                </c:rich>
              </c:tx>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dLblPos val="ctr"/>
              <c:showLegendKey val="0"/>
              <c:showVal val="0"/>
              <c:showCatName val="0"/>
              <c:showSerName val="0"/>
              <c:showPercent val="1"/>
              <c:showBubbleSize val="0"/>
              <c:extLst>
                <c:ext xmlns:c15="http://schemas.microsoft.com/office/drawing/2012/chart" uri="{CE6537A1-D6FC-4f65-9D91-7224C49458BB}">
                  <c15:spPr xmlns:c15="http://schemas.microsoft.com/office/drawing/2012/chart">
                    <a:prstGeom prst="rect">
                      <a:avLst/>
                    </a:prstGeom>
                  </c15:spPr>
                  <c15:dlblFieldTable/>
                  <c15:showDataLabelsRange val="0"/>
                </c:ext>
                <c:ext xmlns:c16="http://schemas.microsoft.com/office/drawing/2014/chart" uri="{C3380CC4-5D6E-409C-BE32-E72D297353CC}">
                  <c16:uniqueId val="{00000002-5908-424C-AB8E-0C7B1D7678A9}"/>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8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Лист1!$A$2:$A$3</c:f>
              <c:strCache>
                <c:ptCount val="2"/>
                <c:pt idx="0">
                  <c:v>скасовано з направленням справ для продовження розгляду (у разі скасування ухвали, яка перешкоджає подальшому провадженню у справі) </c:v>
                </c:pt>
                <c:pt idx="1">
                  <c:v>постановлену нову ухвалу</c:v>
                </c:pt>
              </c:strCache>
            </c:strRef>
          </c:cat>
          <c:val>
            <c:numRef>
              <c:f>Лист1!$B$2:$B$3</c:f>
              <c:numCache>
                <c:formatCode>General</c:formatCode>
                <c:ptCount val="2"/>
                <c:pt idx="0">
                  <c:v>524</c:v>
                </c:pt>
                <c:pt idx="1">
                  <c:v>176</c:v>
                </c:pt>
              </c:numCache>
            </c:numRef>
          </c:val>
          <c:extLst>
            <c:ext xmlns:c16="http://schemas.microsoft.com/office/drawing/2014/chart" uri="{C3380CC4-5D6E-409C-BE32-E72D297353CC}">
              <c16:uniqueId val="{00000000-5908-424C-AB8E-0C7B1D7678A9}"/>
            </c:ext>
          </c:extLst>
        </c:ser>
        <c:dLbls>
          <c:dLblPos val="ctr"/>
          <c:showLegendKey val="0"/>
          <c:showVal val="0"/>
          <c:showCatName val="1"/>
          <c:showSerName val="0"/>
          <c:showPercent val="0"/>
          <c:showBubbleSize val="0"/>
          <c:showLeaderLines val="1"/>
        </c:dLbls>
      </c:pie3DChart>
      <c:spPr>
        <a:noFill/>
        <a:ln>
          <a:noFill/>
        </a:ln>
        <a:effectLst/>
      </c:spPr>
    </c:plotArea>
    <c:legend>
      <c:legendPos val="r"/>
      <c:layout>
        <c:manualLayout>
          <c:xMode val="edge"/>
          <c:yMode val="edge"/>
          <c:x val="0.60906496062992121"/>
          <c:y val="0.36361579802524685"/>
          <c:w val="0.37704615048118983"/>
          <c:h val="0.48976164564795255"/>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uk-UA" sz="1200" b="1">
                <a:solidFill>
                  <a:sysClr val="windowText" lastClr="000000"/>
                </a:solidFill>
                <a:latin typeface="Times New Roman" panose="02020603050405020304" pitchFamily="18" charset="0"/>
                <a:cs typeface="Times New Roman" panose="02020603050405020304" pitchFamily="18" charset="0"/>
              </a:rPr>
              <a:t>Скасовані</a:t>
            </a:r>
            <a:r>
              <a:rPr lang="uk-UA" sz="1200" b="1" baseline="0">
                <a:solidFill>
                  <a:sysClr val="windowText" lastClr="000000"/>
                </a:solidFill>
                <a:latin typeface="Times New Roman" panose="02020603050405020304" pitchFamily="18" charset="0"/>
                <a:cs typeface="Times New Roman" panose="02020603050405020304" pitchFamily="18" charset="0"/>
              </a:rPr>
              <a:t> рішення (постанови) за апеляційними скаргами (в розрізі окружних адміністративних судів) </a:t>
            </a:r>
            <a:endParaRPr lang="uk-UA" sz="12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pieChart>
        <c:varyColors val="1"/>
        <c:ser>
          <c:idx val="0"/>
          <c:order val="0"/>
          <c:tx>
            <c:strRef>
              <c:f>Лист1!$B$1</c:f>
              <c:strCache>
                <c:ptCount val="1"/>
                <c:pt idx="0">
                  <c:v>Продажи</c:v>
                </c:pt>
              </c:strCache>
            </c:strRef>
          </c:tx>
          <c:dPt>
            <c:idx val="0"/>
            <c:bubble3D val="0"/>
            <c:spPr>
              <a:solidFill>
                <a:srgbClr val="00206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A0C8-4009-8D3D-FAF6421887B8}"/>
              </c:ext>
            </c:extLst>
          </c:dPt>
          <c:dPt>
            <c:idx val="1"/>
            <c:bubble3D val="0"/>
            <c:spPr>
              <a:solidFill>
                <a:schemeClr val="accent3">
                  <a:lumMod val="5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2-A0C8-4009-8D3D-FAF6421887B8}"/>
              </c:ext>
            </c:extLst>
          </c:dPt>
          <c:dPt>
            <c:idx val="2"/>
            <c:bubble3D val="0"/>
            <c:spPr>
              <a:solidFill>
                <a:schemeClr val="accent1">
                  <a:lumMod val="7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A0C8-4009-8D3D-FAF6421887B8}"/>
              </c:ext>
            </c:extLst>
          </c:dPt>
          <c:dLbls>
            <c:dLbl>
              <c:idx val="0"/>
              <c:tx>
                <c:rich>
                  <a:bodyPr rot="0" spcFirstLastPara="1" vertOverflow="ellipsis" vert="horz" wrap="square" lIns="38100" tIns="19050" rIns="38100" bIns="19050" anchor="ctr" anchorCtr="1">
                    <a:noAutofit/>
                  </a:bodyPr>
                  <a:lstStyle/>
                  <a:p>
                    <a:pPr>
                      <a:defRPr sz="1000" b="1" i="0" u="none" strike="noStrike" kern="1200" baseline="0">
                        <a:solidFill>
                          <a:schemeClr val="lt1"/>
                        </a:solidFill>
                        <a:latin typeface="Times New Roman" panose="02020603050405020304" pitchFamily="18" charset="0"/>
                        <a:ea typeface="+mn-ea"/>
                        <a:cs typeface="Times New Roman" panose="02020603050405020304" pitchFamily="18" charset="0"/>
                      </a:defRPr>
                    </a:pPr>
                    <a:r>
                      <a:rPr lang="en-US"/>
                      <a:t>59%</a:t>
                    </a:r>
                  </a:p>
                </c:rich>
              </c:tx>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dLblPos val="ctr"/>
              <c:showLegendKey val="0"/>
              <c:showVal val="0"/>
              <c:showCatName val="0"/>
              <c:showSerName val="0"/>
              <c:showPercent val="1"/>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1-A0C8-4009-8D3D-FAF6421887B8}"/>
                </c:ext>
              </c:extLst>
            </c:dLbl>
            <c:dLbl>
              <c:idx val="1"/>
              <c:tx>
                <c:rich>
                  <a:bodyPr/>
                  <a:lstStyle/>
                  <a:p>
                    <a:r>
                      <a:rPr lang="en-US"/>
                      <a:t>19%</a:t>
                    </a:r>
                  </a:p>
                </c:rich>
              </c:tx>
              <c:dLblPos val="ct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A0C8-4009-8D3D-FAF6421887B8}"/>
                </c:ext>
              </c:extLst>
            </c:dLbl>
            <c:dLbl>
              <c:idx val="2"/>
              <c:tx>
                <c:rich>
                  <a:bodyPr/>
                  <a:lstStyle/>
                  <a:p>
                    <a:r>
                      <a:rPr lang="en-US"/>
                      <a:t>11%</a:t>
                    </a:r>
                  </a:p>
                </c:rich>
              </c:tx>
              <c:dLblPos val="ct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A0C8-4009-8D3D-FAF6421887B8}"/>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Лист1!$A$2:$A$4</c:f>
              <c:strCache>
                <c:ptCount val="3"/>
                <c:pt idx="0">
                  <c:v>ДОАС</c:v>
                </c:pt>
                <c:pt idx="1">
                  <c:v>ЗОАС</c:v>
                </c:pt>
                <c:pt idx="2">
                  <c:v>КОАС</c:v>
                </c:pt>
              </c:strCache>
            </c:strRef>
          </c:cat>
          <c:val>
            <c:numRef>
              <c:f>Лист1!$B$2:$B$4</c:f>
              <c:numCache>
                <c:formatCode>General</c:formatCode>
                <c:ptCount val="3"/>
                <c:pt idx="0">
                  <c:v>59</c:v>
                </c:pt>
                <c:pt idx="1">
                  <c:v>19</c:v>
                </c:pt>
                <c:pt idx="2">
                  <c:v>11</c:v>
                </c:pt>
              </c:numCache>
            </c:numRef>
          </c:val>
          <c:extLst>
            <c:ext xmlns:c16="http://schemas.microsoft.com/office/drawing/2014/chart" uri="{C3380CC4-5D6E-409C-BE32-E72D297353CC}">
              <c16:uniqueId val="{00000000-A0C8-4009-8D3D-FAF6421887B8}"/>
            </c:ext>
          </c:extLst>
        </c:ser>
        <c:dLbls>
          <c:dLblPos val="ctr"/>
          <c:showLegendKey val="0"/>
          <c:showVal val="0"/>
          <c:showCatName val="0"/>
          <c:showSerName val="0"/>
          <c:showPercent val="1"/>
          <c:showBubbleSize val="0"/>
          <c:showLeaderLines val="1"/>
        </c:dLbls>
        <c:firstSliceAng val="21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uk-UA" sz="1200">
                <a:solidFill>
                  <a:sysClr val="windowText" lastClr="000000"/>
                </a:solidFill>
                <a:latin typeface="Times New Roman" panose="02020603050405020304" pitchFamily="18" charset="0"/>
                <a:cs typeface="Times New Roman" panose="02020603050405020304" pitchFamily="18" charset="0"/>
              </a:rPr>
              <a:t>Скасовані ухвали за апеляційними скаргами (в розрізі окружних адміністративних судів)</a:t>
            </a:r>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view3D>
      <c:rotX val="50"/>
      <c:rotY val="21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Продажи</c:v>
                </c:pt>
              </c:strCache>
            </c:strRef>
          </c:tx>
          <c:dPt>
            <c:idx val="0"/>
            <c:bubble3D val="0"/>
            <c:explosion val="10"/>
            <c:spPr>
              <a:solidFill>
                <a:schemeClr val="accent2">
                  <a:lumMod val="75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2-C391-433D-B565-5B6080875312}"/>
              </c:ext>
            </c:extLst>
          </c:dPt>
          <c:dPt>
            <c:idx val="1"/>
            <c:bubble3D val="0"/>
            <c:spPr>
              <a:solidFill>
                <a:schemeClr val="bg1">
                  <a:lumMod val="65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C391-433D-B565-5B6080875312}"/>
              </c:ext>
            </c:extLst>
          </c:dPt>
          <c:dPt>
            <c:idx val="2"/>
            <c:bubble3D val="0"/>
            <c:spPr>
              <a:solidFill>
                <a:schemeClr val="bg2">
                  <a:lumMod val="25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C391-433D-B565-5B6080875312}"/>
              </c:ext>
            </c:extLst>
          </c:dPt>
          <c:dLbls>
            <c:dLbl>
              <c:idx val="0"/>
              <c:tx>
                <c:rich>
                  <a:bodyPr/>
                  <a:lstStyle/>
                  <a:p>
                    <a:r>
                      <a:rPr lang="en-US"/>
                      <a:t>52%</a:t>
                    </a:r>
                  </a:p>
                </c:rich>
              </c:tx>
              <c:dLblPos val="ctr"/>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C391-433D-B565-5B6080875312}"/>
                </c:ext>
              </c:extLst>
            </c:dLbl>
            <c:dLbl>
              <c:idx val="1"/>
              <c:tx>
                <c:rich>
                  <a:bodyPr/>
                  <a:lstStyle/>
                  <a:p>
                    <a:fld id="{5D503D67-A8BF-4B02-962D-07BA221B1E00}" type="VALUE">
                      <a:rPr lang="en-US"/>
                      <a:pPr/>
                      <a:t>[ЗНАЧЕНИЕ]</a:t>
                    </a:fld>
                    <a:r>
                      <a:rPr lang="en-US"/>
                      <a:t>%</a:t>
                    </a:r>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C391-433D-B565-5B6080875312}"/>
                </c:ext>
              </c:extLst>
            </c:dLbl>
            <c:dLbl>
              <c:idx val="2"/>
              <c:tx>
                <c:rich>
                  <a:bodyPr/>
                  <a:lstStyle/>
                  <a:p>
                    <a:fld id="{85B59C98-4832-41AF-B787-2D78E527DAE4}" type="VALUE">
                      <a:rPr lang="en-US"/>
                      <a:pPr/>
                      <a:t>[ЗНАЧЕНИЕ]</a:t>
                    </a:fld>
                    <a:r>
                      <a:rPr lang="en-US"/>
                      <a:t>%</a:t>
                    </a:r>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C391-433D-B565-5B6080875312}"/>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Лист1!$A$2:$A$4</c:f>
              <c:strCache>
                <c:ptCount val="3"/>
                <c:pt idx="0">
                  <c:v>ДОАС</c:v>
                </c:pt>
                <c:pt idx="1">
                  <c:v>ЗОАС</c:v>
                </c:pt>
                <c:pt idx="2">
                  <c:v>КОАС</c:v>
                </c:pt>
              </c:strCache>
            </c:strRef>
          </c:cat>
          <c:val>
            <c:numRef>
              <c:f>Лист1!$B$2:$B$4</c:f>
              <c:numCache>
                <c:formatCode>General</c:formatCode>
                <c:ptCount val="3"/>
                <c:pt idx="0">
                  <c:v>52</c:v>
                </c:pt>
                <c:pt idx="1">
                  <c:v>12</c:v>
                </c:pt>
                <c:pt idx="2">
                  <c:v>27</c:v>
                </c:pt>
              </c:numCache>
            </c:numRef>
          </c:val>
          <c:extLst>
            <c:ext xmlns:c16="http://schemas.microsoft.com/office/drawing/2014/chart" uri="{C3380CC4-5D6E-409C-BE32-E72D297353CC}">
              <c16:uniqueId val="{00000000-C391-433D-B565-5B6080875312}"/>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dk1">
            <a:lumMod val="50000"/>
            <a:lumOff val="50000"/>
          </a:schemeClr>
        </a:solidFill>
        <a:round/>
      </a:ln>
    </cs:spPr>
  </cs:gridlineMajor>
  <cs:gridlineMinor>
    <cs:lnRef idx="0"/>
    <cs:fillRef idx="0"/>
    <cs:effectRef idx="0"/>
    <cs:fontRef idx="minor">
      <a:schemeClr val="tx1"/>
    </cs:fontRef>
    <cs:spPr>
      <a:ln>
        <a:solidFill>
          <a:schemeClr val="dk1">
            <a:lumMod val="60000"/>
            <a:lumOff val="40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6.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Тема Office">
  <a:themeElements>
    <a:clrScheme name="Другая 4">
      <a:dk1>
        <a:sysClr val="windowText" lastClr="000000"/>
      </a:dk1>
      <a:lt1>
        <a:sysClr val="window" lastClr="FFFFFF"/>
      </a:lt1>
      <a:dk2>
        <a:srgbClr val="444D26"/>
      </a:dk2>
      <a:lt2>
        <a:srgbClr val="FEFAC9"/>
      </a:lt2>
      <a:accent1>
        <a:srgbClr val="FFFF00"/>
      </a:accent1>
      <a:accent2>
        <a:srgbClr val="0070C0"/>
      </a:accent2>
      <a:accent3>
        <a:srgbClr val="E7BC29"/>
      </a:accent3>
      <a:accent4>
        <a:srgbClr val="D092A7"/>
      </a:accent4>
      <a:accent5>
        <a:srgbClr val="9C85C0"/>
      </a:accent5>
      <a:accent6>
        <a:srgbClr val="809EC2"/>
      </a:accent6>
      <a:hlink>
        <a:srgbClr val="8E58B6"/>
      </a:hlink>
      <a:folHlink>
        <a:srgbClr val="7F6F6F"/>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Другая 5">
    <a:dk1>
      <a:sysClr val="windowText" lastClr="000000"/>
    </a:dk1>
    <a:lt1>
      <a:sysClr val="window" lastClr="FFFFFF"/>
    </a:lt1>
    <a:dk2>
      <a:srgbClr val="323232"/>
    </a:dk2>
    <a:lt2>
      <a:srgbClr val="E3DED1"/>
    </a:lt2>
    <a:accent1>
      <a:srgbClr val="FFFF00"/>
    </a:accent1>
    <a:accent2>
      <a:srgbClr val="0070C0"/>
    </a:accent2>
    <a:accent3>
      <a:srgbClr val="8DC182"/>
    </a:accent3>
    <a:accent4>
      <a:srgbClr val="4E8542"/>
    </a:accent4>
    <a:accent5>
      <a:srgbClr val="604878"/>
    </a:accent5>
    <a:accent6>
      <a:srgbClr val="C19859"/>
    </a:accent6>
    <a:hlink>
      <a:srgbClr val="6B9F25"/>
    </a:hlink>
    <a:folHlink>
      <a:srgbClr val="B26B0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Глянец">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41B18-C146-44E4-9BDD-EAA38151D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14772</TotalTime>
  <Pages>11</Pages>
  <Words>3949</Words>
  <Characters>22511</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АНАЛІЗ</vt:lpstr>
    </vt:vector>
  </TitlesOfParts>
  <Company>***</Company>
  <LinksUpToDate>false</LinksUpToDate>
  <CharactersWithSpaces>26408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АНАЛІЗ</dc:title>
  <dc:subject/>
  <dc:creator>***</dc:creator>
  <cp:keywords/>
  <dc:description/>
  <cp:lastModifiedBy>User</cp:lastModifiedBy>
  <cp:revision>133</cp:revision>
  <cp:lastPrinted>2026-02-09T08:46:00Z</cp:lastPrinted>
  <dcterms:created xsi:type="dcterms:W3CDTF">2018-01-23T08:20:00Z</dcterms:created>
  <dcterms:modified xsi:type="dcterms:W3CDTF">2026-02-09T08:47:00Z</dcterms:modified>
</cp:coreProperties>
</file>