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36E4" w14:textId="21D6AB96" w:rsidR="00B4359D" w:rsidRDefault="0077785C" w:rsidP="00B4359D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забезбечення</w:t>
      </w:r>
      <w:proofErr w:type="spellEnd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E4547" w:rsidRPr="00777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</w:t>
      </w:r>
      <w:r w:rsidR="00001CAC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11EB" w:rsidRPr="00A368D2">
        <w:t>П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ослуги </w:t>
      </w:r>
      <w:bookmarkStart w:id="0" w:name="_Hlk204595066"/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поточного ремонту частини орендованої Другим апеляційним адміністративним судом приміщень нежитлової будівлі – пам’ятки архітектури (охоронний № 78) за </w:t>
      </w:r>
      <w:proofErr w:type="spellStart"/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Харків, майдан Театральний, 1</w:t>
      </w:r>
      <w:bookmarkEnd w:id="0"/>
      <w:r w:rsidR="004F7521"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772F9AA7" w14:textId="1713DB49" w:rsidR="006B11EB" w:rsidRDefault="004F7521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color w:val="000000" w:themeColor="text1"/>
        </w:rPr>
      </w:pPr>
      <w:r w:rsidRPr="007778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код ДК 021:2015 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45450000-6 – Інші завершальні будівельні роботи </w:t>
      </w:r>
    </w:p>
    <w:p w14:paraId="50F66F99" w14:textId="77777777" w:rsidR="006B11EB" w:rsidRDefault="002E4547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UA-2025-08-08-010458-a</w:t>
      </w:r>
      <w:r w:rsidR="006B11EB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4CEE2B9" w14:textId="11B7BDBB" w:rsidR="004B7C71" w:rsidRDefault="002E4547" w:rsidP="006B11EB">
      <w:pPr>
        <w:tabs>
          <w:tab w:val="left" w:pos="388"/>
          <w:tab w:val="left" w:pos="616"/>
          <w:tab w:val="left" w:pos="3122"/>
          <w:tab w:val="left" w:pos="3600"/>
        </w:tabs>
        <w:snapToGrid w:val="0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A3EA69E" w14:textId="6C3CB323" w:rsidR="00B4359D" w:rsidRDefault="00B4359D" w:rsidP="00B4359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674720CA" w14:textId="2B061A27" w:rsidR="009A33ED" w:rsidRDefault="00B4359D" w:rsidP="00410A8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закупівлі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 з поточного ремонту 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0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bookmarkStart w:id="1" w:name="_GoBack"/>
      <w:bookmarkEnd w:id="1"/>
      <w:r w:rsidR="00E043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ремонту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туалету  загального користування на другому поверсі в орендованій 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апеляційн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адміністративн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410A8E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 частині будівлі.</w:t>
      </w:r>
    </w:p>
    <w:p w14:paraId="18AD894E" w14:textId="2680E6CA" w:rsidR="00410A8E" w:rsidRDefault="00513945" w:rsidP="005139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 дефектним актом, кошторисною документацією та отриманням експертної оцінки кошторисної документації, що здійснено КП «Харківський Архітектурно-проектний центр».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0393BB6" w14:textId="21E07EE0" w:rsidR="00F63042" w:rsidRPr="00B4359D" w:rsidRDefault="002E4547" w:rsidP="00B435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предмета закупівлі згідно КЕКВ 22</w:t>
      </w:r>
      <w:r w:rsidR="00DF41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Послуги з поточного ремонту частини орендованої Другим апеляційним адміністративним судом приміщень нежитлової будівлі – пам’ятки архітектури (охоронний № 78) за </w:t>
      </w:r>
      <w:proofErr w:type="spellStart"/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м. Харків, майдан Театральний, 1 </w:t>
      </w:r>
      <w:r w:rsidR="004F7521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(код ДК 021:2015 </w:t>
      </w:r>
      <w:r w:rsidR="00410A8E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45450000-6 – Інші завершальні будівельні роботи</w:t>
      </w:r>
      <w:r w:rsidR="004F7521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0E1EE9" w:rsidRP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сформована </w:t>
      </w:r>
      <w:r w:rsidR="000E1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складеного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дефектн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кошторисно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документаці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отриманням експертної оцінки кошторисної документації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підставі </w:t>
      </w:r>
      <w:r w:rsidR="00410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додатково виділених коштів 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довідки про зміни до кошторису 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 на 202</w:t>
      </w:r>
      <w:r w:rsidR="004F7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E1EE9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  <w:r w:rsidR="00B43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від 22.07.2025 № 76 </w:t>
      </w:r>
      <w:r w:rsidR="004B7C71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B60F8C"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становить </w:t>
      </w:r>
      <w:r w:rsidR="00B4359D">
        <w:rPr>
          <w:rFonts w:ascii="Times New Roman" w:hAnsi="Times New Roman" w:cs="Times New Roman"/>
          <w:bCs/>
          <w:sz w:val="28"/>
          <w:szCs w:val="28"/>
        </w:rPr>
        <w:t xml:space="preserve">457 870,80 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грн. (</w:t>
      </w:r>
      <w:r w:rsidR="00B4359D">
        <w:rPr>
          <w:rFonts w:ascii="Times New Roman" w:hAnsi="Times New Roman" w:cs="Times New Roman"/>
          <w:sz w:val="28"/>
          <w:szCs w:val="28"/>
        </w:rPr>
        <w:t>чотириста п’ятдесят сім тисяч вісімсот сімдесят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грив</w:t>
      </w:r>
      <w:r w:rsidR="00B4359D">
        <w:rPr>
          <w:rFonts w:ascii="Times New Roman" w:hAnsi="Times New Roman" w:cs="Times New Roman"/>
          <w:sz w:val="28"/>
          <w:szCs w:val="28"/>
        </w:rPr>
        <w:t>е</w:t>
      </w:r>
      <w:r w:rsidR="00F63042" w:rsidRPr="00F63042">
        <w:rPr>
          <w:rFonts w:ascii="Times New Roman" w:hAnsi="Times New Roman" w:cs="Times New Roman"/>
          <w:sz w:val="28"/>
          <w:szCs w:val="28"/>
        </w:rPr>
        <w:t>н</w:t>
      </w:r>
      <w:r w:rsidR="00B4359D">
        <w:rPr>
          <w:rFonts w:ascii="Times New Roman" w:hAnsi="Times New Roman" w:cs="Times New Roman"/>
          <w:sz w:val="28"/>
          <w:szCs w:val="28"/>
        </w:rPr>
        <w:t>ь</w:t>
      </w:r>
      <w:r w:rsidR="00F63042" w:rsidRPr="00F63042">
        <w:rPr>
          <w:rFonts w:ascii="Times New Roman" w:hAnsi="Times New Roman" w:cs="Times New Roman"/>
          <w:sz w:val="28"/>
          <w:szCs w:val="28"/>
        </w:rPr>
        <w:t xml:space="preserve"> </w:t>
      </w:r>
      <w:r w:rsidR="00B4359D">
        <w:rPr>
          <w:rFonts w:ascii="Times New Roman" w:hAnsi="Times New Roman" w:cs="Times New Roman"/>
          <w:sz w:val="28"/>
          <w:szCs w:val="28"/>
        </w:rPr>
        <w:t>8</w:t>
      </w:r>
      <w:r w:rsidR="00F63042" w:rsidRPr="00F63042">
        <w:rPr>
          <w:rFonts w:ascii="Times New Roman" w:hAnsi="Times New Roman" w:cs="Times New Roman"/>
          <w:sz w:val="28"/>
          <w:szCs w:val="28"/>
        </w:rPr>
        <w:t>0 копійок).</w:t>
      </w:r>
    </w:p>
    <w:p w14:paraId="5672FE31" w14:textId="3EB49B2C" w:rsidR="002E4547" w:rsidRPr="004F7521" w:rsidRDefault="00482548" w:rsidP="004F752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825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81671C" w14:textId="2DD041AB" w:rsidR="005C2BF9" w:rsidRPr="002E4547" w:rsidRDefault="005C2BF9">
      <w:pPr>
        <w:rPr>
          <w:rFonts w:ascii="Times New Roman" w:hAnsi="Times New Roman" w:cs="Times New Roman"/>
        </w:rPr>
      </w:pPr>
    </w:p>
    <w:sectPr w:rsidR="005C2BF9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01CAC"/>
    <w:rsid w:val="00076BC2"/>
    <w:rsid w:val="00082E54"/>
    <w:rsid w:val="000E1EE9"/>
    <w:rsid w:val="000E66A4"/>
    <w:rsid w:val="001608FC"/>
    <w:rsid w:val="001B5210"/>
    <w:rsid w:val="00236C9B"/>
    <w:rsid w:val="00265C9C"/>
    <w:rsid w:val="00285524"/>
    <w:rsid w:val="00292B2B"/>
    <w:rsid w:val="002C4262"/>
    <w:rsid w:val="002D39C4"/>
    <w:rsid w:val="002E4547"/>
    <w:rsid w:val="003074CD"/>
    <w:rsid w:val="003546C5"/>
    <w:rsid w:val="00357C69"/>
    <w:rsid w:val="003C446E"/>
    <w:rsid w:val="00410A8E"/>
    <w:rsid w:val="00482548"/>
    <w:rsid w:val="00492C2D"/>
    <w:rsid w:val="004B7C71"/>
    <w:rsid w:val="004D6B39"/>
    <w:rsid w:val="004E16C2"/>
    <w:rsid w:val="004F7521"/>
    <w:rsid w:val="00513945"/>
    <w:rsid w:val="005C2BF9"/>
    <w:rsid w:val="005C37FC"/>
    <w:rsid w:val="006B11EB"/>
    <w:rsid w:val="00753949"/>
    <w:rsid w:val="0077785C"/>
    <w:rsid w:val="0080772B"/>
    <w:rsid w:val="00866E6D"/>
    <w:rsid w:val="009A33ED"/>
    <w:rsid w:val="00A24186"/>
    <w:rsid w:val="00A90669"/>
    <w:rsid w:val="00AC0662"/>
    <w:rsid w:val="00B3131F"/>
    <w:rsid w:val="00B4359D"/>
    <w:rsid w:val="00B60F8C"/>
    <w:rsid w:val="00C01AAA"/>
    <w:rsid w:val="00C770FB"/>
    <w:rsid w:val="00D463E3"/>
    <w:rsid w:val="00D82C65"/>
    <w:rsid w:val="00DF412A"/>
    <w:rsid w:val="00E04346"/>
    <w:rsid w:val="00EB039C"/>
    <w:rsid w:val="00EB72C2"/>
    <w:rsid w:val="00EF30B9"/>
    <w:rsid w:val="00F35BBE"/>
    <w:rsid w:val="00F63042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2</cp:revision>
  <cp:lastPrinted>2025-05-19T13:09:00Z</cp:lastPrinted>
  <dcterms:created xsi:type="dcterms:W3CDTF">2025-08-12T09:56:00Z</dcterms:created>
  <dcterms:modified xsi:type="dcterms:W3CDTF">2025-08-12T09:56:00Z</dcterms:modified>
</cp:coreProperties>
</file>