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C96D" w14:textId="77777777" w:rsidR="002E4547" w:rsidRPr="00CF5766" w:rsidRDefault="002E4547" w:rsidP="002E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25480BA9" w14:textId="427A2929" w:rsidR="001E38E1" w:rsidRPr="00FF0979" w:rsidRDefault="002E4547" w:rsidP="00402E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9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Назва предмета закупівлі:</w:t>
      </w:r>
      <w:r w:rsidR="00001CAC" w:rsidRPr="00FF0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Hlk148535887"/>
      <w:r w:rsidR="00FF0979" w:rsidRPr="00FF0979">
        <w:rPr>
          <w:rFonts w:ascii="Times New Roman" w:hAnsi="Times New Roman" w:cs="Times New Roman"/>
          <w:color w:val="454545"/>
          <w:sz w:val="28"/>
          <w:szCs w:val="28"/>
        </w:rPr>
        <w:t>Персональний комп’ютер у складі: системний блок, монітор, клавіатура, маніпулятор «миша», джерело безперебійного живлення</w:t>
      </w:r>
      <w:r w:rsidR="00402E9E" w:rsidRPr="00FF097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02E9E" w:rsidRPr="00FF09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bookmarkEnd w:id="0"/>
      <w:r w:rsidR="00767549" w:rsidRPr="00FF0979">
        <w:rPr>
          <w:rFonts w:ascii="Times New Roman" w:hAnsi="Times New Roman" w:cs="Times New Roman"/>
          <w:sz w:val="28"/>
          <w:szCs w:val="28"/>
        </w:rPr>
        <w:t>ДК 021:2015: 30210000-4 — Машини для обробки даних (апаратна частина)</w:t>
      </w:r>
      <w:r w:rsidR="00402E9E" w:rsidRPr="00FF09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347E87" w14:textId="48355E1B" w:rsidR="00CF5766" w:rsidRPr="002A01FF" w:rsidRDefault="002E4547" w:rsidP="00CF576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 та ідентифікатор закупівлі: 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 торги</w:t>
      </w:r>
      <w:r w:rsidR="007D33F5" w:rsidRPr="007D33F5">
        <w:rPr>
          <w:color w:val="000000"/>
          <w:sz w:val="27"/>
          <w:szCs w:val="27"/>
        </w:rPr>
        <w:t xml:space="preserve"> </w:t>
      </w:r>
      <w:r w:rsidR="007D33F5" w:rsidRPr="007D33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особливостями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F723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F0979" w:rsidRPr="00FF09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UA-2024-11-28-004018-a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DE3F716" w14:textId="22A6D14E" w:rsidR="00B27246" w:rsidRPr="00E510F2" w:rsidRDefault="002E4547" w:rsidP="00CF576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51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закупівлі: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1E38E1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ехнічні та якісні характеристики предмета закупівлі визначено </w:t>
      </w:r>
      <w:r w:rsidR="0060267D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 з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реальних потреб</w:t>
      </w:r>
      <w:r w:rsidR="00753949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Другого апеляційного адміністративного суду</w:t>
      </w:r>
      <w:r w:rsidR="00866E6D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510F2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відповідності до рекомендацій, наданих Державною судовою адміністрацією </w:t>
      </w:r>
      <w:r w:rsidR="00E510F2" w:rsidRPr="00E510F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E510F2">
        <w:rPr>
          <w:rFonts w:ascii="Times New Roman" w:hAnsi="Times New Roman" w:cs="Times New Roman"/>
          <w:iCs/>
          <w:sz w:val="28"/>
          <w:szCs w:val="28"/>
        </w:rPr>
        <w:t>.</w:t>
      </w:r>
    </w:p>
    <w:p w14:paraId="1ECE8CD0" w14:textId="25A3F4CC" w:rsidR="002D39C4" w:rsidRPr="004B7C71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розміру бюджетного призначення, очікуваної вартості предмета закупівлі: </w:t>
      </w:r>
    </w:p>
    <w:p w14:paraId="53743E44" w14:textId="4D669D39" w:rsidR="00767549" w:rsidRPr="00D40799" w:rsidRDefault="006634E3" w:rsidP="005742D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40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Закупівля здійснюється з метою забезпечення Другого апеляційного адміністративного  суду </w:t>
      </w:r>
      <w:r w:rsidR="00D40799">
        <w:rPr>
          <w:rFonts w:ascii="Times New Roman" w:hAnsi="Times New Roman" w:cs="Times New Roman"/>
          <w:sz w:val="28"/>
          <w:szCs w:val="28"/>
          <w:shd w:val="clear" w:color="auto" w:fill="FFFFFF"/>
        </w:rPr>
        <w:t>новою</w:t>
      </w:r>
      <w:r w:rsidR="00D40799" w:rsidRPr="00D40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комп’ютерною технікою</w:t>
      </w:r>
      <w:r w:rsidR="00D40799" w:rsidRPr="00D40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40799" w:rsidRPr="00D40799">
        <w:rPr>
          <w:rFonts w:ascii="Times New Roman" w:hAnsi="Times New Roman" w:cs="Times New Roman"/>
          <w:sz w:val="28"/>
          <w:szCs w:val="28"/>
        </w:rPr>
        <w:t>Більшість одини</w:t>
      </w:r>
      <w:r w:rsidR="00D40799">
        <w:rPr>
          <w:rFonts w:ascii="Times New Roman" w:hAnsi="Times New Roman" w:cs="Times New Roman"/>
          <w:sz w:val="28"/>
          <w:szCs w:val="28"/>
        </w:rPr>
        <w:t>ць комп’ютерної техніки, зокрема,</w:t>
      </w:r>
      <w:r w:rsidR="00D40799" w:rsidRPr="00D40799">
        <w:rPr>
          <w:rFonts w:ascii="Times New Roman" w:hAnsi="Times New Roman" w:cs="Times New Roman"/>
          <w:sz w:val="28"/>
          <w:szCs w:val="28"/>
        </w:rPr>
        <w:t xml:space="preserve"> персональні комп’ютери</w:t>
      </w:r>
      <w:r w:rsidR="00D40799">
        <w:rPr>
          <w:rFonts w:ascii="Times New Roman" w:hAnsi="Times New Roman" w:cs="Times New Roman"/>
          <w:sz w:val="28"/>
          <w:szCs w:val="28"/>
        </w:rPr>
        <w:t xml:space="preserve"> застаріли</w:t>
      </w:r>
      <w:r w:rsidR="00D40799" w:rsidRPr="00D40799">
        <w:rPr>
          <w:rFonts w:ascii="Times New Roman" w:hAnsi="Times New Roman" w:cs="Times New Roman"/>
          <w:sz w:val="28"/>
          <w:szCs w:val="28"/>
        </w:rPr>
        <w:t xml:space="preserve"> та вич</w:t>
      </w:r>
      <w:r w:rsidR="00D40799">
        <w:rPr>
          <w:rFonts w:ascii="Times New Roman" w:hAnsi="Times New Roman" w:cs="Times New Roman"/>
          <w:sz w:val="28"/>
          <w:szCs w:val="28"/>
        </w:rPr>
        <w:t>ерпали свій термін використання</w:t>
      </w:r>
      <w:r w:rsidR="00D40799" w:rsidRPr="00D40799">
        <w:rPr>
          <w:rFonts w:ascii="Times New Roman" w:hAnsi="Times New Roman" w:cs="Times New Roman"/>
          <w:sz w:val="28"/>
          <w:szCs w:val="28"/>
        </w:rPr>
        <w:t>. Зазначена</w:t>
      </w:r>
      <w:r w:rsidR="00D40799">
        <w:rPr>
          <w:rFonts w:ascii="Times New Roman" w:hAnsi="Times New Roman" w:cs="Times New Roman"/>
          <w:sz w:val="28"/>
          <w:szCs w:val="28"/>
        </w:rPr>
        <w:t xml:space="preserve"> комп’ютерна</w:t>
      </w:r>
      <w:r w:rsidR="00D40799" w:rsidRPr="00D40799">
        <w:rPr>
          <w:rFonts w:ascii="Times New Roman" w:hAnsi="Times New Roman" w:cs="Times New Roman"/>
          <w:sz w:val="28"/>
          <w:szCs w:val="28"/>
        </w:rPr>
        <w:t xml:space="preserve"> техніка внаслідок тривалого використання дуже часто виходить з ладу та потребує постійної профілактики і заміні складових частин, ціна на яких порівняно висока, та їх випуск припинено через моральне старіння. Також, програмне забезпечення, яке використовується на вказаній комп’ютерній техніці (операційні системи, т</w:t>
      </w:r>
      <w:r w:rsidR="00D40799">
        <w:rPr>
          <w:rFonts w:ascii="Times New Roman" w:hAnsi="Times New Roman" w:cs="Times New Roman"/>
          <w:sz w:val="28"/>
          <w:szCs w:val="28"/>
        </w:rPr>
        <w:t>а деякі інші версії програмного забезпечення</w:t>
      </w:r>
      <w:r w:rsidR="00D40799" w:rsidRPr="00D40799">
        <w:rPr>
          <w:rFonts w:ascii="Times New Roman" w:hAnsi="Times New Roman" w:cs="Times New Roman"/>
          <w:sz w:val="28"/>
          <w:szCs w:val="28"/>
        </w:rPr>
        <w:t>) більше не підтримується виробниками, що унеможливлює його оновлення.</w:t>
      </w:r>
    </w:p>
    <w:p w14:paraId="2B42BE4A" w14:textId="46F86652" w:rsidR="00FF0979" w:rsidRPr="00FF0979" w:rsidRDefault="00FF0979" w:rsidP="00FF0979">
      <w:pPr>
        <w:spacing w:after="15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листа Державної судової адміністрації</w:t>
      </w:r>
      <w:r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510F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від 19.11.2024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E510F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iCs/>
          <w:sz w:val="28"/>
          <w:szCs w:val="28"/>
        </w:rPr>
        <w:t xml:space="preserve">15-22317/24  Державною судовою адміністрацією України спільно з розпорядниками бюджетних коштів нижчого рівня та Державним підприємством «Інформаційні судові системи», яке є адміністратором Єдиної судової інформаційно-телекомунікаційної системи та інших інформаційних систем і сервісів судової влади, за результатами проведеного аналізу сформовані кількісні та вартісні показники першочергової потреби судів, в тому числі і Другого апеляційного адміністративного суду, в </w:t>
      </w:r>
      <w:r>
        <w:rPr>
          <w:rFonts w:ascii="Times New Roman" w:hAnsi="Times New Roman" w:cs="Times New Roman"/>
          <w:iCs/>
          <w:sz w:val="28"/>
          <w:szCs w:val="28"/>
        </w:rPr>
        <w:t>персональних комп’ютерах</w:t>
      </w:r>
      <w:r>
        <w:rPr>
          <w:rFonts w:ascii="Times New Roman" w:hAnsi="Times New Roman" w:cs="Times New Roman"/>
          <w:iCs/>
          <w:sz w:val="28"/>
          <w:szCs w:val="28"/>
        </w:rPr>
        <w:t xml:space="preserve"> та визначено потребу Другого апеляційного адміністративного суду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r w:rsidRPr="00FF0979">
        <w:rPr>
          <w:rFonts w:ascii="Times New Roman" w:hAnsi="Times New Roman" w:cs="Times New Roman"/>
          <w:iCs/>
          <w:sz w:val="28"/>
          <w:szCs w:val="28"/>
        </w:rPr>
        <w:t>персональних комп’ютерах</w:t>
      </w:r>
      <w:r w:rsidRPr="00FF0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кількості </w:t>
      </w:r>
      <w:r w:rsidRPr="00FF097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FF0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штуки.</w:t>
      </w:r>
    </w:p>
    <w:p w14:paraId="6985CBF4" w14:textId="73077A17" w:rsidR="0060267D" w:rsidRPr="00623152" w:rsidRDefault="002E4547" w:rsidP="0062315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F0979">
        <w:rPr>
          <w:rFonts w:ascii="Times New Roman" w:eastAsia="Times New Roman" w:hAnsi="Times New Roman" w:cs="Times New Roman"/>
          <w:sz w:val="28"/>
          <w:szCs w:val="28"/>
          <w:lang w:eastAsia="uk-UA"/>
        </w:rPr>
        <w:t>Очікувана вартість п</w:t>
      </w:r>
      <w:r w:rsidR="00BD4011" w:rsidRPr="00FF0979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редмета закупівлі згідно КЕКВ 31</w:t>
      </w:r>
      <w:r w:rsidR="00EE766D" w:rsidRPr="00FF097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FF0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 </w:t>
      </w:r>
      <w:r w:rsidR="00FF0979" w:rsidRPr="00FF0979">
        <w:rPr>
          <w:rFonts w:ascii="Times New Roman" w:hAnsi="Times New Roman" w:cs="Times New Roman"/>
          <w:sz w:val="28"/>
          <w:szCs w:val="28"/>
        </w:rPr>
        <w:t>Персональний комп’ютер у складі: системний блок, монітор, клавіатура, маніпулятор «миша», джерело безперебійного живлення</w:t>
      </w:r>
      <w:r w:rsidR="00FF0979" w:rsidRPr="00FF0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F0979" w:rsidRPr="00FF0979">
        <w:rPr>
          <w:rFonts w:ascii="Times New Roman" w:hAnsi="Times New Roman" w:cs="Times New Roman"/>
          <w:sz w:val="28"/>
          <w:szCs w:val="28"/>
        </w:rPr>
        <w:t>ДК 021:2015: 30210000-4 — Машини для обробки даних (апаратна частина)</w:t>
      </w:r>
      <w:r w:rsidR="00BD4011" w:rsidRPr="00FF0979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виходячи</w:t>
      </w:r>
      <w:r w:rsidR="000E1EE9" w:rsidRPr="00FF09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із </w:t>
      </w:r>
      <w:r w:rsidR="00BD4011" w:rsidRPr="00082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фактичної потреби, середньої ринкової ціни для даної групи товарів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листа Державної судової адміністрації</w:t>
      </w:r>
      <w:r w:rsidR="00BD4011" w:rsidRPr="00E510F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4011" w:rsidRPr="00E510F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BD40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3FF0">
        <w:rPr>
          <w:rFonts w:ascii="Times New Roman" w:hAnsi="Times New Roman" w:cs="Times New Roman"/>
          <w:iCs/>
          <w:sz w:val="28"/>
          <w:szCs w:val="28"/>
        </w:rPr>
        <w:t xml:space="preserve">від </w:t>
      </w:r>
      <w:r w:rsidR="00FF0979">
        <w:rPr>
          <w:rFonts w:ascii="Times New Roman" w:hAnsi="Times New Roman" w:cs="Times New Roman"/>
          <w:iCs/>
          <w:sz w:val="28"/>
          <w:szCs w:val="28"/>
        </w:rPr>
        <w:t>19.11.2024 року</w:t>
      </w:r>
      <w:r w:rsidR="00FF09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FF0979" w:rsidRPr="00E510F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FF0979">
        <w:rPr>
          <w:rFonts w:ascii="Times New Roman" w:hAnsi="Times New Roman" w:cs="Times New Roman"/>
          <w:iCs/>
          <w:sz w:val="28"/>
          <w:szCs w:val="28"/>
        </w:rPr>
        <w:t>15-22317/24</w:t>
      </w:r>
      <w:r w:rsidR="00BD4011">
        <w:rPr>
          <w:rFonts w:ascii="Times New Roman" w:hAnsi="Times New Roman" w:cs="Times New Roman"/>
          <w:iCs/>
          <w:sz w:val="28"/>
          <w:szCs w:val="28"/>
        </w:rPr>
        <w:t>,</w:t>
      </w:r>
      <w:r w:rsidR="004B7C71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B60F8C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становить </w:t>
      </w:r>
      <w:r w:rsidR="00D463E3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F09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92</w:t>
      </w:r>
      <w:r w:rsidR="006B3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000</w:t>
      </w:r>
      <w:r w:rsidR="00BD40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,00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гривень (</w:t>
      </w:r>
      <w:r w:rsidR="00FF09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дев’яності дві</w:t>
      </w:r>
      <w:r w:rsidR="006B3F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тисяч</w:t>
      </w:r>
      <w:r w:rsidR="00FF09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402E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гривень 00 копійо</w:t>
      </w:r>
      <w:r w:rsidR="00082E5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к)</w:t>
      </w:r>
      <w:r w:rsidR="00482548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bookmarkStart w:id="1" w:name="_GoBack"/>
      <w:bookmarkEnd w:id="1"/>
    </w:p>
    <w:sectPr w:rsidR="0060267D" w:rsidRPr="00623152" w:rsidSect="0078679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D64469C"/>
    <w:multiLevelType w:val="hybridMultilevel"/>
    <w:tmpl w:val="7E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FC"/>
    <w:rsid w:val="00001CAC"/>
    <w:rsid w:val="000160CF"/>
    <w:rsid w:val="00076BC2"/>
    <w:rsid w:val="00080B45"/>
    <w:rsid w:val="00082E54"/>
    <w:rsid w:val="000E1EE9"/>
    <w:rsid w:val="000E66A4"/>
    <w:rsid w:val="001464CC"/>
    <w:rsid w:val="001608FC"/>
    <w:rsid w:val="001801BA"/>
    <w:rsid w:val="001B5210"/>
    <w:rsid w:val="001E38E1"/>
    <w:rsid w:val="00236C9B"/>
    <w:rsid w:val="00285524"/>
    <w:rsid w:val="00292B2B"/>
    <w:rsid w:val="002A01FF"/>
    <w:rsid w:val="002C4262"/>
    <w:rsid w:val="002D39C4"/>
    <w:rsid w:val="002E4547"/>
    <w:rsid w:val="003074CD"/>
    <w:rsid w:val="003546C5"/>
    <w:rsid w:val="00357C69"/>
    <w:rsid w:val="003C0BDA"/>
    <w:rsid w:val="003C446E"/>
    <w:rsid w:val="00402E9E"/>
    <w:rsid w:val="00482548"/>
    <w:rsid w:val="00492C2D"/>
    <w:rsid w:val="004B7C71"/>
    <w:rsid w:val="004D6B39"/>
    <w:rsid w:val="004E0328"/>
    <w:rsid w:val="004E16C2"/>
    <w:rsid w:val="00513945"/>
    <w:rsid w:val="005742DF"/>
    <w:rsid w:val="005C2BF9"/>
    <w:rsid w:val="005C37FC"/>
    <w:rsid w:val="005E7938"/>
    <w:rsid w:val="0060267D"/>
    <w:rsid w:val="00623152"/>
    <w:rsid w:val="00654EB5"/>
    <w:rsid w:val="006634E3"/>
    <w:rsid w:val="006B3FF0"/>
    <w:rsid w:val="006E726E"/>
    <w:rsid w:val="006F0A55"/>
    <w:rsid w:val="007370AD"/>
    <w:rsid w:val="00753949"/>
    <w:rsid w:val="00767549"/>
    <w:rsid w:val="00786791"/>
    <w:rsid w:val="007D33F5"/>
    <w:rsid w:val="0080772B"/>
    <w:rsid w:val="00826FF6"/>
    <w:rsid w:val="00866E6D"/>
    <w:rsid w:val="008B1A90"/>
    <w:rsid w:val="009A33ED"/>
    <w:rsid w:val="00A24186"/>
    <w:rsid w:val="00A67643"/>
    <w:rsid w:val="00A868E0"/>
    <w:rsid w:val="00A90669"/>
    <w:rsid w:val="00AC0662"/>
    <w:rsid w:val="00AC4E18"/>
    <w:rsid w:val="00B27246"/>
    <w:rsid w:val="00B3131F"/>
    <w:rsid w:val="00B60F8C"/>
    <w:rsid w:val="00B9040D"/>
    <w:rsid w:val="00BD4011"/>
    <w:rsid w:val="00C01AAA"/>
    <w:rsid w:val="00C770FB"/>
    <w:rsid w:val="00CF5766"/>
    <w:rsid w:val="00D40799"/>
    <w:rsid w:val="00D463E3"/>
    <w:rsid w:val="00D772C5"/>
    <w:rsid w:val="00D82C65"/>
    <w:rsid w:val="00D94A58"/>
    <w:rsid w:val="00DF412A"/>
    <w:rsid w:val="00E10976"/>
    <w:rsid w:val="00E335E8"/>
    <w:rsid w:val="00E510F2"/>
    <w:rsid w:val="00EB039C"/>
    <w:rsid w:val="00EB56AC"/>
    <w:rsid w:val="00EB72C2"/>
    <w:rsid w:val="00EE766D"/>
    <w:rsid w:val="00EF30B9"/>
    <w:rsid w:val="00F638A6"/>
    <w:rsid w:val="00F72344"/>
    <w:rsid w:val="00FA29B5"/>
    <w:rsid w:val="00FA5E18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9A33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qaclassifiertype">
    <w:name w:val="qa_classifier_type"/>
    <w:basedOn w:val="a0"/>
    <w:rsid w:val="007D33F5"/>
  </w:style>
  <w:style w:type="character" w:customStyle="1" w:styleId="qaclassifierdk">
    <w:name w:val="qa_classifier_dk"/>
    <w:basedOn w:val="a0"/>
    <w:rsid w:val="007D33F5"/>
  </w:style>
  <w:style w:type="character" w:customStyle="1" w:styleId="qaclassifierdescr">
    <w:name w:val="qa_classifier_descr"/>
    <w:basedOn w:val="a0"/>
    <w:rsid w:val="007D33F5"/>
  </w:style>
  <w:style w:type="character" w:customStyle="1" w:styleId="qaclassifierdescrcode">
    <w:name w:val="qa_classifier_descr_code"/>
    <w:basedOn w:val="a0"/>
    <w:rsid w:val="007D33F5"/>
  </w:style>
  <w:style w:type="character" w:customStyle="1" w:styleId="qaclassifierdescrprimary">
    <w:name w:val="qa_classifier_descr_primary"/>
    <w:basedOn w:val="a0"/>
    <w:rsid w:val="007D33F5"/>
  </w:style>
  <w:style w:type="character" w:customStyle="1" w:styleId="a7">
    <w:name w:val="Абзац списка Знак"/>
    <w:link w:val="a6"/>
    <w:uiPriority w:val="34"/>
    <w:locked/>
    <w:rsid w:val="0060267D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EB56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4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64CC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8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78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Жданюк Г.О.</cp:lastModifiedBy>
  <cp:revision>3</cp:revision>
  <dcterms:created xsi:type="dcterms:W3CDTF">2023-12-05T13:11:00Z</dcterms:created>
  <dcterms:modified xsi:type="dcterms:W3CDTF">2024-11-29T07:30:00Z</dcterms:modified>
</cp:coreProperties>
</file>