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8D21" w14:textId="4E0AF3E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Додаток </w:t>
      </w:r>
      <w:r w:rsidR="0015607D">
        <w:rPr>
          <w:rFonts w:ascii="Times New Roman" w:hAnsi="Times New Roman"/>
          <w:lang w:val="uk-UA"/>
        </w:rPr>
        <w:t>3</w:t>
      </w:r>
    </w:p>
    <w:p w14:paraId="2493EE20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5A2311DF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0E718676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73EA2F9" w14:textId="2C9D13CA" w:rsidR="00EA7B31" w:rsidRDefault="00EE6A4E" w:rsidP="00CD7AD0">
      <w:pPr>
        <w:pStyle w:val="6"/>
        <w:spacing w:before="0" w:after="0"/>
        <w:ind w:firstLine="1097"/>
        <w:rPr>
          <w:b w:val="0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3F5061">
        <w:rPr>
          <w:b w:val="0"/>
        </w:rPr>
        <w:t xml:space="preserve">від </w:t>
      </w:r>
      <w:r w:rsidR="00763D9C">
        <w:rPr>
          <w:b w:val="0"/>
          <w:u w:val="single"/>
        </w:rPr>
        <w:t>27</w:t>
      </w:r>
      <w:r w:rsidR="00C0591B">
        <w:rPr>
          <w:b w:val="0"/>
          <w:u w:val="single"/>
        </w:rPr>
        <w:t xml:space="preserve"> грудня</w:t>
      </w:r>
      <w:r w:rsidR="00540D8F">
        <w:rPr>
          <w:b w:val="0"/>
          <w:u w:val="single"/>
        </w:rPr>
        <w:t xml:space="preserve"> </w:t>
      </w:r>
      <w:r w:rsidR="00661E1A" w:rsidRPr="00AC3610">
        <w:rPr>
          <w:b w:val="0"/>
          <w:u w:val="single"/>
        </w:rPr>
        <w:t>202</w:t>
      </w:r>
      <w:r w:rsidR="00763D9C">
        <w:rPr>
          <w:b w:val="0"/>
          <w:u w:val="single"/>
        </w:rPr>
        <w:t>4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E0103F" w:rsidRPr="00763D9C">
        <w:rPr>
          <w:b w:val="0"/>
          <w:u w:val="single"/>
        </w:rPr>
        <w:t>1</w:t>
      </w:r>
      <w:r w:rsidR="00763D9C">
        <w:rPr>
          <w:b w:val="0"/>
          <w:u w:val="single"/>
        </w:rPr>
        <w:t>33</w:t>
      </w:r>
      <w:r w:rsidR="00C94509" w:rsidRPr="00AC3610">
        <w:rPr>
          <w:b w:val="0"/>
          <w:u w:val="single"/>
        </w:rPr>
        <w:t>/ОДА</w:t>
      </w:r>
    </w:p>
    <w:p w14:paraId="210D05B3" w14:textId="77777777" w:rsidR="00CD7AD0" w:rsidRPr="00CD7AD0" w:rsidRDefault="00CD7AD0" w:rsidP="00CD7AD0">
      <w:pPr>
        <w:rPr>
          <w:lang w:val="uk-UA" w:eastAsia="ru-RU"/>
        </w:rPr>
      </w:pPr>
      <w:bookmarkStart w:id="0" w:name="_GoBack"/>
      <w:bookmarkEnd w:id="0"/>
    </w:p>
    <w:p w14:paraId="58FEEC9E" w14:textId="3A3C695A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51F1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51F1F">
        <w:rPr>
          <w:rFonts w:ascii="Times New Roman" w:hAnsi="Times New Roman" w:cs="Times New Roman"/>
          <w:b/>
          <w:sz w:val="24"/>
          <w:lang w:val="uk-UA"/>
        </w:rPr>
        <w:t>головного спеціаліста</w:t>
      </w:r>
      <w:r w:rsidR="003577C2" w:rsidRPr="003577C2">
        <w:rPr>
          <w:rFonts w:ascii="Times New Roman" w:hAnsi="Times New Roman" w:cs="Times New Roman"/>
          <w:b/>
          <w:sz w:val="24"/>
          <w:lang w:val="uk-UA"/>
        </w:rPr>
        <w:t xml:space="preserve"> відділу</w:t>
      </w:r>
      <w:r w:rsidR="003577C2" w:rsidRPr="009F1E42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A6881">
        <w:rPr>
          <w:rFonts w:ascii="Times New Roman" w:hAnsi="Times New Roman" w:cs="Times New Roman"/>
          <w:b/>
          <w:sz w:val="24"/>
          <w:lang w:val="uk-UA"/>
        </w:rPr>
        <w:t>інформаційних технологій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C0591B">
        <w:rPr>
          <w:rFonts w:ascii="Times New Roman" w:hAnsi="Times New Roman" w:cs="Times New Roman"/>
          <w:b/>
          <w:sz w:val="28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51F1F">
        <w:rPr>
          <w:rFonts w:ascii="Times New Roman" w:hAnsi="Times New Roman" w:cs="Times New Roman"/>
          <w:b/>
          <w:sz w:val="24"/>
          <w:szCs w:val="24"/>
          <w:lang w:val="uk-UA"/>
        </w:rPr>
        <w:t>2 посади – строкові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0E045319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522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3A6881" w:rsidRPr="00CD7AD0" w14:paraId="58750861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4B102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8C25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 xml:space="preserve">Запровадження, обслуговування автоматизованої системи документообігу суду спеціалізованим програмним забезпеченням, яке використовується для кадрової роботи, бухгалтерського обліку, статистичної звітності. </w:t>
            </w:r>
          </w:p>
          <w:p w14:paraId="620828ED" w14:textId="77777777" w:rsidR="003A6881" w:rsidRPr="003A6881" w:rsidRDefault="003A6881" w:rsidP="003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6881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Забезпечення:</w:t>
            </w:r>
          </w:p>
          <w:p w14:paraId="6E1702DB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функціонування автоматизованої системи документообігу суду (до початку функціонування Єдиної судової інформаційно-телекомунікаційної системи);</w:t>
            </w:r>
          </w:p>
          <w:p w14:paraId="03D587F2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 інформаційно – технічного супроводу системи «Електронний суд» та модулів, які входять до складу Єдиної судової інформаційно-телекомунікаційної системи;</w:t>
            </w:r>
          </w:p>
          <w:p w14:paraId="31CCF01C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функціонування у суді інформаційно-телекомунікаційних систем, систем електронних комунікацій, програмного забезпечення та баз даних;</w:t>
            </w:r>
          </w:p>
          <w:p w14:paraId="1E24278F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 xml:space="preserve">- виконання в суді організаційно-технічних заходів у сфері інформаційної безпеки, технічного захисту інформації та протидії </w:t>
            </w:r>
            <w:proofErr w:type="spellStart"/>
            <w:r w:rsidRPr="003A6881">
              <w:rPr>
                <w:rFonts w:ascii="Times New Roman" w:hAnsi="Times New Roman"/>
                <w:lang w:val="uk-UA"/>
              </w:rPr>
              <w:t>кіберзагрозам</w:t>
            </w:r>
            <w:proofErr w:type="spellEnd"/>
            <w:r w:rsidRPr="003A6881">
              <w:rPr>
                <w:rFonts w:ascii="Times New Roman" w:hAnsi="Times New Roman"/>
                <w:lang w:val="uk-UA"/>
              </w:rPr>
              <w:t>;</w:t>
            </w:r>
          </w:p>
          <w:p w14:paraId="6C0E5411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доступу користувачів до внутрішніх інформаційних ресурсів та баз даних;</w:t>
            </w:r>
          </w:p>
          <w:p w14:paraId="7CBBF613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доступу працівників апарату суду до автоматизованих інформаційних і довідкових систем, реєстрів та банків даних, держателем (адміністратором) яких є державні органи або органи місцевого самоврядування, у визначеному чинним законодавством порядку;</w:t>
            </w:r>
          </w:p>
          <w:p w14:paraId="51DC384E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введення в експлуатацію, встановлення, обслуговування комп’ютерної та оргтехніки;</w:t>
            </w:r>
          </w:p>
          <w:p w14:paraId="0868D67D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виявлення недоліків і попередження їх виникнення в роботі комп’ютерної та оргтехніки, системного та прикладного програмного забезпечення;</w:t>
            </w:r>
          </w:p>
          <w:p w14:paraId="38F93E32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ремонту комп’ютерної, оргтехніки, програмного забезпечення в межах своєї компетенції;</w:t>
            </w:r>
          </w:p>
          <w:p w14:paraId="4CD3D443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надання методичної допомоги працівникам суду по роботі з інформаційними технологіями та автоматизованою систему документообігу суду, у разі необхідності.</w:t>
            </w:r>
          </w:p>
          <w:p w14:paraId="7582EED8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Здійснення:</w:t>
            </w:r>
          </w:p>
          <w:p w14:paraId="3B11D2E0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 xml:space="preserve">- заходів щодо дотримання вимог Положення про Єдину судову інформаційно - телекомунікаційну систему (до початку її </w:t>
            </w:r>
            <w:r w:rsidRPr="003A6881">
              <w:rPr>
                <w:rFonts w:ascii="Times New Roman" w:hAnsi="Times New Roman"/>
                <w:lang w:val="uk-UA"/>
              </w:rPr>
              <w:lastRenderedPageBreak/>
              <w:t>функціонування – Положення про автоматизовану систему документообігу суду);</w:t>
            </w:r>
          </w:p>
          <w:p w14:paraId="35D39F56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роботи щодо інсталяції в суді програмного забезпечення;</w:t>
            </w:r>
          </w:p>
          <w:p w14:paraId="1294766B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підключення, супроводження, використання ресурсів локальної комп’ютерної мережі суду;</w:t>
            </w:r>
          </w:p>
          <w:p w14:paraId="648FA7FB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впровадження в суді систем програмно-технічного захисту інформації;</w:t>
            </w:r>
          </w:p>
          <w:p w14:paraId="762C4277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 xml:space="preserve">- встановлення та налаштування обладнання для функціонування судового засідання та </w:t>
            </w:r>
            <w:proofErr w:type="spellStart"/>
            <w:r w:rsidRPr="003A6881">
              <w:rPr>
                <w:rFonts w:ascii="Times New Roman" w:hAnsi="Times New Roman"/>
                <w:lang w:val="uk-UA"/>
              </w:rPr>
              <w:t>відеоконференцій</w:t>
            </w:r>
            <w:proofErr w:type="spellEnd"/>
            <w:r w:rsidRPr="003A6881">
              <w:rPr>
                <w:rFonts w:ascii="Times New Roman" w:hAnsi="Times New Roman"/>
                <w:lang w:val="uk-UA"/>
              </w:rPr>
              <w:t xml:space="preserve">, бронювання </w:t>
            </w:r>
            <w:proofErr w:type="spellStart"/>
            <w:r w:rsidRPr="003A6881">
              <w:rPr>
                <w:rFonts w:ascii="Times New Roman" w:hAnsi="Times New Roman"/>
                <w:lang w:val="uk-UA"/>
              </w:rPr>
              <w:t>відеоконференцій</w:t>
            </w:r>
            <w:proofErr w:type="spellEnd"/>
            <w:r w:rsidRPr="003A6881">
              <w:rPr>
                <w:rFonts w:ascii="Times New Roman" w:hAnsi="Times New Roman"/>
                <w:lang w:val="uk-UA"/>
              </w:rPr>
              <w:t xml:space="preserve"> на спеціалізованому веб-порталі;</w:t>
            </w:r>
          </w:p>
          <w:p w14:paraId="1AFEB9DB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формування та підготовки матеріалів для звітів, інформації, яка міститься в автоматизованій системі документообігу суду;</w:t>
            </w:r>
          </w:p>
          <w:p w14:paraId="392CCC51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аналізу стану інформаційного забезпечення суду та внесення пропозицій щодо вдосконалення роботи суду в межах своєї компетенції.</w:t>
            </w:r>
          </w:p>
          <w:p w14:paraId="06A71D64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Створення (редагування, вилучення):</w:t>
            </w:r>
          </w:p>
          <w:p w14:paraId="541F3043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 архівної бази даних автоматизованої системи документообігу суду;</w:t>
            </w:r>
          </w:p>
          <w:p w14:paraId="4B8B5740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шаблонів документів в автоматизованій системі документообігу суду, згідно з відповідними нормативно – правовими актами.</w:t>
            </w:r>
          </w:p>
          <w:p w14:paraId="3B9F1515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 довідників юридичних та фізичних осіб, категорій справ, суб’єктів владних повноважень;</w:t>
            </w:r>
          </w:p>
          <w:p w14:paraId="60F89082" w14:textId="77777777" w:rsidR="003A6881" w:rsidRP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- фільтрів користувачів в автоматизованій системі документообігу суду.</w:t>
            </w:r>
          </w:p>
          <w:p w14:paraId="3ACCA8D0" w14:textId="77777777" w:rsidR="003A6881" w:rsidRPr="003A6881" w:rsidRDefault="003A6881" w:rsidP="003A6881">
            <w:pPr>
              <w:pStyle w:val="a4"/>
              <w:jc w:val="both"/>
              <w:rPr>
                <w:lang w:val="uk-UA"/>
              </w:rPr>
            </w:pPr>
            <w:r w:rsidRPr="003A6881">
              <w:rPr>
                <w:rFonts w:ascii="Times New Roman" w:hAnsi="Times New Roman"/>
                <w:lang w:val="uk-UA"/>
              </w:rPr>
              <w:t>Виконання інших доручень керівництва суду.</w:t>
            </w:r>
          </w:p>
        </w:tc>
      </w:tr>
      <w:tr w:rsidR="003A6881" w:rsidRPr="00CD7AD0" w14:paraId="3E39BCF5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62C2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66D79" w14:textId="77777777" w:rsidR="00763D9C" w:rsidRPr="00AA06BD" w:rsidRDefault="00763D9C" w:rsidP="0076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11855,00 грн.</w:t>
            </w:r>
          </w:p>
          <w:p w14:paraId="07CF7EA2" w14:textId="0D128C42" w:rsidR="003A6881" w:rsidRPr="00EE6A4E" w:rsidRDefault="00763D9C" w:rsidP="0076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«Про Державний бюджет України на 2024 рік» та класифікації посад державної служби заробітна плата державного службовця </w:t>
            </w:r>
            <w:r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3A6881" w:rsidRPr="00CD7AD0" w14:paraId="0C61841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2CE02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F5C0" w14:textId="77777777" w:rsidR="003A6881" w:rsidRPr="00D876FE" w:rsidRDefault="003A6881" w:rsidP="003A6881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3A6881" w:rsidRPr="00CD7AD0" w14:paraId="27555426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43AD" w14:textId="77777777" w:rsidR="003A6881" w:rsidRPr="0002687C" w:rsidRDefault="003A6881" w:rsidP="003A6881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352EEFFB" w14:textId="77777777" w:rsidR="003A6881" w:rsidRPr="0002687C" w:rsidRDefault="003A6881" w:rsidP="003A6881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497F" w14:textId="77777777" w:rsidR="003A6881" w:rsidRPr="008A4417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33457AC2" w14:textId="77777777" w:rsidR="003A6881" w:rsidRPr="008A4417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0B83345B" w14:textId="77777777" w:rsidR="003A6881" w:rsidRPr="008A4417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437C2C4C" w14:textId="77777777" w:rsidR="003A6881" w:rsidRPr="008A4417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0DBC4404" w14:textId="77777777" w:rsid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</w:t>
            </w:r>
            <w:proofErr w:type="spellStart"/>
            <w:r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0A8A1038" w14:textId="77777777" w:rsid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D9CE1BF" w14:textId="631A1FA4" w:rsidR="003A6881" w:rsidRPr="00500F14" w:rsidRDefault="003A6881" w:rsidP="003A6881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368D5F70" w14:textId="77777777" w:rsidR="003A6881" w:rsidRDefault="003A6881" w:rsidP="003A68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39A38D69" w14:textId="7E1602AA" w:rsidR="00A531AE" w:rsidRDefault="003A6881" w:rsidP="003A68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63D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8A44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40D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63D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 грудня 2024</w:t>
            </w:r>
            <w:r w:rsidR="00A531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року </w:t>
            </w:r>
          </w:p>
          <w:p w14:paraId="65E4EED6" w14:textId="77777777" w:rsidR="00A531AE" w:rsidRDefault="00A531AE" w:rsidP="003A688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E4D5225" w14:textId="5274CCE2" w:rsidR="003A6881" w:rsidRPr="008A4417" w:rsidRDefault="003A6881" w:rsidP="003A6881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3A6881" w:rsidRPr="00CD7AD0" w14:paraId="6C0B07FF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9EF47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D367C" w14:textId="5826816B" w:rsidR="003A6881" w:rsidRDefault="003A6881" w:rsidP="003A6881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</w:t>
            </w:r>
            <w:r>
              <w:rPr>
                <w:b w:val="0"/>
              </w:rPr>
              <w:t>еляційний адміністративний суд;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>, вул.</w:t>
            </w:r>
            <w:r w:rsidR="00C0591B">
              <w:rPr>
                <w:b w:val="0"/>
                <w:color w:val="000000"/>
              </w:rPr>
              <w:t xml:space="preserve"> Левка Лук’яненка</w:t>
            </w:r>
            <w:r>
              <w:rPr>
                <w:b w:val="0"/>
                <w:color w:val="000000"/>
              </w:rPr>
              <w:t>, 23</w:t>
            </w:r>
          </w:p>
          <w:p w14:paraId="450FF5A8" w14:textId="600ECFA4" w:rsidR="003A6881" w:rsidRPr="00661E1A" w:rsidRDefault="00E0103F" w:rsidP="003A688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C0591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540D8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763D9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06</w:t>
            </w:r>
            <w:r w:rsidR="00C0591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січня</w:t>
            </w:r>
            <w:r w:rsidR="003A6881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 w:rsidR="00763D9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3A6881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10501A3B" w14:textId="77777777" w:rsidR="003A6881" w:rsidRPr="008A4417" w:rsidRDefault="003A6881" w:rsidP="003A6881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3A6881" w:rsidRPr="00CD7AD0" w14:paraId="5C3ABE2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EB52C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95CC8" w14:textId="77777777" w:rsidR="003A6881" w:rsidRPr="0002687C" w:rsidRDefault="003A6881" w:rsidP="003A6881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502951FA" w14:textId="77777777" w:rsidR="003A6881" w:rsidRPr="0002687C" w:rsidRDefault="003A6881" w:rsidP="003A6881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3A6881" w:rsidRPr="00EE6A4E" w14:paraId="6FFD20CC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EED29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3A6881" w:rsidRPr="00CD7AD0" w14:paraId="684D88B8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2952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0855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5AAE" w14:textId="77777777" w:rsidR="003A6881" w:rsidRPr="00770C50" w:rsidRDefault="003A6881" w:rsidP="003A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770C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Вища освіта ступеня не нижче молодшого бакалавра або бакалавра у галузі знань відповідного професійного спрямування.</w:t>
            </w:r>
          </w:p>
        </w:tc>
      </w:tr>
      <w:tr w:rsidR="003A6881" w:rsidRPr="00351F1F" w14:paraId="6B96BAD9" w14:textId="77777777" w:rsidTr="00770C50">
        <w:trPr>
          <w:trHeight w:val="24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EDF0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C3AB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226E" w14:textId="77777777" w:rsidR="003A6881" w:rsidRPr="00770C50" w:rsidRDefault="003A6881" w:rsidP="003A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770C50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Без досвіду роботи.</w:t>
            </w:r>
          </w:p>
        </w:tc>
      </w:tr>
      <w:tr w:rsidR="003A6881" w:rsidRPr="00CD7AD0" w14:paraId="65893A2C" w14:textId="77777777" w:rsidTr="00426CEC">
        <w:trPr>
          <w:trHeight w:val="1094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1A1C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60A4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93D76" w14:textId="77777777" w:rsidR="003A6881" w:rsidRPr="0002687C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02687C">
              <w:rPr>
                <w:rFonts w:ascii="Times New Roman" w:hAnsi="Times New Roman"/>
                <w:lang w:val="uk-UA"/>
              </w:rPr>
              <w:t xml:space="preserve">ільне володіння, що підтверджено державним сертифікатом про рівень володіння державою мовою </w:t>
            </w:r>
          </w:p>
          <w:p w14:paraId="42878F17" w14:textId="77777777" w:rsidR="003A6881" w:rsidRPr="0002687C" w:rsidRDefault="003A6881" w:rsidP="003A6881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3A6881" w:rsidRPr="00EE6A4E" w14:paraId="261F5E7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9B80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3A6881" w:rsidRPr="00EE6A4E" w14:paraId="5B0CAB90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789FE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A6CC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A6881" w:rsidRPr="00CD7AD0" w14:paraId="1BC75C3D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89C8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88A8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8E6A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A6881" w:rsidRPr="00CD7AD0" w14:paraId="3ABF6511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60EF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8352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Аналітичні</w:t>
            </w:r>
            <w:proofErr w:type="spellEnd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7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здібності</w:t>
            </w:r>
            <w:proofErr w:type="spellEnd"/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BBA1A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встановлювати причинно-наслідкові зв'язки;</w:t>
            </w:r>
            <w:r w:rsidRPr="00F33E02">
              <w:rPr>
                <w:rFonts w:ascii="Times New Roman" w:hAnsi="Times New Roman" w:cs="Times New Roman"/>
                <w:lang w:val="uk-UA"/>
              </w:rPr>
              <w:br/>
            </w:r>
            <w:r w:rsidRPr="00F33E0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A6881" w:rsidRPr="00CD7AD0" w14:paraId="0BB823B7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50D0C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7754" w14:textId="77777777" w:rsidR="003A6881" w:rsidRPr="00CB1B92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8F8E" w14:textId="77777777" w:rsidR="003A6881" w:rsidRPr="00CB1B92" w:rsidRDefault="003A6881" w:rsidP="003A6881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3A6881" w:rsidRPr="00CD7AD0" w14:paraId="7F5C9CE4" w14:textId="77777777" w:rsidTr="002F45A2">
        <w:trPr>
          <w:trHeight w:val="1455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DF46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5852" w14:textId="77777777" w:rsidR="003A6881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1E1A" w14:textId="77777777" w:rsidR="003A6881" w:rsidRPr="009F6277" w:rsidRDefault="003A6881" w:rsidP="003A6881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3A6881" w:rsidRPr="00CD7AD0" w14:paraId="67251B8E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C1AE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E496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B270E" w14:textId="77777777" w:rsidR="003A6881" w:rsidRPr="00DF4192" w:rsidRDefault="003A6881" w:rsidP="003A6881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7D4638BF" w14:textId="77777777" w:rsidR="003A6881" w:rsidRPr="00DF4192" w:rsidRDefault="003A6881" w:rsidP="003A68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09FBF079" w14:textId="77777777" w:rsidR="003A6881" w:rsidRPr="00DF4192" w:rsidRDefault="003A6881" w:rsidP="003A68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214519D1" w14:textId="77777777" w:rsidR="003A6881" w:rsidRPr="00DF4192" w:rsidRDefault="003A6881" w:rsidP="003A68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72FC21D1" w14:textId="77777777" w:rsidR="003A6881" w:rsidRPr="00DF4192" w:rsidRDefault="003A6881" w:rsidP="003A68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DAA4649" w14:textId="77777777" w:rsidR="003A6881" w:rsidRPr="00DF4192" w:rsidRDefault="003A6881" w:rsidP="003A688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18574600" w14:textId="77777777" w:rsidR="003A6881" w:rsidRPr="00DF4192" w:rsidRDefault="003A6881" w:rsidP="003A6881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A6881" w:rsidRPr="00EE6A4E" w14:paraId="0FFE3A4E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F0136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3A6881" w:rsidRPr="00EE6A4E" w14:paraId="02AEE558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72F7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4327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3A6881" w:rsidRPr="00CD7AD0" w14:paraId="3F7C1FF9" w14:textId="77777777" w:rsidTr="00426CEC">
        <w:trPr>
          <w:trHeight w:val="112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120F6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357D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2EF1F" w14:textId="77777777" w:rsidR="003A6881" w:rsidRPr="00F0784B" w:rsidRDefault="003A6881" w:rsidP="003A6881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Pr="00F33E02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F33E02">
              <w:rPr>
                <w:rFonts w:ascii="Times New Roman" w:eastAsia="Times New Roman" w:hAnsi="Times New Roman" w:cs="Times New Roman"/>
                <w:lang w:val="uk-UA"/>
              </w:rPr>
              <w:t>Закон України «Про електронні документи та електронний документообіг»;</w:t>
            </w:r>
            <w:r w:rsidRPr="00F33E02">
              <w:rPr>
                <w:rFonts w:ascii="Times New Roman" w:eastAsia="Times New Roman" w:hAnsi="Times New Roman" w:cs="Times New Roman"/>
                <w:lang w:val="uk-UA"/>
              </w:rPr>
              <w:br/>
              <w:t>- Закон України «Про електронні довірчі послуги».</w:t>
            </w:r>
          </w:p>
        </w:tc>
      </w:tr>
      <w:tr w:rsidR="003A6881" w:rsidRPr="00CD7AD0" w14:paraId="5AA1BE2A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77A4" w14:textId="77777777" w:rsidR="003A6881" w:rsidRPr="00EE6A4E" w:rsidRDefault="003A6881" w:rsidP="003A68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7C70" w14:textId="77777777" w:rsidR="003A6881" w:rsidRPr="00EE6A4E" w:rsidRDefault="003A6881" w:rsidP="003A68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8E74" w14:textId="77777777" w:rsidR="003A6881" w:rsidRPr="00775CEC" w:rsidRDefault="003A6881" w:rsidP="003A6881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67C8FA10" w14:textId="77777777" w:rsidR="003A6881" w:rsidRPr="00775CEC" w:rsidRDefault="003A6881" w:rsidP="003A6881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242E36D1" w14:textId="77777777" w:rsidR="003A6881" w:rsidRDefault="003A6881" w:rsidP="003A6881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BF9C532" w14:textId="77777777" w:rsidR="003A6881" w:rsidRPr="00066C38" w:rsidRDefault="003A6881" w:rsidP="003A6881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F76A3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щодо роботи з технічними засобами фіксування судового засідання</w:t>
            </w:r>
            <w:r w:rsidRPr="00F76A38">
              <w:rPr>
                <w:rFonts w:ascii="Times New Roman" w:hAnsi="Times New Roman" w:cs="Times New Roman"/>
                <w:lang w:val="uk-UA"/>
              </w:rPr>
              <w:t>, затвердженої наказом Державної судової ад</w:t>
            </w:r>
            <w:r>
              <w:rPr>
                <w:rFonts w:ascii="Times New Roman" w:hAnsi="Times New Roman" w:cs="Times New Roman"/>
                <w:lang w:val="uk-UA"/>
              </w:rPr>
              <w:t>міністрації України від 06 червня 2022 року №156;</w:t>
            </w:r>
          </w:p>
          <w:p w14:paraId="580EDDC3" w14:textId="77777777" w:rsidR="003A6881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296F20"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  <w:t>Положення</w:t>
            </w:r>
            <w:r w:rsidRPr="00296F20">
              <w:rPr>
                <w:rFonts w:ascii="Times New Roman" w:hAnsi="Times New Roman"/>
                <w:lang w:val="uk-UA"/>
              </w:rPr>
              <w:t xml:space="preserve"> </w:t>
            </w:r>
            <w:r w:rsidRPr="00296F20"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  <w:t>про порядок функціонування окремих підсистем (модулів) Єдиної судової інформаційно-телекомунікаційної системи</w:t>
            </w:r>
            <w:r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  <w:t>;</w:t>
            </w:r>
          </w:p>
          <w:p w14:paraId="4D5E706F" w14:textId="77777777" w:rsidR="003A6881" w:rsidRPr="00A472E7" w:rsidRDefault="003A6881" w:rsidP="003A6881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Pr="00F33E02">
              <w:rPr>
                <w:rFonts w:ascii="Times New Roman" w:hAnsi="Times New Roman"/>
                <w:lang w:val="uk-UA"/>
              </w:rPr>
              <w:t>Наказ Державної судово</w:t>
            </w:r>
            <w:r>
              <w:rPr>
                <w:rFonts w:ascii="Times New Roman" w:hAnsi="Times New Roman"/>
                <w:lang w:val="uk-UA"/>
              </w:rPr>
              <w:t>ї адміністрації від 15 листопада 2016</w:t>
            </w:r>
            <w:r w:rsidRPr="00F33E0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br/>
            </w:r>
            <w:r w:rsidRPr="00F33E02">
              <w:rPr>
                <w:rFonts w:ascii="Times New Roman" w:hAnsi="Times New Roman"/>
                <w:lang w:val="uk-UA"/>
              </w:rPr>
              <w:t>№ 230 «Про затвердження Положення про порядок використання ресурсів мережі Інтернет в ДСА України, територіальних управліннях ДСА України, місцевих та апеляційних судах, підприємствах, що входять до сфери управління ДСА України»;</w:t>
            </w:r>
          </w:p>
          <w:p w14:paraId="3B0C300F" w14:textId="77777777" w:rsidR="003A6881" w:rsidRDefault="003A6881" w:rsidP="003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 xml:space="preserve">- </w:t>
            </w:r>
            <w:r w:rsidRPr="00F33E02">
              <w:rPr>
                <w:rFonts w:ascii="Times New Roman" w:eastAsia="Times New Roman" w:hAnsi="Times New Roman" w:cs="Times New Roman"/>
                <w:lang w:val="uk-UA"/>
              </w:rPr>
              <w:t>Нормативні матеріали, які регламентують методи розробки алгоритмів і програм та використання обчислювальної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техніки при обробці інформації;</w:t>
            </w:r>
          </w:p>
          <w:p w14:paraId="5D9C9234" w14:textId="77777777" w:rsidR="003A6881" w:rsidRPr="0003615D" w:rsidRDefault="003A6881" w:rsidP="003A6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Інші кодекси та нормативно – правові акти.</w:t>
            </w:r>
          </w:p>
        </w:tc>
      </w:tr>
    </w:tbl>
    <w:p w14:paraId="0A0932F8" w14:textId="77777777" w:rsidR="00296F20" w:rsidRPr="00296F20" w:rsidRDefault="00296F20">
      <w:pPr>
        <w:rPr>
          <w:rFonts w:ascii="Times New Roman" w:hAnsi="Times New Roman" w:cs="Times New Roman"/>
          <w:lang w:val="uk-UA"/>
        </w:rPr>
      </w:pPr>
    </w:p>
    <w:sectPr w:rsidR="00296F20" w:rsidRPr="00296F20" w:rsidSect="00CD7AD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B351E8"/>
    <w:multiLevelType w:val="hybridMultilevel"/>
    <w:tmpl w:val="5532CFB4"/>
    <w:lvl w:ilvl="0" w:tplc="FA7296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3615D"/>
    <w:rsid w:val="000D6B6F"/>
    <w:rsid w:val="001010DF"/>
    <w:rsid w:val="00122469"/>
    <w:rsid w:val="0015607D"/>
    <w:rsid w:val="001F6589"/>
    <w:rsid w:val="00230739"/>
    <w:rsid w:val="00235F79"/>
    <w:rsid w:val="002805E8"/>
    <w:rsid w:val="00296F20"/>
    <w:rsid w:val="002B4C89"/>
    <w:rsid w:val="002F45A2"/>
    <w:rsid w:val="00351F1F"/>
    <w:rsid w:val="003577C2"/>
    <w:rsid w:val="003A6881"/>
    <w:rsid w:val="003E561C"/>
    <w:rsid w:val="003F5061"/>
    <w:rsid w:val="00426CEC"/>
    <w:rsid w:val="004908EE"/>
    <w:rsid w:val="004B58EC"/>
    <w:rsid w:val="004E3C9D"/>
    <w:rsid w:val="004F6052"/>
    <w:rsid w:val="00500F14"/>
    <w:rsid w:val="005012FF"/>
    <w:rsid w:val="00540D8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3D9C"/>
    <w:rsid w:val="007664F0"/>
    <w:rsid w:val="00770C5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1E42"/>
    <w:rsid w:val="009F5BFB"/>
    <w:rsid w:val="009F6277"/>
    <w:rsid w:val="00A531AE"/>
    <w:rsid w:val="00A7004E"/>
    <w:rsid w:val="00AA06BD"/>
    <w:rsid w:val="00AC3610"/>
    <w:rsid w:val="00B350D0"/>
    <w:rsid w:val="00B4007E"/>
    <w:rsid w:val="00B64A6C"/>
    <w:rsid w:val="00C0147D"/>
    <w:rsid w:val="00C0591B"/>
    <w:rsid w:val="00C111CA"/>
    <w:rsid w:val="00C94509"/>
    <w:rsid w:val="00CA1882"/>
    <w:rsid w:val="00CB1B92"/>
    <w:rsid w:val="00CD7AD0"/>
    <w:rsid w:val="00CE5742"/>
    <w:rsid w:val="00D73022"/>
    <w:rsid w:val="00D876FE"/>
    <w:rsid w:val="00DB4E76"/>
    <w:rsid w:val="00DF4192"/>
    <w:rsid w:val="00E0103F"/>
    <w:rsid w:val="00E33D89"/>
    <w:rsid w:val="00E43475"/>
    <w:rsid w:val="00E531B7"/>
    <w:rsid w:val="00E9457B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4705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2B25-E389-40BC-A542-6AFA4494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2024-12-27T10:47:00Z</cp:lastPrinted>
  <dcterms:created xsi:type="dcterms:W3CDTF">2024-12-27T10:31:00Z</dcterms:created>
  <dcterms:modified xsi:type="dcterms:W3CDTF">2024-12-27T10:48:00Z</dcterms:modified>
</cp:coreProperties>
</file>