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EE1" w:rsidRDefault="00FD5B42">
      <w:pPr>
        <w:pStyle w:val="3"/>
        <w:spacing w:before="280" w:after="280"/>
        <w:ind w:left="2124" w:firstLine="708"/>
        <w:rPr>
          <w:rFonts w:ascii="Arial Black" w:hAnsi="Arial Black"/>
          <w:lang w:val="uk-UA"/>
        </w:rPr>
      </w:pPr>
      <w:bookmarkStart w:id="0" w:name="_GoBack"/>
      <w:bookmarkEnd w:id="0"/>
      <w:proofErr w:type="spellStart"/>
      <w:r>
        <w:rPr>
          <w:rFonts w:ascii="Arial Black" w:hAnsi="Arial Black"/>
          <w:sz w:val="28"/>
          <w:szCs w:val="28"/>
        </w:rPr>
        <w:t>Інформація</w:t>
      </w:r>
      <w:proofErr w:type="spellEnd"/>
      <w:r>
        <w:rPr>
          <w:rFonts w:ascii="Arial Black" w:hAnsi="Arial Black"/>
          <w:sz w:val="28"/>
          <w:szCs w:val="28"/>
        </w:rPr>
        <w:t xml:space="preserve"> про </w:t>
      </w:r>
      <w:proofErr w:type="spellStart"/>
      <w:r>
        <w:rPr>
          <w:rFonts w:ascii="Arial Black" w:hAnsi="Arial Black"/>
          <w:sz w:val="28"/>
          <w:szCs w:val="28"/>
        </w:rPr>
        <w:t>виконання</w:t>
      </w:r>
      <w:proofErr w:type="spellEnd"/>
    </w:p>
    <w:p w:rsidR="00E66EE1" w:rsidRDefault="00FD5B42">
      <w:pPr>
        <w:pStyle w:val="3"/>
        <w:spacing w:before="280" w:after="280"/>
        <w:jc w:val="center"/>
        <w:rPr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  <w:lang w:val="uk-UA"/>
        </w:rPr>
        <w:t>Дніпровським апеляційним судом</w:t>
      </w:r>
    </w:p>
    <w:p w:rsidR="00E66EE1" w:rsidRDefault="00FD5B42">
      <w:pPr>
        <w:pStyle w:val="3"/>
        <w:spacing w:before="280" w:after="280"/>
        <w:jc w:val="center"/>
        <w:rPr>
          <w:rFonts w:ascii="Arial Black" w:hAnsi="Arial Black"/>
          <w:lang w:val="uk-UA"/>
        </w:rPr>
      </w:pPr>
      <w:r>
        <w:rPr>
          <w:rFonts w:ascii="Arial Black" w:hAnsi="Arial Black"/>
          <w:sz w:val="28"/>
          <w:szCs w:val="28"/>
          <w:lang w:val="uk-UA"/>
        </w:rPr>
        <w:t xml:space="preserve">    З</w:t>
      </w:r>
      <w:r>
        <w:rPr>
          <w:rFonts w:ascii="Arial Black" w:hAnsi="Arial Black"/>
          <w:sz w:val="28"/>
          <w:szCs w:val="28"/>
        </w:rPr>
        <w:t xml:space="preserve">акону </w:t>
      </w:r>
      <w:proofErr w:type="spellStart"/>
      <w:r>
        <w:rPr>
          <w:rFonts w:ascii="Arial Black" w:hAnsi="Arial Black"/>
          <w:sz w:val="28"/>
          <w:szCs w:val="28"/>
        </w:rPr>
        <w:t>України</w:t>
      </w:r>
      <w:proofErr w:type="spellEnd"/>
      <w:r>
        <w:rPr>
          <w:rFonts w:ascii="Arial Black" w:hAnsi="Arial Black"/>
          <w:sz w:val="28"/>
          <w:szCs w:val="28"/>
        </w:rPr>
        <w:t xml:space="preserve"> «Про доступ до </w:t>
      </w:r>
      <w:proofErr w:type="spellStart"/>
      <w:r>
        <w:rPr>
          <w:rFonts w:ascii="Arial Black" w:hAnsi="Arial Black"/>
          <w:sz w:val="28"/>
          <w:szCs w:val="28"/>
        </w:rPr>
        <w:t>публічної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інформації</w:t>
      </w:r>
      <w:proofErr w:type="spellEnd"/>
      <w:r>
        <w:rPr>
          <w:rFonts w:ascii="Arial Black" w:hAnsi="Arial Black"/>
          <w:sz w:val="28"/>
          <w:szCs w:val="28"/>
        </w:rPr>
        <w:t xml:space="preserve">» </w:t>
      </w:r>
    </w:p>
    <w:p w:rsidR="00E66EE1" w:rsidRDefault="00FD5B42">
      <w:pPr>
        <w:pStyle w:val="3"/>
        <w:spacing w:before="280" w:after="280"/>
        <w:jc w:val="center"/>
      </w:pPr>
      <w:r>
        <w:rPr>
          <w:rFonts w:ascii="Arial Black" w:hAnsi="Arial Black"/>
          <w:sz w:val="28"/>
          <w:szCs w:val="28"/>
        </w:rPr>
        <w:t xml:space="preserve"> у</w:t>
      </w:r>
      <w:r>
        <w:rPr>
          <w:rFonts w:ascii="Arial Black" w:hAnsi="Arial Black"/>
          <w:sz w:val="28"/>
          <w:szCs w:val="28"/>
          <w:lang w:val="uk-UA"/>
        </w:rPr>
        <w:t xml:space="preserve"> березні </w:t>
      </w:r>
      <w:r>
        <w:rPr>
          <w:rFonts w:ascii="Arial Black" w:hAnsi="Arial Black"/>
          <w:sz w:val="28"/>
          <w:szCs w:val="28"/>
        </w:rPr>
        <w:t>20</w:t>
      </w:r>
      <w:r>
        <w:rPr>
          <w:rFonts w:ascii="Arial Black" w:hAnsi="Arial Black"/>
          <w:sz w:val="28"/>
          <w:szCs w:val="28"/>
          <w:lang w:val="uk-UA"/>
        </w:rPr>
        <w:t>25</w:t>
      </w:r>
      <w:r>
        <w:rPr>
          <w:rFonts w:ascii="Arial Black" w:hAnsi="Arial Black"/>
          <w:sz w:val="28"/>
          <w:szCs w:val="28"/>
        </w:rPr>
        <w:t xml:space="preserve"> року</w:t>
      </w:r>
    </w:p>
    <w:p w:rsidR="00E66EE1" w:rsidRDefault="00E66EE1">
      <w:pPr>
        <w:pStyle w:val="3"/>
        <w:spacing w:before="280" w:after="280"/>
        <w:jc w:val="center"/>
        <w:rPr>
          <w:rFonts w:ascii="Arial Black" w:hAnsi="Arial Black"/>
          <w:sz w:val="28"/>
          <w:szCs w:val="28"/>
        </w:rPr>
      </w:pPr>
    </w:p>
    <w:p w:rsidR="00E66EE1" w:rsidRDefault="00FD5B42">
      <w:pPr>
        <w:pStyle w:val="aa"/>
        <w:spacing w:before="280" w:after="280"/>
        <w:ind w:firstLine="720"/>
        <w:jc w:val="both"/>
      </w:pPr>
      <w:r>
        <w:rPr>
          <w:sz w:val="28"/>
          <w:szCs w:val="28"/>
          <w:lang w:val="uk-UA"/>
        </w:rPr>
        <w:t>У березні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rStyle w:val="a3"/>
          <w:b w:val="0"/>
          <w:bCs w:val="0"/>
          <w:color w:val="1C1C1C"/>
          <w:sz w:val="28"/>
          <w:szCs w:val="28"/>
          <w:lang w:val="uk-UA"/>
        </w:rPr>
        <w:t>2025 року</w:t>
      </w:r>
      <w:r>
        <w:rPr>
          <w:color w:val="1C1C1C"/>
          <w:sz w:val="28"/>
          <w:szCs w:val="28"/>
          <w:lang w:val="uk-UA"/>
        </w:rPr>
        <w:t xml:space="preserve"> до Дніпровського апеляційного суду (далі – Апеляційний суд) у порядку, передбаченому Законом України «Про доступ до публічної інформації” надійшло </w:t>
      </w:r>
      <w:r>
        <w:rPr>
          <w:b/>
          <w:bCs/>
          <w:color w:val="1C1C1C"/>
          <w:sz w:val="28"/>
          <w:szCs w:val="28"/>
          <w:lang w:val="uk-UA"/>
        </w:rPr>
        <w:t xml:space="preserve">5 </w:t>
      </w:r>
      <w:r>
        <w:rPr>
          <w:color w:val="1C1C1C"/>
          <w:sz w:val="28"/>
          <w:szCs w:val="28"/>
          <w:lang w:val="uk-UA"/>
        </w:rPr>
        <w:t>запитів на отримання публічної інформації:  електронною поштою —</w:t>
      </w:r>
      <w:r>
        <w:rPr>
          <w:b/>
          <w:bCs/>
          <w:color w:val="1C1C1C"/>
          <w:sz w:val="28"/>
          <w:szCs w:val="28"/>
          <w:lang w:val="uk-UA"/>
        </w:rPr>
        <w:t xml:space="preserve"> 4</w:t>
      </w:r>
      <w:r>
        <w:rPr>
          <w:color w:val="1C1C1C"/>
          <w:sz w:val="28"/>
          <w:szCs w:val="28"/>
          <w:lang w:val="uk-UA"/>
        </w:rPr>
        <w:t xml:space="preserve">, поштою - </w:t>
      </w:r>
      <w:r>
        <w:rPr>
          <w:b/>
          <w:bCs/>
          <w:color w:val="1C1C1C"/>
          <w:sz w:val="28"/>
          <w:szCs w:val="28"/>
          <w:lang w:val="uk-UA"/>
        </w:rPr>
        <w:t>1</w:t>
      </w:r>
      <w:r>
        <w:rPr>
          <w:color w:val="1C1C1C"/>
          <w:sz w:val="28"/>
          <w:szCs w:val="28"/>
          <w:lang w:val="uk-UA"/>
        </w:rPr>
        <w:t xml:space="preserve">. 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Всі</w:t>
      </w:r>
      <w:r>
        <w:rPr>
          <w:b/>
          <w:bCs/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>запити на отримання п</w:t>
      </w:r>
      <w:r>
        <w:rPr>
          <w:color w:val="1C1C1C"/>
          <w:sz w:val="28"/>
          <w:szCs w:val="28"/>
          <w:lang w:val="uk-UA"/>
        </w:rPr>
        <w:t xml:space="preserve">ублічної інформації опрацьовано та розглянуто у встановлений п’ятиденний термін. Розглянуто </w:t>
      </w:r>
      <w:r>
        <w:rPr>
          <w:b/>
          <w:bCs/>
          <w:color w:val="1C1C1C"/>
          <w:sz w:val="28"/>
          <w:szCs w:val="28"/>
          <w:lang w:val="uk-UA"/>
        </w:rPr>
        <w:t xml:space="preserve">5 </w:t>
      </w:r>
      <w:r>
        <w:rPr>
          <w:color w:val="1C1C1C"/>
          <w:sz w:val="28"/>
          <w:szCs w:val="28"/>
          <w:lang w:val="uk-UA"/>
        </w:rPr>
        <w:t>запитів, по яким продовжено строк розгляду.</w:t>
      </w:r>
    </w:p>
    <w:p w:rsidR="00E66EE1" w:rsidRDefault="00FD5B42">
      <w:pPr>
        <w:pStyle w:val="aa"/>
        <w:spacing w:before="280" w:after="28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ab/>
      </w:r>
      <w:r>
        <w:rPr>
          <w:color w:val="1C1C1C"/>
          <w:sz w:val="28"/>
          <w:szCs w:val="28"/>
          <w:lang w:val="uk-UA"/>
        </w:rPr>
        <w:t>Питання, порушені у запитах про доступ до публічної інформації: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службового житла;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 xml:space="preserve">- щодо закордонних </w:t>
      </w:r>
      <w:proofErr w:type="spellStart"/>
      <w:r>
        <w:rPr>
          <w:color w:val="1C1C1C"/>
          <w:sz w:val="28"/>
          <w:szCs w:val="28"/>
          <w:lang w:val="uk-UA"/>
        </w:rPr>
        <w:t>відряджен</w:t>
      </w:r>
      <w:r>
        <w:rPr>
          <w:color w:val="1C1C1C"/>
          <w:sz w:val="28"/>
          <w:szCs w:val="28"/>
          <w:lang w:val="uk-UA"/>
        </w:rPr>
        <w:t>ь</w:t>
      </w:r>
      <w:proofErr w:type="spellEnd"/>
      <w:r>
        <w:rPr>
          <w:color w:val="1C1C1C"/>
          <w:sz w:val="28"/>
          <w:szCs w:val="28"/>
          <w:lang w:val="uk-UA"/>
        </w:rPr>
        <w:t xml:space="preserve"> суддів;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суддів, увільнених від здійснення судочинства у зв’язку з проходженням військової служби;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посад осіб, відповідальних за внесення РНОКПП фізичних осіб та ЄДРПОУ юридичних осіб до відомостей про учасників судових справ;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судді Д</w:t>
      </w:r>
      <w:r>
        <w:rPr>
          <w:color w:val="1C1C1C"/>
          <w:sz w:val="28"/>
          <w:szCs w:val="28"/>
          <w:lang w:val="uk-UA"/>
        </w:rPr>
        <w:t>ніпропетровського обласного суду:</w:t>
      </w:r>
    </w:p>
    <w:p w:rsidR="00E66EE1" w:rsidRDefault="00FD5B42">
      <w:pPr>
        <w:pStyle w:val="aa"/>
        <w:spacing w:before="280" w:after="280"/>
        <w:ind w:firstLine="720"/>
        <w:jc w:val="both"/>
        <w:rPr>
          <w:color w:val="1C1C1C"/>
        </w:rPr>
      </w:pPr>
      <w:r>
        <w:rPr>
          <w:color w:val="1C1C1C"/>
          <w:sz w:val="28"/>
          <w:szCs w:val="28"/>
          <w:lang w:val="uk-UA"/>
        </w:rPr>
        <w:t>- щодо присяги та копії посвідчень державних службовців та інше.</w:t>
      </w:r>
    </w:p>
    <w:p w:rsidR="00E66EE1" w:rsidRDefault="00FD5B42">
      <w:pPr>
        <w:pStyle w:val="aa"/>
        <w:spacing w:before="280" w:after="280"/>
        <w:jc w:val="both"/>
      </w:pPr>
      <w:r>
        <w:tab/>
      </w:r>
      <w:r>
        <w:rPr>
          <w:rStyle w:val="a4"/>
          <w:i w:val="0"/>
          <w:iCs w:val="0"/>
          <w:color w:val="1C1C1C"/>
          <w:sz w:val="28"/>
          <w:szCs w:val="28"/>
          <w:lang w:val="uk-UA"/>
        </w:rPr>
        <w:t>Крім того, в</w:t>
      </w:r>
      <w:r>
        <w:rPr>
          <w:color w:val="1C1C1C"/>
          <w:sz w:val="28"/>
          <w:szCs w:val="28"/>
          <w:lang w:val="uk-UA"/>
        </w:rPr>
        <w:t>ідділом документообігу та організаційного забезпечення (канцелярія суду)  задоволено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b/>
          <w:bCs/>
          <w:color w:val="1C1C1C"/>
          <w:sz w:val="28"/>
          <w:szCs w:val="28"/>
          <w:lang w:val="uk-UA"/>
        </w:rPr>
        <w:t>238</w:t>
      </w:r>
      <w:r>
        <w:rPr>
          <w:color w:val="FF4000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усних запитів на інформацію в телефонному режимі. </w:t>
      </w:r>
    </w:p>
    <w:p w:rsidR="00E66EE1" w:rsidRDefault="00FD5B42">
      <w:pPr>
        <w:pStyle w:val="aa"/>
        <w:spacing w:before="280" w:after="280"/>
        <w:jc w:val="both"/>
      </w:pPr>
      <w:r>
        <w:rPr>
          <w:color w:val="1C1C1C"/>
          <w:sz w:val="28"/>
          <w:szCs w:val="28"/>
          <w:lang w:val="uk-UA"/>
        </w:rPr>
        <w:tab/>
        <w:t xml:space="preserve"> </w:t>
      </w:r>
    </w:p>
    <w:p w:rsidR="00E66EE1" w:rsidRDefault="00E66EE1">
      <w:pPr>
        <w:pStyle w:val="aa"/>
        <w:spacing w:before="280" w:after="280"/>
        <w:jc w:val="both"/>
        <w:rPr>
          <w:color w:val="1C1C1C"/>
          <w:sz w:val="28"/>
          <w:szCs w:val="28"/>
          <w:lang w:val="uk-UA"/>
        </w:rPr>
      </w:pPr>
    </w:p>
    <w:p w:rsidR="00E66EE1" w:rsidRDefault="00E66EE1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E66EE1" w:rsidRDefault="00E66EE1">
      <w:pPr>
        <w:pStyle w:val="aa"/>
        <w:spacing w:before="280" w:after="280"/>
        <w:ind w:firstLine="720"/>
        <w:jc w:val="both"/>
        <w:rPr>
          <w:color w:val="EF413D"/>
          <w:sz w:val="28"/>
          <w:szCs w:val="28"/>
          <w:lang w:val="uk-UA"/>
        </w:rPr>
      </w:pPr>
    </w:p>
    <w:p w:rsidR="00E66EE1" w:rsidRDefault="00E66EE1">
      <w:pPr>
        <w:ind w:firstLine="708"/>
        <w:jc w:val="both"/>
        <w:rPr>
          <w:rStyle w:val="a4"/>
          <w:color w:val="EF413D"/>
        </w:rPr>
      </w:pPr>
    </w:p>
    <w:p w:rsidR="00E66EE1" w:rsidRDefault="00E66EE1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E66EE1" w:rsidRDefault="00E66EE1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E66EE1" w:rsidRDefault="00E66EE1">
      <w:pPr>
        <w:jc w:val="both"/>
        <w:rPr>
          <w:color w:val="EF413D"/>
          <w:sz w:val="28"/>
          <w:szCs w:val="28"/>
          <w:lang w:val="uk-UA"/>
        </w:rPr>
      </w:pPr>
    </w:p>
    <w:p w:rsidR="00E66EE1" w:rsidRDefault="00E66EE1">
      <w:pPr>
        <w:ind w:firstLine="708"/>
        <w:jc w:val="both"/>
        <w:rPr>
          <w:color w:val="EF413D"/>
          <w:sz w:val="28"/>
          <w:szCs w:val="28"/>
          <w:lang w:val="uk-UA"/>
        </w:rPr>
      </w:pPr>
    </w:p>
    <w:p w:rsidR="00E66EE1" w:rsidRDefault="00FD5B42">
      <w:pPr>
        <w:jc w:val="both"/>
        <w:rPr>
          <w:color w:val="EF413D"/>
        </w:rPr>
      </w:pPr>
      <w:r>
        <w:rPr>
          <w:color w:val="EF413D"/>
          <w:sz w:val="28"/>
          <w:szCs w:val="28"/>
          <w:lang w:val="uk-UA"/>
        </w:rPr>
        <w:t xml:space="preserve"> </w:t>
      </w:r>
    </w:p>
    <w:p w:rsidR="00E66EE1" w:rsidRDefault="00E66EE1">
      <w:pPr>
        <w:pStyle w:val="aa"/>
        <w:spacing w:before="280" w:after="280"/>
        <w:ind w:firstLine="720"/>
        <w:jc w:val="both"/>
        <w:rPr>
          <w:color w:val="EF413D"/>
          <w:sz w:val="27"/>
          <w:szCs w:val="27"/>
          <w:lang w:val="uk-UA"/>
        </w:rPr>
      </w:pPr>
    </w:p>
    <w:p w:rsidR="00E66EE1" w:rsidRDefault="00E66EE1">
      <w:pPr>
        <w:pStyle w:val="aa"/>
        <w:spacing w:before="280" w:after="280"/>
        <w:jc w:val="both"/>
      </w:pPr>
    </w:p>
    <w:sectPr w:rsidR="00E66EE1">
      <w:pgSz w:w="11906" w:h="16838"/>
      <w:pgMar w:top="1134" w:right="746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E1"/>
    <w:rsid w:val="00E66EE1"/>
    <w:rsid w:val="00F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C2E8-59E7-44A3-9BB8-8803328B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F8"/>
    <w:rPr>
      <w:color w:val="00000A"/>
      <w:sz w:val="24"/>
      <w:szCs w:val="24"/>
    </w:rPr>
  </w:style>
  <w:style w:type="paragraph" w:styleId="3">
    <w:name w:val="heading 3"/>
    <w:basedOn w:val="a"/>
    <w:uiPriority w:val="99"/>
    <w:qFormat/>
    <w:rsid w:val="00DD7BE7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9"/>
    <w:semiHidden/>
    <w:qFormat/>
    <w:locked/>
    <w:rsid w:val="002C709C"/>
    <w:rPr>
      <w:rFonts w:ascii="Cambria" w:hAnsi="Cambria" w:cs="Times New Roman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DD7BE7"/>
    <w:rPr>
      <w:rFonts w:cs="Times New Roman"/>
      <w:b/>
      <w:bCs/>
    </w:rPr>
  </w:style>
  <w:style w:type="character" w:customStyle="1" w:styleId="InternetLink">
    <w:name w:val="Internet Link"/>
    <w:basedOn w:val="a0"/>
    <w:uiPriority w:val="99"/>
    <w:qFormat/>
    <w:rsid w:val="007C6730"/>
    <w:rPr>
      <w:rFonts w:ascii="Tahoma" w:hAnsi="Tahoma" w:cs="Tahoma"/>
      <w:color w:val="330000"/>
      <w:sz w:val="17"/>
      <w:szCs w:val="17"/>
      <w:u w:val="single"/>
    </w:rPr>
  </w:style>
  <w:style w:type="character" w:styleId="a4">
    <w:name w:val="Emphasis"/>
    <w:basedOn w:val="a0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qFormat/>
    <w:rsid w:val="00DD7BE7"/>
    <w:pPr>
      <w:spacing w:beforeAutospacing="1" w:afterAutospacing="1"/>
    </w:p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433</Characters>
  <Application>Microsoft Office Word</Application>
  <DocSecurity>0</DocSecurity>
  <Lines>3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</dc:title>
  <dc:subject/>
  <dc:creator>Андрей</dc:creator>
  <dc:description/>
  <cp:lastModifiedBy>User</cp:lastModifiedBy>
  <cp:revision>2</cp:revision>
  <cp:lastPrinted>2025-04-14T15:40:00Z</cp:lastPrinted>
  <dcterms:created xsi:type="dcterms:W3CDTF">2025-04-15T06:59:00Z</dcterms:created>
  <dcterms:modified xsi:type="dcterms:W3CDTF">2025-04-15T06:59:00Z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