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73" w:rsidRDefault="00A86573" w:rsidP="00A86573">
      <w:pPr>
        <w:rPr>
          <w:bCs/>
          <w:lang w:val="ru-RU"/>
        </w:rPr>
      </w:pPr>
    </w:p>
    <w:p w:rsidR="00F66469" w:rsidRPr="00677E36" w:rsidRDefault="00F66469" w:rsidP="009C21EE">
      <w:pPr>
        <w:rPr>
          <w:bCs/>
          <w:lang w:val="ru-RU"/>
        </w:rPr>
      </w:pPr>
    </w:p>
    <w:p w:rsidR="009C21EE" w:rsidRPr="00150DA5" w:rsidRDefault="009C21EE" w:rsidP="009C21EE">
      <w:pPr>
        <w:ind w:firstLine="708"/>
        <w:jc w:val="center"/>
        <w:rPr>
          <w:b/>
          <w:bCs/>
          <w:lang w:val="ru-RU"/>
        </w:rPr>
      </w:pPr>
      <w:proofErr w:type="spellStart"/>
      <w:r w:rsidRPr="00150DA5">
        <w:rPr>
          <w:b/>
          <w:bCs/>
          <w:lang w:val="ru-RU"/>
        </w:rPr>
        <w:t>Огляд</w:t>
      </w:r>
      <w:proofErr w:type="spellEnd"/>
      <w:r w:rsidRPr="00150DA5">
        <w:rPr>
          <w:b/>
          <w:bCs/>
          <w:lang w:val="ru-RU"/>
        </w:rPr>
        <w:t xml:space="preserve"> </w:t>
      </w:r>
      <w:proofErr w:type="spellStart"/>
      <w:proofErr w:type="gramStart"/>
      <w:r w:rsidRPr="00150DA5">
        <w:rPr>
          <w:b/>
          <w:bCs/>
          <w:lang w:val="ru-RU"/>
        </w:rPr>
        <w:t>обл</w:t>
      </w:r>
      <w:proofErr w:type="gramEnd"/>
      <w:r w:rsidRPr="00150DA5">
        <w:rPr>
          <w:b/>
          <w:bCs/>
          <w:lang w:val="ru-RU"/>
        </w:rPr>
        <w:t>іково-статистичної</w:t>
      </w:r>
      <w:proofErr w:type="spellEnd"/>
      <w:r w:rsidRPr="00150DA5">
        <w:rPr>
          <w:b/>
          <w:bCs/>
          <w:lang w:val="ru-RU"/>
        </w:rPr>
        <w:t xml:space="preserve"> </w:t>
      </w:r>
      <w:proofErr w:type="spellStart"/>
      <w:r w:rsidRPr="00150DA5">
        <w:rPr>
          <w:b/>
          <w:bCs/>
          <w:lang w:val="ru-RU"/>
        </w:rPr>
        <w:t>роботи</w:t>
      </w:r>
      <w:proofErr w:type="spellEnd"/>
      <w:r w:rsidRPr="00150DA5">
        <w:rPr>
          <w:b/>
          <w:bCs/>
          <w:lang w:val="ru-RU"/>
        </w:rPr>
        <w:t xml:space="preserve"> у</w:t>
      </w:r>
    </w:p>
    <w:p w:rsidR="009C21EE" w:rsidRPr="00150DA5" w:rsidRDefault="009C21EE" w:rsidP="009C21EE">
      <w:pPr>
        <w:ind w:firstLine="708"/>
        <w:jc w:val="center"/>
        <w:rPr>
          <w:b/>
          <w:bCs/>
          <w:lang w:val="ru-RU"/>
        </w:rPr>
      </w:pPr>
      <w:proofErr w:type="spellStart"/>
      <w:r w:rsidRPr="00150DA5">
        <w:rPr>
          <w:b/>
          <w:bCs/>
          <w:lang w:val="ru-RU"/>
        </w:rPr>
        <w:t>Дергачівському</w:t>
      </w:r>
      <w:proofErr w:type="spellEnd"/>
      <w:r w:rsidRPr="00150DA5">
        <w:rPr>
          <w:b/>
          <w:bCs/>
          <w:lang w:val="ru-RU"/>
        </w:rPr>
        <w:t xml:space="preserve"> районному</w:t>
      </w:r>
      <w:r w:rsidR="005C182A">
        <w:rPr>
          <w:b/>
          <w:bCs/>
          <w:lang w:val="ru-RU"/>
        </w:rPr>
        <w:t xml:space="preserve"> </w:t>
      </w:r>
      <w:proofErr w:type="spellStart"/>
      <w:r w:rsidR="005C182A">
        <w:rPr>
          <w:b/>
          <w:bCs/>
          <w:lang w:val="ru-RU"/>
        </w:rPr>
        <w:t>суді</w:t>
      </w:r>
      <w:proofErr w:type="spellEnd"/>
      <w:r w:rsidR="005C182A">
        <w:rPr>
          <w:b/>
          <w:bCs/>
          <w:lang w:val="ru-RU"/>
        </w:rPr>
        <w:t xml:space="preserve"> </w:t>
      </w:r>
      <w:proofErr w:type="spellStart"/>
      <w:r w:rsidR="005C182A">
        <w:rPr>
          <w:b/>
          <w:bCs/>
          <w:lang w:val="ru-RU"/>
        </w:rPr>
        <w:t>Харківської</w:t>
      </w:r>
      <w:proofErr w:type="spellEnd"/>
      <w:r w:rsidR="005C182A">
        <w:rPr>
          <w:b/>
          <w:bCs/>
          <w:lang w:val="ru-RU"/>
        </w:rPr>
        <w:t xml:space="preserve"> </w:t>
      </w:r>
      <w:proofErr w:type="spellStart"/>
      <w:r w:rsidR="005C182A">
        <w:rPr>
          <w:b/>
          <w:bCs/>
          <w:lang w:val="ru-RU"/>
        </w:rPr>
        <w:t>області</w:t>
      </w:r>
      <w:proofErr w:type="spellEnd"/>
      <w:r w:rsidR="005C182A">
        <w:rPr>
          <w:b/>
          <w:bCs/>
          <w:lang w:val="ru-RU"/>
        </w:rPr>
        <w:t xml:space="preserve"> за 202</w:t>
      </w:r>
      <w:r w:rsidR="00847A4E">
        <w:rPr>
          <w:b/>
          <w:bCs/>
          <w:lang w:val="ru-RU"/>
        </w:rPr>
        <w:t>5</w:t>
      </w:r>
      <w:r w:rsidRPr="00150DA5">
        <w:rPr>
          <w:b/>
          <w:bCs/>
          <w:lang w:val="ru-RU"/>
        </w:rPr>
        <w:t xml:space="preserve"> </w:t>
      </w:r>
      <w:proofErr w:type="spellStart"/>
      <w:proofErr w:type="gramStart"/>
      <w:r w:rsidRPr="00150DA5">
        <w:rPr>
          <w:b/>
          <w:bCs/>
          <w:lang w:val="ru-RU"/>
        </w:rPr>
        <w:t>р</w:t>
      </w:r>
      <w:proofErr w:type="gramEnd"/>
      <w:r w:rsidRPr="00150DA5">
        <w:rPr>
          <w:b/>
          <w:bCs/>
          <w:lang w:val="ru-RU"/>
        </w:rPr>
        <w:t>ік</w:t>
      </w:r>
      <w:proofErr w:type="spellEnd"/>
    </w:p>
    <w:p w:rsidR="009C21EE" w:rsidRPr="00677E36" w:rsidRDefault="009C21EE" w:rsidP="009C21EE">
      <w:pPr>
        <w:rPr>
          <w:b/>
          <w:bCs/>
          <w:lang w:val="ru-RU"/>
        </w:rPr>
      </w:pPr>
    </w:p>
    <w:p w:rsidR="00F66469" w:rsidRPr="00677E36" w:rsidRDefault="00F66469" w:rsidP="009C21EE">
      <w:pPr>
        <w:rPr>
          <w:b/>
          <w:bCs/>
          <w:lang w:val="ru-RU"/>
        </w:rPr>
      </w:pPr>
    </w:p>
    <w:p w:rsidR="005F422D" w:rsidRPr="005F422D" w:rsidRDefault="009C21EE" w:rsidP="005F422D">
      <w:pPr>
        <w:pStyle w:val="a7"/>
      </w:pPr>
      <w:r w:rsidRPr="004223E0">
        <w:tab/>
        <w:t>Аналіз</w:t>
      </w:r>
      <w:r w:rsidR="005C182A">
        <w:t xml:space="preserve"> </w:t>
      </w:r>
      <w:r w:rsidR="00207525">
        <w:t>даних судової статистики за 202</w:t>
      </w:r>
      <w:r w:rsidR="00847A4E">
        <w:t>5</w:t>
      </w:r>
      <w:r w:rsidRPr="004223E0">
        <w:t xml:space="preserve"> рік у </w:t>
      </w:r>
      <w:proofErr w:type="spellStart"/>
      <w:r w:rsidRPr="004223E0">
        <w:t>Дергачівському</w:t>
      </w:r>
      <w:proofErr w:type="spellEnd"/>
      <w:r w:rsidRPr="004223E0">
        <w:t xml:space="preserve"> районному суді Харківської області проведено з метою визначення стану роботи суду по здійсненню правосуддя. При його опрацюванні було вик</w:t>
      </w:r>
      <w:r w:rsidR="00F16A0C">
        <w:t xml:space="preserve">ористано звіти про роботу за </w:t>
      </w:r>
      <w:r w:rsidRPr="004223E0">
        <w:t xml:space="preserve"> 20</w:t>
      </w:r>
      <w:r w:rsidR="00207525">
        <w:t>2</w:t>
      </w:r>
      <w:r w:rsidR="00847A4E">
        <w:t>4</w:t>
      </w:r>
      <w:r w:rsidR="00F16A0C">
        <w:t xml:space="preserve"> та 202</w:t>
      </w:r>
      <w:r w:rsidR="00847A4E">
        <w:t>5</w:t>
      </w:r>
      <w:r w:rsidRPr="004223E0">
        <w:t xml:space="preserve"> роки.</w:t>
      </w:r>
      <w:r w:rsidRPr="004223E0">
        <w:tab/>
      </w:r>
      <w:r w:rsidRPr="00E86B4D">
        <w:t>У 20</w:t>
      </w:r>
      <w:r w:rsidR="003C0FCD" w:rsidRPr="00E86B4D">
        <w:t>2</w:t>
      </w:r>
      <w:r w:rsidR="00847A4E" w:rsidRPr="00E86B4D">
        <w:t>5</w:t>
      </w:r>
      <w:r w:rsidRPr="00E86B4D">
        <w:t xml:space="preserve"> році </w:t>
      </w:r>
      <w:r w:rsidRPr="00E86B4D">
        <w:rPr>
          <w:bCs/>
          <w:iCs/>
        </w:rPr>
        <w:t xml:space="preserve">загальні показники здійснення </w:t>
      </w:r>
      <w:r w:rsidR="003C0FCD" w:rsidRPr="00E86B4D">
        <w:rPr>
          <w:bCs/>
          <w:iCs/>
        </w:rPr>
        <w:t xml:space="preserve">судочинства </w:t>
      </w:r>
      <w:r w:rsidRPr="00E86B4D">
        <w:t xml:space="preserve">суддями Дергачівського районного суду Харківської області </w:t>
      </w:r>
      <w:r w:rsidR="00E15940" w:rsidRPr="00E86B4D">
        <w:t>не</w:t>
      </w:r>
      <w:r w:rsidR="00C05C0E" w:rsidRPr="00E86B4D">
        <w:t xml:space="preserve">суттєво </w:t>
      </w:r>
      <w:r w:rsidR="00F16A0C" w:rsidRPr="00E86B4D">
        <w:t>з</w:t>
      </w:r>
      <w:r w:rsidR="00E15940" w:rsidRPr="00E86B4D">
        <w:t>меншились</w:t>
      </w:r>
      <w:r w:rsidR="005F422D">
        <w:t xml:space="preserve"> за рахунок зменшення показника надходження заяв наказного провадження; </w:t>
      </w:r>
      <w:r w:rsidR="00E86B4D">
        <w:t>показники здійснення судочинства по кримінальних провадженнях</w:t>
      </w:r>
      <w:r w:rsidR="005F422D">
        <w:t>, цивільних справах позовного та окремого провадження та адміністративних справах</w:t>
      </w:r>
      <w:r w:rsidR="00E86B4D">
        <w:t xml:space="preserve"> суттєво збільшились</w:t>
      </w:r>
      <w:r w:rsidR="00C05C0E" w:rsidRPr="00595C5C">
        <w:t xml:space="preserve"> </w:t>
      </w:r>
      <w:r w:rsidR="00E86B4D" w:rsidRPr="00E86B4D">
        <w:t xml:space="preserve">в порівнянні з 2024 </w:t>
      </w:r>
      <w:r w:rsidR="00E86B4D" w:rsidRPr="005F422D">
        <w:t>роком</w:t>
      </w:r>
      <w:r w:rsidR="005F422D" w:rsidRPr="005F422D">
        <w:t>.</w:t>
      </w:r>
    </w:p>
    <w:p w:rsidR="00C05C0E" w:rsidRPr="00595C5C" w:rsidRDefault="005F422D" w:rsidP="009C21EE">
      <w:pPr>
        <w:pStyle w:val="a7"/>
      </w:pPr>
      <w:r>
        <w:t xml:space="preserve"> </w:t>
      </w:r>
    </w:p>
    <w:p w:rsidR="0019766F" w:rsidRDefault="0019766F" w:rsidP="0019766F">
      <w:pPr>
        <w:pStyle w:val="21"/>
        <w:spacing w:after="0" w:line="276" w:lineRule="auto"/>
        <w:ind w:left="0" w:firstLine="708"/>
        <w:jc w:val="both"/>
        <w:rPr>
          <w:lang w:val="ru-RU"/>
        </w:rPr>
      </w:pPr>
      <w:r>
        <w:rPr>
          <w:bCs/>
          <w:iCs/>
          <w:lang w:val="uk-UA"/>
        </w:rPr>
        <w:t>Р</w:t>
      </w:r>
      <w:r w:rsidRPr="00E745CB">
        <w:rPr>
          <w:bCs/>
          <w:iCs/>
          <w:lang w:val="uk-UA"/>
        </w:rPr>
        <w:t xml:space="preserve">ішенням Вищої ради правосуддя від 20 квітня 2023 року № 399/0/15-23 «Про зміну територіальної підсудності судових справ окремих судів Харківської області» змінено територіальну підсудність судових справ </w:t>
      </w:r>
      <w:proofErr w:type="spellStart"/>
      <w:r w:rsidRPr="00E745CB">
        <w:rPr>
          <w:bCs/>
          <w:iCs/>
          <w:lang w:val="uk-UA"/>
        </w:rPr>
        <w:t>Золочівського</w:t>
      </w:r>
      <w:proofErr w:type="spellEnd"/>
      <w:r w:rsidRPr="00E745CB">
        <w:rPr>
          <w:bCs/>
          <w:iCs/>
          <w:lang w:val="uk-UA"/>
        </w:rPr>
        <w:t xml:space="preserve"> районного суду Харківської області </w:t>
      </w:r>
      <w:proofErr w:type="spellStart"/>
      <w:r w:rsidRPr="00E745CB">
        <w:rPr>
          <w:bCs/>
          <w:iCs/>
          <w:lang w:val="uk-UA"/>
        </w:rPr>
        <w:t>Дергачівському</w:t>
      </w:r>
      <w:proofErr w:type="spellEnd"/>
      <w:r w:rsidRPr="00E745CB">
        <w:rPr>
          <w:bCs/>
          <w:iCs/>
          <w:lang w:val="uk-UA"/>
        </w:rPr>
        <w:t xml:space="preserve"> районному суду Харківської області з 01 травня 2023 року. Станом </w:t>
      </w:r>
      <w:r>
        <w:rPr>
          <w:bCs/>
          <w:iCs/>
          <w:lang w:val="uk-UA"/>
        </w:rPr>
        <w:t>на 31.12</w:t>
      </w:r>
      <w:r w:rsidRPr="00E745CB">
        <w:rPr>
          <w:bCs/>
          <w:iCs/>
          <w:lang w:val="uk-UA"/>
        </w:rPr>
        <w:t>.202</w:t>
      </w:r>
      <w:r w:rsidR="00847A4E">
        <w:rPr>
          <w:bCs/>
          <w:iCs/>
          <w:lang w:val="uk-UA"/>
        </w:rPr>
        <w:t>5</w:t>
      </w:r>
      <w:r w:rsidRPr="00E745CB">
        <w:rPr>
          <w:bCs/>
          <w:iCs/>
          <w:lang w:val="uk-UA"/>
        </w:rPr>
        <w:t xml:space="preserve"> Дергачівський районний суд Харківської області продовжує виконувати підсудність </w:t>
      </w:r>
      <w:proofErr w:type="spellStart"/>
      <w:r w:rsidRPr="00E745CB">
        <w:rPr>
          <w:bCs/>
          <w:iCs/>
          <w:lang w:val="uk-UA"/>
        </w:rPr>
        <w:t>Золочівського</w:t>
      </w:r>
      <w:proofErr w:type="spellEnd"/>
      <w:r w:rsidRPr="00E745CB">
        <w:rPr>
          <w:bCs/>
          <w:iCs/>
          <w:lang w:val="uk-UA"/>
        </w:rPr>
        <w:t xml:space="preserve"> районного суду Харківської області.</w:t>
      </w:r>
    </w:p>
    <w:p w:rsidR="004518FD" w:rsidRDefault="00C05C0E" w:rsidP="00DB6B89">
      <w:pPr>
        <w:jc w:val="both"/>
        <w:rPr>
          <w:color w:val="000000"/>
          <w:lang w:val="uk-UA"/>
        </w:rPr>
      </w:pPr>
      <w:r w:rsidRPr="00C05C0E">
        <w:rPr>
          <w:color w:val="000000"/>
          <w:lang w:val="uk-UA"/>
        </w:rPr>
        <w:t xml:space="preserve"> </w:t>
      </w:r>
      <w:r w:rsidRPr="00C05C0E">
        <w:rPr>
          <w:color w:val="000000"/>
          <w:lang w:val="uk-UA"/>
        </w:rPr>
        <w:tab/>
      </w:r>
    </w:p>
    <w:p w:rsidR="009C21EE" w:rsidRPr="00903080" w:rsidRDefault="009C21EE" w:rsidP="009C21EE">
      <w:pPr>
        <w:pStyle w:val="a7"/>
        <w:rPr>
          <w:b/>
          <w:bCs/>
          <w:iCs/>
          <w:sz w:val="28"/>
          <w:szCs w:val="28"/>
        </w:rPr>
      </w:pPr>
      <w:r>
        <w:rPr>
          <w:bCs/>
          <w:iCs/>
        </w:rPr>
        <w:tab/>
      </w:r>
      <w:r w:rsidRPr="00903080">
        <w:rPr>
          <w:b/>
          <w:bCs/>
          <w:iCs/>
          <w:sz w:val="28"/>
          <w:szCs w:val="28"/>
        </w:rPr>
        <w:t>Кримінальне судочинство</w:t>
      </w:r>
    </w:p>
    <w:p w:rsidR="006633D7" w:rsidRDefault="009C21EE" w:rsidP="005C182A">
      <w:pPr>
        <w:pStyle w:val="a7"/>
        <w:rPr>
          <w:bCs/>
          <w:iCs/>
        </w:rPr>
      </w:pPr>
      <w:r>
        <w:rPr>
          <w:bCs/>
          <w:iCs/>
        </w:rPr>
        <w:tab/>
      </w:r>
    </w:p>
    <w:p w:rsidR="00DB6B89" w:rsidRPr="000B107A" w:rsidRDefault="00DB6B89" w:rsidP="00DB6B89">
      <w:pPr>
        <w:pStyle w:val="a7"/>
        <w:ind w:firstLine="708"/>
        <w:rPr>
          <w:bCs/>
          <w:iCs/>
        </w:rPr>
      </w:pPr>
      <w:r w:rsidRPr="00663965">
        <w:rPr>
          <w:bCs/>
          <w:iCs/>
        </w:rPr>
        <w:t>У 202</w:t>
      </w:r>
      <w:r w:rsidR="00847A4E">
        <w:rPr>
          <w:bCs/>
          <w:iCs/>
        </w:rPr>
        <w:t>5</w:t>
      </w:r>
      <w:r w:rsidRPr="00663965">
        <w:rPr>
          <w:bCs/>
          <w:iCs/>
        </w:rPr>
        <w:t xml:space="preserve">  році в провадженні Дергачівського районного суду Хар</w:t>
      </w:r>
      <w:r>
        <w:rPr>
          <w:bCs/>
          <w:iCs/>
        </w:rPr>
        <w:t xml:space="preserve">ківської  області перебувало </w:t>
      </w:r>
      <w:r w:rsidR="00B367FC">
        <w:rPr>
          <w:bCs/>
          <w:iCs/>
          <w:lang w:val="ru-RU"/>
        </w:rPr>
        <w:t>2 046</w:t>
      </w:r>
      <w:r w:rsidRPr="00663965">
        <w:rPr>
          <w:bCs/>
          <w:iCs/>
        </w:rPr>
        <w:t xml:space="preserve"> справ та матеріалів кримінального судочинства, що в порівнянні з 202</w:t>
      </w:r>
      <w:r w:rsidR="00E15940">
        <w:rPr>
          <w:bCs/>
          <w:iCs/>
          <w:lang w:val="ru-RU"/>
        </w:rPr>
        <w:t>4</w:t>
      </w:r>
      <w:r w:rsidRPr="00663965">
        <w:rPr>
          <w:bCs/>
          <w:iCs/>
        </w:rPr>
        <w:t xml:space="preserve"> роком </w:t>
      </w:r>
      <w:r w:rsidR="00F66469">
        <w:rPr>
          <w:bCs/>
          <w:iCs/>
        </w:rPr>
        <w:t xml:space="preserve">на </w:t>
      </w:r>
      <w:r w:rsidR="00AF3949">
        <w:rPr>
          <w:bCs/>
          <w:iCs/>
          <w:lang w:val="ru-RU"/>
        </w:rPr>
        <w:t>3,9</w:t>
      </w:r>
      <w:r w:rsidRPr="00663965">
        <w:rPr>
          <w:bCs/>
          <w:iCs/>
        </w:rPr>
        <w:t xml:space="preserve"> % </w:t>
      </w:r>
      <w:r w:rsidR="00AF3949">
        <w:rPr>
          <w:bCs/>
          <w:iCs/>
        </w:rPr>
        <w:t>менше, а саме на 83 справ та матеріалів менше</w:t>
      </w:r>
      <w:r w:rsidRPr="00663965">
        <w:rPr>
          <w:bCs/>
          <w:iCs/>
        </w:rPr>
        <w:t xml:space="preserve"> ( у 202</w:t>
      </w:r>
      <w:r w:rsidR="00E15940">
        <w:rPr>
          <w:bCs/>
          <w:iCs/>
          <w:lang w:val="ru-RU"/>
        </w:rPr>
        <w:t>4</w:t>
      </w:r>
      <w:r>
        <w:rPr>
          <w:bCs/>
          <w:iCs/>
        </w:rPr>
        <w:t xml:space="preserve"> році – </w:t>
      </w:r>
      <w:r w:rsidR="00E15940">
        <w:rPr>
          <w:bCs/>
          <w:iCs/>
        </w:rPr>
        <w:t>2 129</w:t>
      </w:r>
      <w:r w:rsidRPr="00663965">
        <w:rPr>
          <w:bCs/>
          <w:iCs/>
        </w:rPr>
        <w:t xml:space="preserve"> справ та матеріалів).</w:t>
      </w:r>
    </w:p>
    <w:p w:rsidR="00DB6B89" w:rsidRDefault="00DB6B89" w:rsidP="00DB6B89">
      <w:pPr>
        <w:pStyle w:val="a7"/>
        <w:rPr>
          <w:bCs/>
          <w:iCs/>
        </w:rPr>
      </w:pPr>
      <w:r w:rsidRPr="000B107A">
        <w:rPr>
          <w:bCs/>
          <w:iCs/>
        </w:rPr>
        <w:t xml:space="preserve"> </w:t>
      </w:r>
      <w:r w:rsidRPr="000B107A">
        <w:rPr>
          <w:bCs/>
          <w:iCs/>
        </w:rPr>
        <w:tab/>
        <w:t>З них по наступних</w:t>
      </w:r>
      <w:r>
        <w:rPr>
          <w:bCs/>
          <w:iCs/>
        </w:rPr>
        <w:t xml:space="preserve"> категоріях є такі показники.</w:t>
      </w:r>
    </w:p>
    <w:p w:rsidR="00E86B4D" w:rsidRDefault="00E86B4D" w:rsidP="00DB6B89">
      <w:pPr>
        <w:pStyle w:val="a7"/>
        <w:rPr>
          <w:bCs/>
          <w:iCs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418"/>
        <w:gridCol w:w="1559"/>
        <w:gridCol w:w="2410"/>
      </w:tblGrid>
      <w:tr w:rsidR="00F936A1" w:rsidRPr="00847A4E" w:rsidTr="00F936A1">
        <w:tc>
          <w:tcPr>
            <w:tcW w:w="3085" w:type="dxa"/>
            <w:shd w:val="clear" w:color="auto" w:fill="auto"/>
          </w:tcPr>
          <w:p w:rsidR="00F936A1" w:rsidRPr="00483575" w:rsidRDefault="00F936A1" w:rsidP="00ED5CDA">
            <w:pPr>
              <w:pStyle w:val="a7"/>
              <w:rPr>
                <w:bCs/>
                <w:iCs/>
              </w:rPr>
            </w:pPr>
          </w:p>
        </w:tc>
        <w:tc>
          <w:tcPr>
            <w:tcW w:w="1418" w:type="dxa"/>
            <w:vAlign w:val="center"/>
          </w:tcPr>
          <w:p w:rsidR="00F936A1" w:rsidRPr="00AF3949" w:rsidRDefault="00F936A1" w:rsidP="00AF3949">
            <w:pPr>
              <w:pStyle w:val="a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2025</w:t>
            </w:r>
          </w:p>
        </w:tc>
        <w:tc>
          <w:tcPr>
            <w:tcW w:w="1559" w:type="dxa"/>
            <w:vAlign w:val="center"/>
          </w:tcPr>
          <w:p w:rsidR="00F936A1" w:rsidRPr="00F66469" w:rsidRDefault="00F936A1" w:rsidP="00AF3949">
            <w:pPr>
              <w:pStyle w:val="a7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2024</w:t>
            </w:r>
          </w:p>
        </w:tc>
        <w:tc>
          <w:tcPr>
            <w:tcW w:w="2410" w:type="dxa"/>
            <w:vAlign w:val="center"/>
          </w:tcPr>
          <w:p w:rsidR="00F936A1" w:rsidRDefault="00F936A1" w:rsidP="00AF3949">
            <w:pPr>
              <w:pStyle w:val="a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динаміка</w:t>
            </w:r>
          </w:p>
        </w:tc>
      </w:tr>
      <w:tr w:rsidR="00F936A1" w:rsidRPr="00F86035" w:rsidTr="00F936A1">
        <w:tc>
          <w:tcPr>
            <w:tcW w:w="3085" w:type="dxa"/>
            <w:shd w:val="clear" w:color="auto" w:fill="auto"/>
          </w:tcPr>
          <w:p w:rsidR="00F936A1" w:rsidRPr="00483575" w:rsidRDefault="00F936A1" w:rsidP="00ED5CDA">
            <w:pPr>
              <w:pStyle w:val="a7"/>
              <w:rPr>
                <w:bCs/>
                <w:iCs/>
              </w:rPr>
            </w:pPr>
            <w:r w:rsidRPr="00483575">
              <w:rPr>
                <w:bCs/>
                <w:iCs/>
              </w:rPr>
              <w:t>Справи кримінального провадження</w:t>
            </w:r>
          </w:p>
        </w:tc>
        <w:tc>
          <w:tcPr>
            <w:tcW w:w="1418" w:type="dxa"/>
            <w:vAlign w:val="center"/>
          </w:tcPr>
          <w:p w:rsidR="00F936A1" w:rsidRPr="00AF3949" w:rsidRDefault="00F936A1" w:rsidP="00AF3949">
            <w:pPr>
              <w:pStyle w:val="a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620</w:t>
            </w:r>
          </w:p>
        </w:tc>
        <w:tc>
          <w:tcPr>
            <w:tcW w:w="1559" w:type="dxa"/>
            <w:vAlign w:val="center"/>
          </w:tcPr>
          <w:p w:rsidR="00F936A1" w:rsidRPr="00F66469" w:rsidRDefault="00F936A1" w:rsidP="00AF3949">
            <w:pPr>
              <w:pStyle w:val="a7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537</w:t>
            </w:r>
          </w:p>
        </w:tc>
        <w:tc>
          <w:tcPr>
            <w:tcW w:w="2410" w:type="dxa"/>
            <w:vAlign w:val="center"/>
          </w:tcPr>
          <w:p w:rsidR="00F936A1" w:rsidRDefault="00F936A1" w:rsidP="00AF3949">
            <w:pPr>
              <w:pStyle w:val="a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+15,5%</w:t>
            </w:r>
          </w:p>
        </w:tc>
      </w:tr>
      <w:tr w:rsidR="00F936A1" w:rsidRPr="00F86035" w:rsidTr="00F936A1">
        <w:tc>
          <w:tcPr>
            <w:tcW w:w="3085" w:type="dxa"/>
            <w:shd w:val="clear" w:color="auto" w:fill="auto"/>
          </w:tcPr>
          <w:p w:rsidR="00F936A1" w:rsidRPr="00483575" w:rsidRDefault="00F936A1" w:rsidP="00ED5CDA">
            <w:pPr>
              <w:pStyle w:val="a7"/>
              <w:rPr>
                <w:bCs/>
                <w:iCs/>
              </w:rPr>
            </w:pPr>
            <w:r w:rsidRPr="00483575">
              <w:rPr>
                <w:bCs/>
                <w:iCs/>
              </w:rPr>
              <w:t>Клопотання, скарги, заяви під час досудового розслідування (слідчі судді)</w:t>
            </w:r>
          </w:p>
        </w:tc>
        <w:tc>
          <w:tcPr>
            <w:tcW w:w="1418" w:type="dxa"/>
            <w:vAlign w:val="center"/>
          </w:tcPr>
          <w:p w:rsidR="00F936A1" w:rsidRPr="00F86035" w:rsidRDefault="00F936A1" w:rsidP="00AF3949">
            <w:pPr>
              <w:pStyle w:val="a7"/>
              <w:jc w:val="center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1217</w:t>
            </w:r>
          </w:p>
        </w:tc>
        <w:tc>
          <w:tcPr>
            <w:tcW w:w="1559" w:type="dxa"/>
            <w:vAlign w:val="center"/>
          </w:tcPr>
          <w:p w:rsidR="00F936A1" w:rsidRPr="00F86035" w:rsidRDefault="00F936A1" w:rsidP="00AF3949">
            <w:pPr>
              <w:pStyle w:val="a7"/>
              <w:jc w:val="center"/>
              <w:rPr>
                <w:bCs/>
                <w:iCs/>
                <w:lang w:val="ru-RU"/>
              </w:rPr>
            </w:pPr>
            <w:r w:rsidRPr="00F86035">
              <w:rPr>
                <w:bCs/>
                <w:iCs/>
                <w:lang w:val="ru-RU"/>
              </w:rPr>
              <w:t>1330</w:t>
            </w:r>
          </w:p>
        </w:tc>
        <w:tc>
          <w:tcPr>
            <w:tcW w:w="2410" w:type="dxa"/>
            <w:vAlign w:val="center"/>
          </w:tcPr>
          <w:p w:rsidR="00F936A1" w:rsidRDefault="00F936A1" w:rsidP="00AF3949">
            <w:pPr>
              <w:pStyle w:val="a7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-8,5%</w:t>
            </w:r>
          </w:p>
        </w:tc>
      </w:tr>
      <w:tr w:rsidR="00F936A1" w:rsidRPr="00483575" w:rsidTr="00F936A1">
        <w:tc>
          <w:tcPr>
            <w:tcW w:w="3085" w:type="dxa"/>
            <w:shd w:val="clear" w:color="auto" w:fill="auto"/>
          </w:tcPr>
          <w:p w:rsidR="00F936A1" w:rsidRPr="00483575" w:rsidRDefault="00F936A1" w:rsidP="00ED5CDA">
            <w:pPr>
              <w:pStyle w:val="a7"/>
              <w:rPr>
                <w:bCs/>
                <w:iCs/>
                <w:lang w:val="ru-RU"/>
              </w:rPr>
            </w:pPr>
            <w:proofErr w:type="spellStart"/>
            <w:r w:rsidRPr="00483575">
              <w:rPr>
                <w:bCs/>
                <w:iCs/>
                <w:lang w:val="ru-RU"/>
              </w:rPr>
              <w:t>Справи</w:t>
            </w:r>
            <w:proofErr w:type="spellEnd"/>
            <w:r w:rsidRPr="00483575">
              <w:rPr>
                <w:bCs/>
                <w:iCs/>
                <w:lang w:val="ru-RU"/>
              </w:rPr>
              <w:t xml:space="preserve"> в порядку </w:t>
            </w:r>
            <w:proofErr w:type="spellStart"/>
            <w:r w:rsidRPr="00483575">
              <w:rPr>
                <w:bCs/>
                <w:iCs/>
                <w:lang w:val="ru-RU"/>
              </w:rPr>
              <w:t>виконання</w:t>
            </w:r>
            <w:proofErr w:type="spellEnd"/>
            <w:r w:rsidRPr="00483575">
              <w:rPr>
                <w:bCs/>
                <w:iCs/>
                <w:lang w:val="ru-RU"/>
              </w:rPr>
              <w:t xml:space="preserve"> </w:t>
            </w:r>
            <w:proofErr w:type="spellStart"/>
            <w:r w:rsidRPr="00483575">
              <w:rPr>
                <w:bCs/>
                <w:iCs/>
                <w:lang w:val="ru-RU"/>
              </w:rPr>
              <w:t>судових</w:t>
            </w:r>
            <w:proofErr w:type="spellEnd"/>
            <w:r w:rsidRPr="00483575">
              <w:rPr>
                <w:bCs/>
                <w:iCs/>
                <w:lang w:val="ru-RU"/>
              </w:rPr>
              <w:t xml:space="preserve"> </w:t>
            </w:r>
            <w:proofErr w:type="spellStart"/>
            <w:proofErr w:type="gramStart"/>
            <w:r w:rsidRPr="00483575">
              <w:rPr>
                <w:bCs/>
                <w:iCs/>
                <w:lang w:val="ru-RU"/>
              </w:rPr>
              <w:t>р</w:t>
            </w:r>
            <w:proofErr w:type="gramEnd"/>
            <w:r w:rsidRPr="00483575">
              <w:rPr>
                <w:bCs/>
                <w:iCs/>
                <w:lang w:val="ru-RU"/>
              </w:rPr>
              <w:t>ішень</w:t>
            </w:r>
            <w:proofErr w:type="spellEnd"/>
          </w:p>
        </w:tc>
        <w:tc>
          <w:tcPr>
            <w:tcW w:w="1418" w:type="dxa"/>
            <w:vAlign w:val="center"/>
          </w:tcPr>
          <w:p w:rsidR="00F936A1" w:rsidRPr="00AF3949" w:rsidRDefault="00F936A1" w:rsidP="00AF3949">
            <w:pPr>
              <w:pStyle w:val="a7"/>
              <w:jc w:val="center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162</w:t>
            </w:r>
          </w:p>
        </w:tc>
        <w:tc>
          <w:tcPr>
            <w:tcW w:w="1559" w:type="dxa"/>
            <w:vAlign w:val="center"/>
          </w:tcPr>
          <w:p w:rsidR="00F936A1" w:rsidRPr="00F66469" w:rsidRDefault="00F936A1" w:rsidP="00AF3949">
            <w:pPr>
              <w:pStyle w:val="a7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228</w:t>
            </w:r>
          </w:p>
        </w:tc>
        <w:tc>
          <w:tcPr>
            <w:tcW w:w="2410" w:type="dxa"/>
            <w:vAlign w:val="center"/>
          </w:tcPr>
          <w:p w:rsidR="00F936A1" w:rsidRDefault="00F936A1" w:rsidP="00F936A1">
            <w:pPr>
              <w:pStyle w:val="a7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-29%</w:t>
            </w:r>
          </w:p>
        </w:tc>
      </w:tr>
      <w:tr w:rsidR="00F936A1" w:rsidRPr="00483575" w:rsidTr="00F936A1">
        <w:tc>
          <w:tcPr>
            <w:tcW w:w="3085" w:type="dxa"/>
            <w:shd w:val="clear" w:color="auto" w:fill="auto"/>
          </w:tcPr>
          <w:p w:rsidR="00F936A1" w:rsidRPr="00483575" w:rsidRDefault="00F936A1" w:rsidP="00ED5CDA">
            <w:pPr>
              <w:pStyle w:val="a7"/>
              <w:rPr>
                <w:bCs/>
                <w:iCs/>
              </w:rPr>
            </w:pPr>
            <w:r w:rsidRPr="00483575">
              <w:rPr>
                <w:bCs/>
                <w:iCs/>
              </w:rPr>
              <w:t xml:space="preserve">Справи про перегляд судового рішення за </w:t>
            </w:r>
            <w:proofErr w:type="spellStart"/>
            <w:r w:rsidRPr="00483575">
              <w:rPr>
                <w:bCs/>
                <w:iCs/>
              </w:rPr>
              <w:t>нововиявленими</w:t>
            </w:r>
            <w:proofErr w:type="spellEnd"/>
            <w:r w:rsidRPr="00483575">
              <w:rPr>
                <w:bCs/>
                <w:iCs/>
              </w:rPr>
              <w:t xml:space="preserve"> або </w:t>
            </w:r>
            <w:proofErr w:type="spellStart"/>
            <w:r w:rsidRPr="00483575">
              <w:rPr>
                <w:bCs/>
                <w:iCs/>
              </w:rPr>
              <w:t>виключнимми</w:t>
            </w:r>
            <w:proofErr w:type="spellEnd"/>
            <w:r w:rsidRPr="00483575">
              <w:rPr>
                <w:bCs/>
                <w:iCs/>
              </w:rPr>
              <w:t xml:space="preserve"> обставинами</w:t>
            </w:r>
          </w:p>
        </w:tc>
        <w:tc>
          <w:tcPr>
            <w:tcW w:w="1418" w:type="dxa"/>
            <w:vAlign w:val="center"/>
          </w:tcPr>
          <w:p w:rsidR="00F936A1" w:rsidRPr="00AF3949" w:rsidRDefault="00F936A1" w:rsidP="00AF3949">
            <w:pPr>
              <w:pStyle w:val="a7"/>
              <w:jc w:val="center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0</w:t>
            </w:r>
          </w:p>
        </w:tc>
        <w:tc>
          <w:tcPr>
            <w:tcW w:w="1559" w:type="dxa"/>
            <w:vAlign w:val="center"/>
          </w:tcPr>
          <w:p w:rsidR="00F936A1" w:rsidRPr="00F66469" w:rsidRDefault="00F936A1" w:rsidP="00AF3949">
            <w:pPr>
              <w:pStyle w:val="a7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3</w:t>
            </w:r>
          </w:p>
        </w:tc>
        <w:tc>
          <w:tcPr>
            <w:tcW w:w="2410" w:type="dxa"/>
            <w:vAlign w:val="center"/>
          </w:tcPr>
          <w:p w:rsidR="00F936A1" w:rsidRDefault="00F936A1" w:rsidP="00AF3949">
            <w:pPr>
              <w:pStyle w:val="a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-100%</w:t>
            </w:r>
          </w:p>
        </w:tc>
      </w:tr>
      <w:tr w:rsidR="00F936A1" w:rsidRPr="00483575" w:rsidTr="00F936A1">
        <w:tc>
          <w:tcPr>
            <w:tcW w:w="3085" w:type="dxa"/>
            <w:shd w:val="clear" w:color="auto" w:fill="auto"/>
          </w:tcPr>
          <w:p w:rsidR="00F936A1" w:rsidRPr="00483575" w:rsidRDefault="00F936A1" w:rsidP="00ED5CDA">
            <w:pPr>
              <w:pStyle w:val="a7"/>
              <w:rPr>
                <w:bCs/>
                <w:iCs/>
              </w:rPr>
            </w:pPr>
            <w:r>
              <w:rPr>
                <w:bCs/>
                <w:iCs/>
              </w:rPr>
              <w:t>Заяви про відвід судді (слідчого судді)</w:t>
            </w:r>
          </w:p>
        </w:tc>
        <w:tc>
          <w:tcPr>
            <w:tcW w:w="1418" w:type="dxa"/>
            <w:vAlign w:val="center"/>
          </w:tcPr>
          <w:p w:rsidR="00F936A1" w:rsidRPr="00AF3949" w:rsidRDefault="00F936A1" w:rsidP="00AF3949">
            <w:pPr>
              <w:pStyle w:val="a7"/>
              <w:jc w:val="center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11</w:t>
            </w:r>
          </w:p>
        </w:tc>
        <w:tc>
          <w:tcPr>
            <w:tcW w:w="1559" w:type="dxa"/>
            <w:vAlign w:val="center"/>
          </w:tcPr>
          <w:p w:rsidR="00F936A1" w:rsidRPr="00F66469" w:rsidRDefault="00F936A1" w:rsidP="00AF3949">
            <w:pPr>
              <w:pStyle w:val="a7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13</w:t>
            </w:r>
          </w:p>
        </w:tc>
        <w:tc>
          <w:tcPr>
            <w:tcW w:w="2410" w:type="dxa"/>
            <w:vAlign w:val="center"/>
          </w:tcPr>
          <w:p w:rsidR="00F936A1" w:rsidRDefault="00F936A1" w:rsidP="00AF3949">
            <w:pPr>
              <w:pStyle w:val="a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-15,%</w:t>
            </w:r>
          </w:p>
        </w:tc>
      </w:tr>
      <w:tr w:rsidR="00F936A1" w:rsidRPr="00483575" w:rsidTr="00F936A1">
        <w:tc>
          <w:tcPr>
            <w:tcW w:w="3085" w:type="dxa"/>
            <w:shd w:val="clear" w:color="auto" w:fill="auto"/>
          </w:tcPr>
          <w:p w:rsidR="00F936A1" w:rsidRPr="00483575" w:rsidRDefault="00F936A1" w:rsidP="00ED5CDA">
            <w:pPr>
              <w:pStyle w:val="a7"/>
              <w:rPr>
                <w:bCs/>
                <w:iCs/>
              </w:rPr>
            </w:pPr>
            <w:r w:rsidRPr="00483575">
              <w:rPr>
                <w:bCs/>
                <w:iCs/>
              </w:rPr>
              <w:t>Кримінальні справи, матеріали (КПК 1960р.)</w:t>
            </w:r>
          </w:p>
        </w:tc>
        <w:tc>
          <w:tcPr>
            <w:tcW w:w="1418" w:type="dxa"/>
            <w:vAlign w:val="center"/>
          </w:tcPr>
          <w:p w:rsidR="00F936A1" w:rsidRPr="00AF3949" w:rsidRDefault="00F936A1" w:rsidP="00AF3949">
            <w:pPr>
              <w:pStyle w:val="a7"/>
              <w:jc w:val="center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F936A1" w:rsidRPr="00F66469" w:rsidRDefault="00F936A1" w:rsidP="00AF3949">
            <w:pPr>
              <w:pStyle w:val="a7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0</w:t>
            </w:r>
          </w:p>
        </w:tc>
        <w:tc>
          <w:tcPr>
            <w:tcW w:w="2410" w:type="dxa"/>
            <w:vAlign w:val="center"/>
          </w:tcPr>
          <w:p w:rsidR="00F936A1" w:rsidRDefault="00F936A1" w:rsidP="00AF3949">
            <w:pPr>
              <w:pStyle w:val="a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+100%</w:t>
            </w:r>
          </w:p>
        </w:tc>
      </w:tr>
      <w:tr w:rsidR="00F936A1" w:rsidRPr="00687EDF" w:rsidTr="00F936A1">
        <w:tc>
          <w:tcPr>
            <w:tcW w:w="3085" w:type="dxa"/>
            <w:shd w:val="clear" w:color="auto" w:fill="auto"/>
          </w:tcPr>
          <w:p w:rsidR="00F936A1" w:rsidRPr="00483575" w:rsidRDefault="00F936A1" w:rsidP="00ED5CDA">
            <w:pPr>
              <w:pStyle w:val="a7"/>
              <w:rPr>
                <w:bCs/>
                <w:iCs/>
              </w:rPr>
            </w:pPr>
            <w:r w:rsidRPr="00687EDF">
              <w:rPr>
                <w:bCs/>
                <w:iCs/>
              </w:rPr>
              <w:t>Клопотання прокурора про закриття кримінального провадження в порядку статті 284</w:t>
            </w:r>
            <w:r>
              <w:rPr>
                <w:bCs/>
                <w:iCs/>
              </w:rPr>
              <w:t xml:space="preserve"> КПК</w:t>
            </w:r>
          </w:p>
        </w:tc>
        <w:tc>
          <w:tcPr>
            <w:tcW w:w="1418" w:type="dxa"/>
            <w:vAlign w:val="center"/>
          </w:tcPr>
          <w:p w:rsidR="00F936A1" w:rsidRPr="00AF3949" w:rsidRDefault="00F936A1" w:rsidP="00AF3949">
            <w:pPr>
              <w:pStyle w:val="a7"/>
              <w:jc w:val="center"/>
              <w:rPr>
                <w:bCs/>
                <w:iCs/>
                <w:lang w:val="ru-RU"/>
              </w:rPr>
            </w:pPr>
            <w:r>
              <w:rPr>
                <w:bCs/>
                <w:iCs/>
                <w:lang w:val="ru-RU"/>
              </w:rPr>
              <w:t>30</w:t>
            </w:r>
          </w:p>
        </w:tc>
        <w:tc>
          <w:tcPr>
            <w:tcW w:w="1559" w:type="dxa"/>
            <w:vAlign w:val="center"/>
          </w:tcPr>
          <w:p w:rsidR="00F936A1" w:rsidRPr="00F66469" w:rsidRDefault="00F936A1" w:rsidP="00AF3949">
            <w:pPr>
              <w:pStyle w:val="a7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15</w:t>
            </w:r>
          </w:p>
        </w:tc>
        <w:tc>
          <w:tcPr>
            <w:tcW w:w="2410" w:type="dxa"/>
            <w:vAlign w:val="center"/>
          </w:tcPr>
          <w:p w:rsidR="00F936A1" w:rsidRDefault="00F936A1" w:rsidP="00F936A1">
            <w:pPr>
              <w:pStyle w:val="a7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+50%</w:t>
            </w:r>
          </w:p>
        </w:tc>
      </w:tr>
      <w:tr w:rsidR="00F936A1" w:rsidRPr="00483575" w:rsidTr="00F936A1">
        <w:tc>
          <w:tcPr>
            <w:tcW w:w="3085" w:type="dxa"/>
            <w:shd w:val="clear" w:color="auto" w:fill="auto"/>
          </w:tcPr>
          <w:p w:rsidR="00F936A1" w:rsidRPr="00483575" w:rsidRDefault="00F936A1" w:rsidP="00ED5CDA">
            <w:pPr>
              <w:pStyle w:val="a7"/>
              <w:rPr>
                <w:bCs/>
                <w:iCs/>
              </w:rPr>
            </w:pPr>
            <w:r>
              <w:rPr>
                <w:bCs/>
                <w:iCs/>
              </w:rPr>
              <w:t xml:space="preserve">Інші </w:t>
            </w:r>
          </w:p>
        </w:tc>
        <w:tc>
          <w:tcPr>
            <w:tcW w:w="1418" w:type="dxa"/>
            <w:vAlign w:val="center"/>
          </w:tcPr>
          <w:p w:rsidR="00F936A1" w:rsidRPr="00AF3949" w:rsidRDefault="00F936A1" w:rsidP="00AF3949">
            <w:pPr>
              <w:pStyle w:val="a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1559" w:type="dxa"/>
            <w:vAlign w:val="center"/>
          </w:tcPr>
          <w:p w:rsidR="00F936A1" w:rsidRPr="00F66469" w:rsidRDefault="00F936A1" w:rsidP="00AF3949">
            <w:pPr>
              <w:pStyle w:val="a7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3</w:t>
            </w:r>
          </w:p>
        </w:tc>
        <w:tc>
          <w:tcPr>
            <w:tcW w:w="2410" w:type="dxa"/>
            <w:vAlign w:val="center"/>
          </w:tcPr>
          <w:p w:rsidR="00F936A1" w:rsidRDefault="00F936A1" w:rsidP="00AF3949">
            <w:pPr>
              <w:pStyle w:val="a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+66,7%</w:t>
            </w:r>
          </w:p>
        </w:tc>
      </w:tr>
      <w:tr w:rsidR="00F936A1" w:rsidRPr="00483575" w:rsidTr="00F936A1">
        <w:tc>
          <w:tcPr>
            <w:tcW w:w="3085" w:type="dxa"/>
            <w:shd w:val="clear" w:color="auto" w:fill="auto"/>
          </w:tcPr>
          <w:p w:rsidR="00F936A1" w:rsidRDefault="00F936A1" w:rsidP="00ED5CDA">
            <w:pPr>
              <w:pStyle w:val="a7"/>
              <w:rPr>
                <w:b/>
                <w:bCs/>
                <w:iCs/>
              </w:rPr>
            </w:pPr>
          </w:p>
          <w:p w:rsidR="00F936A1" w:rsidRPr="00483575" w:rsidRDefault="00F936A1" w:rsidP="00ED5CDA">
            <w:pPr>
              <w:pStyle w:val="a7"/>
              <w:rPr>
                <w:b/>
                <w:bCs/>
                <w:iCs/>
              </w:rPr>
            </w:pPr>
            <w:r w:rsidRPr="00483575">
              <w:rPr>
                <w:b/>
                <w:bCs/>
                <w:iCs/>
              </w:rPr>
              <w:t>УСЬОГО</w:t>
            </w:r>
          </w:p>
        </w:tc>
        <w:tc>
          <w:tcPr>
            <w:tcW w:w="1418" w:type="dxa"/>
            <w:vAlign w:val="center"/>
          </w:tcPr>
          <w:p w:rsidR="00F936A1" w:rsidRPr="00AF3949" w:rsidRDefault="00F936A1" w:rsidP="00AF3949">
            <w:pPr>
              <w:pStyle w:val="a7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2046</w:t>
            </w:r>
          </w:p>
        </w:tc>
        <w:tc>
          <w:tcPr>
            <w:tcW w:w="1559" w:type="dxa"/>
            <w:vAlign w:val="center"/>
          </w:tcPr>
          <w:p w:rsidR="00F936A1" w:rsidRPr="00F66469" w:rsidRDefault="00F936A1" w:rsidP="00AF3949">
            <w:pPr>
              <w:pStyle w:val="a7"/>
              <w:jc w:val="center"/>
              <w:rPr>
                <w:b/>
                <w:bCs/>
                <w:iCs/>
                <w:lang w:val="en-US"/>
              </w:rPr>
            </w:pPr>
            <w:r>
              <w:rPr>
                <w:b/>
                <w:bCs/>
                <w:iCs/>
                <w:lang w:val="en-US"/>
              </w:rPr>
              <w:t>2129</w:t>
            </w:r>
          </w:p>
        </w:tc>
        <w:tc>
          <w:tcPr>
            <w:tcW w:w="2410" w:type="dxa"/>
            <w:vAlign w:val="center"/>
          </w:tcPr>
          <w:p w:rsidR="00F936A1" w:rsidRDefault="00F936A1" w:rsidP="00AF3949">
            <w:pPr>
              <w:pStyle w:val="a7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- 3,9 %</w:t>
            </w:r>
          </w:p>
        </w:tc>
      </w:tr>
    </w:tbl>
    <w:p w:rsidR="005C182A" w:rsidRDefault="005C182A" w:rsidP="005C182A">
      <w:pPr>
        <w:pStyle w:val="a7"/>
        <w:rPr>
          <w:bCs/>
          <w:iCs/>
        </w:rPr>
      </w:pPr>
    </w:p>
    <w:p w:rsidR="00E86B4D" w:rsidRPr="00595C5C" w:rsidRDefault="00E86B4D" w:rsidP="00E86B4D">
      <w:pPr>
        <w:pStyle w:val="a7"/>
        <w:ind w:firstLine="708"/>
      </w:pPr>
      <w:r w:rsidRPr="00E86B4D">
        <w:lastRenderedPageBreak/>
        <w:t xml:space="preserve">У 2025 році </w:t>
      </w:r>
      <w:r w:rsidRPr="00E86B4D">
        <w:rPr>
          <w:bCs/>
          <w:iCs/>
        </w:rPr>
        <w:t xml:space="preserve">показники здійснення судочинства </w:t>
      </w:r>
      <w:r w:rsidRPr="00E86B4D">
        <w:t xml:space="preserve">суддями Дергачівського районного суду Харківської області </w:t>
      </w:r>
      <w:r>
        <w:t xml:space="preserve">по кримінальних провадженнях </w:t>
      </w:r>
      <w:r w:rsidRPr="00E86B4D">
        <w:t xml:space="preserve">суттєво </w:t>
      </w:r>
      <w:r>
        <w:t>збільшились</w:t>
      </w:r>
      <w:r w:rsidRPr="00E86B4D">
        <w:t xml:space="preserve"> в порівнянні з 2024 роком.</w:t>
      </w:r>
      <w:r w:rsidRPr="00595C5C">
        <w:t xml:space="preserve"> </w:t>
      </w:r>
    </w:p>
    <w:p w:rsidR="005C182A" w:rsidRDefault="005C182A" w:rsidP="005C182A">
      <w:pPr>
        <w:pStyle w:val="a7"/>
        <w:rPr>
          <w:bCs/>
          <w:iCs/>
        </w:rPr>
      </w:pPr>
    </w:p>
    <w:p w:rsidR="000825E4" w:rsidRDefault="000825E4" w:rsidP="000825E4">
      <w:pPr>
        <w:ind w:firstLine="720"/>
        <w:rPr>
          <w:b/>
          <w:bCs/>
          <w:i/>
          <w:iCs/>
          <w:u w:val="single"/>
          <w:lang w:val="uk-UA"/>
        </w:rPr>
      </w:pPr>
      <w:r w:rsidRPr="00E70D06">
        <w:rPr>
          <w:b/>
          <w:bCs/>
          <w:i/>
          <w:iCs/>
          <w:u w:val="single"/>
          <w:lang w:val="uk-UA"/>
        </w:rPr>
        <w:t xml:space="preserve">Кримінальні </w:t>
      </w:r>
      <w:r>
        <w:rPr>
          <w:b/>
          <w:bCs/>
          <w:i/>
          <w:iCs/>
          <w:u w:val="single"/>
          <w:lang w:val="uk-UA"/>
        </w:rPr>
        <w:t>провадження (</w:t>
      </w:r>
      <w:r w:rsidRPr="00E70D06">
        <w:rPr>
          <w:b/>
          <w:bCs/>
          <w:i/>
          <w:iCs/>
          <w:u w:val="single"/>
          <w:lang w:val="uk-UA"/>
        </w:rPr>
        <w:t>справи</w:t>
      </w:r>
      <w:r>
        <w:rPr>
          <w:b/>
          <w:bCs/>
          <w:i/>
          <w:iCs/>
          <w:u w:val="single"/>
          <w:lang w:val="uk-UA"/>
        </w:rPr>
        <w:t>)</w:t>
      </w:r>
    </w:p>
    <w:p w:rsidR="000825E4" w:rsidRPr="00E70D06" w:rsidRDefault="000825E4" w:rsidP="000825E4">
      <w:pPr>
        <w:ind w:firstLine="720"/>
        <w:rPr>
          <w:b/>
          <w:bCs/>
          <w:i/>
          <w:iCs/>
          <w:u w:val="single"/>
          <w:lang w:val="uk-UA"/>
        </w:rPr>
      </w:pPr>
    </w:p>
    <w:p w:rsidR="00E13C10" w:rsidRDefault="00E13C10" w:rsidP="00E13C10">
      <w:pPr>
        <w:pStyle w:val="21"/>
        <w:spacing w:after="0" w:line="276" w:lineRule="auto"/>
        <w:ind w:left="0" w:firstLine="851"/>
        <w:jc w:val="both"/>
        <w:rPr>
          <w:lang w:val="ru-RU"/>
        </w:rPr>
      </w:pPr>
      <w:r>
        <w:rPr>
          <w:lang w:val="ru-RU"/>
        </w:rPr>
        <w:t>У 202</w:t>
      </w:r>
      <w:r w:rsidR="002F4A56">
        <w:rPr>
          <w:lang w:val="ru-RU"/>
        </w:rPr>
        <w:t>5</w:t>
      </w:r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році</w:t>
      </w:r>
      <w:proofErr w:type="spellEnd"/>
      <w:r w:rsidRPr="001F1E6C">
        <w:rPr>
          <w:lang w:val="ru-RU"/>
        </w:rPr>
        <w:t xml:space="preserve"> в </w:t>
      </w:r>
      <w:proofErr w:type="spellStart"/>
      <w:r w:rsidRPr="001F1E6C">
        <w:rPr>
          <w:lang w:val="ru-RU"/>
        </w:rPr>
        <w:t>провадженні</w:t>
      </w:r>
      <w:proofErr w:type="spellEnd"/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перебувало</w:t>
      </w:r>
      <w:proofErr w:type="spellEnd"/>
      <w:r w:rsidRPr="001F1E6C">
        <w:rPr>
          <w:lang w:val="ru-RU"/>
        </w:rPr>
        <w:t xml:space="preserve"> </w:t>
      </w:r>
      <w:r w:rsidR="002F4A56">
        <w:rPr>
          <w:lang w:val="ru-RU"/>
        </w:rPr>
        <w:t xml:space="preserve">621 </w:t>
      </w:r>
      <w:proofErr w:type="spellStart"/>
      <w:r w:rsidR="002F4A56">
        <w:rPr>
          <w:lang w:val="ru-RU"/>
        </w:rPr>
        <w:t>кримінальна</w:t>
      </w:r>
      <w:proofErr w:type="spellEnd"/>
      <w:r w:rsidRPr="001F1E6C">
        <w:rPr>
          <w:lang w:val="ru-RU"/>
        </w:rPr>
        <w:t xml:space="preserve"> справ</w:t>
      </w:r>
      <w:r w:rsidR="002F4A56">
        <w:rPr>
          <w:lang w:val="ru-RU"/>
        </w:rPr>
        <w:t>а</w:t>
      </w:r>
      <w:r w:rsidRPr="001F1E6C">
        <w:rPr>
          <w:lang w:val="ru-RU"/>
        </w:rPr>
        <w:t xml:space="preserve"> та </w:t>
      </w:r>
      <w:proofErr w:type="spellStart"/>
      <w:r w:rsidRPr="001F1E6C">
        <w:rPr>
          <w:lang w:val="ru-RU"/>
        </w:rPr>
        <w:t>проваджен</w:t>
      </w:r>
      <w:r w:rsidR="002F4A56">
        <w:rPr>
          <w:lang w:val="ru-RU"/>
        </w:rPr>
        <w:t>ня</w:t>
      </w:r>
      <w:proofErr w:type="spellEnd"/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відносно</w:t>
      </w:r>
      <w:proofErr w:type="spellEnd"/>
      <w:r w:rsidRPr="001F1E6C">
        <w:rPr>
          <w:lang w:val="ru-RU"/>
        </w:rPr>
        <w:t xml:space="preserve"> </w:t>
      </w:r>
      <w:r w:rsidR="002F4A56">
        <w:rPr>
          <w:lang w:val="ru-RU"/>
        </w:rPr>
        <w:t>647</w:t>
      </w:r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ос</w:t>
      </w:r>
      <w:r w:rsidR="002F4A56">
        <w:rPr>
          <w:lang w:val="ru-RU"/>
        </w:rPr>
        <w:t>іб</w:t>
      </w:r>
      <w:proofErr w:type="spellEnd"/>
      <w:r w:rsidR="002F4A56">
        <w:rPr>
          <w:lang w:val="ru-RU"/>
        </w:rPr>
        <w:t xml:space="preserve">, </w:t>
      </w:r>
      <w:proofErr w:type="spellStart"/>
      <w:r w:rsidR="002F4A56">
        <w:rPr>
          <w:lang w:val="ru-RU"/>
        </w:rPr>
        <w:t>проти</w:t>
      </w:r>
      <w:proofErr w:type="spellEnd"/>
      <w:r w:rsidR="002F4A56">
        <w:rPr>
          <w:lang w:val="ru-RU"/>
        </w:rPr>
        <w:t xml:space="preserve"> 537</w:t>
      </w:r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кримінальни</w:t>
      </w:r>
      <w:r w:rsidR="002F4A56">
        <w:rPr>
          <w:lang w:val="ru-RU"/>
        </w:rPr>
        <w:t>х</w:t>
      </w:r>
      <w:proofErr w:type="spellEnd"/>
      <w:r w:rsidR="002F4A56">
        <w:rPr>
          <w:lang w:val="ru-RU"/>
        </w:rPr>
        <w:t xml:space="preserve"> справ та </w:t>
      </w:r>
      <w:proofErr w:type="spellStart"/>
      <w:r w:rsidR="002F4A56">
        <w:rPr>
          <w:lang w:val="ru-RU"/>
        </w:rPr>
        <w:t>проваджень</w:t>
      </w:r>
      <w:proofErr w:type="spellEnd"/>
      <w:r w:rsidR="002F4A56">
        <w:rPr>
          <w:lang w:val="ru-RU"/>
        </w:rPr>
        <w:t xml:space="preserve"> </w:t>
      </w:r>
      <w:proofErr w:type="spellStart"/>
      <w:r w:rsidR="002F4A56">
        <w:rPr>
          <w:lang w:val="ru-RU"/>
        </w:rPr>
        <w:t>відносно</w:t>
      </w:r>
      <w:proofErr w:type="spellEnd"/>
      <w:r w:rsidR="002F4A56">
        <w:rPr>
          <w:lang w:val="ru-RU"/>
        </w:rPr>
        <w:t xml:space="preserve"> 562</w:t>
      </w:r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осіб</w:t>
      </w:r>
      <w:proofErr w:type="spellEnd"/>
      <w:r w:rsidRPr="001F1E6C">
        <w:rPr>
          <w:lang w:val="ru-RU"/>
        </w:rPr>
        <w:t xml:space="preserve">, </w:t>
      </w:r>
      <w:proofErr w:type="spellStart"/>
      <w:r w:rsidRPr="001F1E6C">
        <w:rPr>
          <w:lang w:val="ru-RU"/>
        </w:rPr>
        <w:t>що</w:t>
      </w:r>
      <w:proofErr w:type="spellEnd"/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перебували</w:t>
      </w:r>
      <w:proofErr w:type="spellEnd"/>
      <w:r w:rsidRPr="001F1E6C">
        <w:rPr>
          <w:lang w:val="ru-RU"/>
        </w:rPr>
        <w:t xml:space="preserve"> на </w:t>
      </w:r>
      <w:proofErr w:type="spellStart"/>
      <w:r w:rsidRPr="001F1E6C">
        <w:rPr>
          <w:lang w:val="ru-RU"/>
        </w:rPr>
        <w:t>розгляді</w:t>
      </w:r>
      <w:proofErr w:type="spellEnd"/>
      <w:r w:rsidRPr="001F1E6C">
        <w:rPr>
          <w:lang w:val="ru-RU"/>
        </w:rPr>
        <w:t xml:space="preserve"> </w:t>
      </w:r>
      <w:proofErr w:type="gramStart"/>
      <w:r w:rsidRPr="001F1E6C">
        <w:rPr>
          <w:lang w:val="ru-RU"/>
        </w:rPr>
        <w:t>у</w:t>
      </w:r>
      <w:proofErr w:type="gramEnd"/>
      <w:r w:rsidRPr="001F1E6C">
        <w:rPr>
          <w:lang w:val="ru-RU"/>
        </w:rPr>
        <w:t xml:space="preserve"> 202</w:t>
      </w:r>
      <w:r w:rsidR="002F4A56">
        <w:rPr>
          <w:lang w:val="ru-RU"/>
        </w:rPr>
        <w:t>4</w:t>
      </w:r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році</w:t>
      </w:r>
      <w:proofErr w:type="spellEnd"/>
      <w:r w:rsidRPr="001F1E6C">
        <w:rPr>
          <w:lang w:val="ru-RU"/>
        </w:rPr>
        <w:t>.</w:t>
      </w:r>
    </w:p>
    <w:p w:rsidR="002F4A56" w:rsidRDefault="002F4A56" w:rsidP="00E13C10">
      <w:pPr>
        <w:pStyle w:val="21"/>
        <w:spacing w:after="0" w:line="276" w:lineRule="auto"/>
        <w:ind w:left="0" w:firstLine="851"/>
        <w:jc w:val="both"/>
        <w:rPr>
          <w:lang w:val="ru-RU"/>
        </w:rPr>
      </w:pPr>
      <w:r w:rsidRPr="001F1E6C">
        <w:rPr>
          <w:lang w:val="ru-RU"/>
        </w:rPr>
        <w:t xml:space="preserve">У </w:t>
      </w:r>
      <w:r w:rsidRPr="001F1E6C">
        <w:rPr>
          <w:i/>
          <w:iCs/>
          <w:lang w:val="ru-RU"/>
        </w:rPr>
        <w:t xml:space="preserve"> 202</w:t>
      </w:r>
      <w:r>
        <w:rPr>
          <w:i/>
          <w:iCs/>
          <w:lang w:val="ru-RU"/>
        </w:rPr>
        <w:t>5</w:t>
      </w:r>
      <w:r w:rsidRPr="001F1E6C">
        <w:rPr>
          <w:i/>
          <w:iCs/>
          <w:lang w:val="ru-RU"/>
        </w:rPr>
        <w:t xml:space="preserve"> </w:t>
      </w:r>
      <w:proofErr w:type="spellStart"/>
      <w:r w:rsidRPr="001F1E6C">
        <w:rPr>
          <w:i/>
          <w:iCs/>
          <w:lang w:val="ru-RU"/>
        </w:rPr>
        <w:t>році</w:t>
      </w:r>
      <w:proofErr w:type="spellEnd"/>
      <w:r w:rsidRPr="001F1E6C">
        <w:rPr>
          <w:i/>
          <w:iCs/>
          <w:lang w:val="ru-RU"/>
        </w:rPr>
        <w:t xml:space="preserve"> </w:t>
      </w:r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розглянуто</w:t>
      </w:r>
      <w:proofErr w:type="spellEnd"/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з</w:t>
      </w:r>
      <w:proofErr w:type="spellEnd"/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постановленням</w:t>
      </w:r>
      <w:proofErr w:type="spellEnd"/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вироку</w:t>
      </w:r>
      <w:proofErr w:type="spellEnd"/>
      <w:r w:rsidRPr="001F1E6C">
        <w:rPr>
          <w:lang w:val="ru-RU"/>
        </w:rPr>
        <w:t xml:space="preserve"> 2</w:t>
      </w:r>
      <w:r>
        <w:rPr>
          <w:lang w:val="ru-RU"/>
        </w:rPr>
        <w:t>26</w:t>
      </w:r>
      <w:r w:rsidRPr="001F1E6C">
        <w:rPr>
          <w:lang w:val="ru-RU"/>
        </w:rPr>
        <w:t xml:space="preserve"> </w:t>
      </w:r>
      <w:r>
        <w:rPr>
          <w:lang w:val="ru-RU"/>
        </w:rPr>
        <w:t>справ (</w:t>
      </w:r>
      <w:proofErr w:type="spellStart"/>
      <w:r>
        <w:rPr>
          <w:lang w:val="ru-RU"/>
        </w:rPr>
        <w:t>проваджень</w:t>
      </w:r>
      <w:proofErr w:type="spellEnd"/>
      <w:r>
        <w:rPr>
          <w:lang w:val="ru-RU"/>
        </w:rPr>
        <w:t xml:space="preserve">), </w:t>
      </w:r>
      <w:proofErr w:type="spellStart"/>
      <w:r>
        <w:rPr>
          <w:lang w:val="ru-RU"/>
        </w:rPr>
        <w:t>засуджено</w:t>
      </w:r>
      <w:proofErr w:type="spellEnd"/>
      <w:r>
        <w:rPr>
          <w:lang w:val="ru-RU"/>
        </w:rPr>
        <w:t xml:space="preserve"> 227</w:t>
      </w:r>
      <w:r w:rsidRPr="001F1E6C">
        <w:rPr>
          <w:lang w:val="ru-RU"/>
        </w:rPr>
        <w:t xml:space="preserve"> </w:t>
      </w:r>
      <w:proofErr w:type="spellStart"/>
      <w:proofErr w:type="gramStart"/>
      <w:r w:rsidRPr="001F1E6C">
        <w:rPr>
          <w:lang w:val="ru-RU"/>
        </w:rPr>
        <w:t>осіб</w:t>
      </w:r>
      <w:proofErr w:type="spellEnd"/>
      <w:proofErr w:type="gramEnd"/>
      <w:r w:rsidRPr="001F1E6C">
        <w:rPr>
          <w:lang w:val="ru-RU"/>
        </w:rPr>
        <w:t xml:space="preserve">, </w:t>
      </w:r>
      <w:proofErr w:type="spellStart"/>
      <w:r w:rsidRPr="001F1E6C">
        <w:rPr>
          <w:lang w:val="ru-RU"/>
        </w:rPr>
        <w:t>виправдано</w:t>
      </w:r>
      <w:proofErr w:type="spellEnd"/>
      <w:r w:rsidRPr="001F1E6C">
        <w:rPr>
          <w:lang w:val="ru-RU"/>
        </w:rPr>
        <w:t xml:space="preserve"> - 0</w:t>
      </w:r>
      <w:r>
        <w:rPr>
          <w:lang w:val="ru-RU"/>
        </w:rPr>
        <w:t xml:space="preserve">. </w:t>
      </w:r>
      <w:proofErr w:type="spellStart"/>
      <w:r>
        <w:rPr>
          <w:lang w:val="ru-RU"/>
        </w:rPr>
        <w:t>Закрито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провадженням</w:t>
      </w:r>
      <w:proofErr w:type="spellEnd"/>
      <w:r>
        <w:rPr>
          <w:lang w:val="ru-RU"/>
        </w:rPr>
        <w:t xml:space="preserve"> 173</w:t>
      </w:r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кримінальних</w:t>
      </w:r>
      <w:proofErr w:type="spellEnd"/>
      <w:r w:rsidRPr="001F1E6C">
        <w:rPr>
          <w:lang w:val="ru-RU"/>
        </w:rPr>
        <w:t xml:space="preserve"> справ (</w:t>
      </w:r>
      <w:proofErr w:type="spellStart"/>
      <w:r w:rsidRPr="001F1E6C">
        <w:rPr>
          <w:lang w:val="ru-RU"/>
        </w:rPr>
        <w:t>провадження</w:t>
      </w:r>
      <w:proofErr w:type="spellEnd"/>
      <w:r w:rsidRPr="001F1E6C">
        <w:rPr>
          <w:lang w:val="ru-RU"/>
        </w:rPr>
        <w:t xml:space="preserve">),  </w:t>
      </w:r>
      <w:proofErr w:type="spellStart"/>
      <w:r w:rsidRPr="001F1E6C">
        <w:rPr>
          <w:lang w:val="ru-RU"/>
        </w:rPr>
        <w:t>відносно</w:t>
      </w:r>
      <w:proofErr w:type="spellEnd"/>
      <w:r w:rsidRPr="001F1E6C">
        <w:rPr>
          <w:lang w:val="ru-RU"/>
        </w:rPr>
        <w:t xml:space="preserve"> </w:t>
      </w:r>
      <w:r>
        <w:rPr>
          <w:lang w:val="ru-RU"/>
        </w:rPr>
        <w:t>176</w:t>
      </w:r>
      <w:r w:rsidRPr="001F1E6C">
        <w:rPr>
          <w:lang w:val="ru-RU"/>
        </w:rPr>
        <w:t xml:space="preserve"> </w:t>
      </w:r>
      <w:proofErr w:type="spellStart"/>
      <w:proofErr w:type="gramStart"/>
      <w:r w:rsidRPr="001F1E6C">
        <w:rPr>
          <w:lang w:val="ru-RU"/>
        </w:rPr>
        <w:t>осіб</w:t>
      </w:r>
      <w:proofErr w:type="spellEnd"/>
      <w:proofErr w:type="gramEnd"/>
      <w:r w:rsidRPr="001F1E6C">
        <w:rPr>
          <w:lang w:val="ru-RU"/>
        </w:rPr>
        <w:t xml:space="preserve">.  Повернуто прокурору  </w:t>
      </w:r>
      <w:r>
        <w:rPr>
          <w:lang w:val="ru-RU"/>
        </w:rPr>
        <w:t>5</w:t>
      </w:r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кримінальних</w:t>
      </w:r>
      <w:proofErr w:type="spellEnd"/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провадження</w:t>
      </w:r>
      <w:proofErr w:type="spellEnd"/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відносно</w:t>
      </w:r>
      <w:proofErr w:type="spellEnd"/>
      <w:r w:rsidRPr="001F1E6C">
        <w:rPr>
          <w:lang w:val="ru-RU"/>
        </w:rPr>
        <w:t xml:space="preserve"> </w:t>
      </w:r>
      <w:r w:rsidR="00143458">
        <w:rPr>
          <w:lang w:val="ru-RU"/>
        </w:rPr>
        <w:t>5</w:t>
      </w:r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осіб</w:t>
      </w:r>
      <w:proofErr w:type="spellEnd"/>
      <w:r w:rsidRPr="001F1E6C">
        <w:rPr>
          <w:lang w:val="ru-RU"/>
        </w:rPr>
        <w:t xml:space="preserve">.  </w:t>
      </w:r>
      <w:proofErr w:type="spellStart"/>
      <w:r w:rsidRPr="001F1E6C">
        <w:rPr>
          <w:lang w:val="ru-RU"/>
        </w:rPr>
        <w:t>Всього</w:t>
      </w:r>
      <w:proofErr w:type="spellEnd"/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закінчено</w:t>
      </w:r>
      <w:proofErr w:type="spellEnd"/>
      <w:r w:rsidRPr="001F1E6C">
        <w:rPr>
          <w:lang w:val="ru-RU"/>
        </w:rPr>
        <w:t xml:space="preserve">  </w:t>
      </w:r>
      <w:r w:rsidR="00143458">
        <w:rPr>
          <w:lang w:val="ru-RU"/>
        </w:rPr>
        <w:t>405</w:t>
      </w:r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кримінальних</w:t>
      </w:r>
      <w:proofErr w:type="spellEnd"/>
      <w:r w:rsidRPr="001F1E6C">
        <w:rPr>
          <w:lang w:val="ru-RU"/>
        </w:rPr>
        <w:t xml:space="preserve"> справ (</w:t>
      </w:r>
      <w:proofErr w:type="spellStart"/>
      <w:r w:rsidRPr="001F1E6C">
        <w:rPr>
          <w:lang w:val="ru-RU"/>
        </w:rPr>
        <w:t>провадження</w:t>
      </w:r>
      <w:proofErr w:type="spellEnd"/>
      <w:r w:rsidRPr="001F1E6C">
        <w:rPr>
          <w:lang w:val="ru-RU"/>
        </w:rPr>
        <w:t xml:space="preserve">) </w:t>
      </w:r>
      <w:proofErr w:type="spellStart"/>
      <w:r w:rsidRPr="001F1E6C">
        <w:rPr>
          <w:lang w:val="ru-RU"/>
        </w:rPr>
        <w:t>відносно</w:t>
      </w:r>
      <w:proofErr w:type="spellEnd"/>
      <w:r w:rsidRPr="001F1E6C">
        <w:rPr>
          <w:lang w:val="ru-RU"/>
        </w:rPr>
        <w:t xml:space="preserve"> </w:t>
      </w:r>
      <w:r w:rsidR="00143458">
        <w:rPr>
          <w:lang w:val="ru-RU"/>
        </w:rPr>
        <w:t>412</w:t>
      </w:r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осіб</w:t>
      </w:r>
      <w:proofErr w:type="spellEnd"/>
      <w:r w:rsidR="00143458">
        <w:rPr>
          <w:lang w:val="ru-RU"/>
        </w:rPr>
        <w:t>.</w:t>
      </w:r>
    </w:p>
    <w:p w:rsidR="00E13C10" w:rsidRPr="001F1E6C" w:rsidRDefault="00E13C10" w:rsidP="00E13C10">
      <w:pPr>
        <w:pStyle w:val="21"/>
        <w:spacing w:after="0" w:line="276" w:lineRule="auto"/>
        <w:ind w:left="0" w:firstLine="851"/>
        <w:jc w:val="both"/>
        <w:rPr>
          <w:lang w:val="ru-RU"/>
        </w:rPr>
      </w:pPr>
      <w:r w:rsidRPr="001F1E6C">
        <w:rPr>
          <w:lang w:val="ru-RU"/>
        </w:rPr>
        <w:t xml:space="preserve">У </w:t>
      </w:r>
      <w:r w:rsidRPr="001F1E6C">
        <w:rPr>
          <w:i/>
          <w:iCs/>
          <w:lang w:val="ru-RU"/>
        </w:rPr>
        <w:t xml:space="preserve"> 202</w:t>
      </w:r>
      <w:r>
        <w:rPr>
          <w:i/>
          <w:iCs/>
          <w:lang w:val="ru-RU"/>
        </w:rPr>
        <w:t>4</w:t>
      </w:r>
      <w:r w:rsidRPr="001F1E6C">
        <w:rPr>
          <w:i/>
          <w:iCs/>
          <w:lang w:val="ru-RU"/>
        </w:rPr>
        <w:t xml:space="preserve"> </w:t>
      </w:r>
      <w:proofErr w:type="spellStart"/>
      <w:r w:rsidRPr="001F1E6C">
        <w:rPr>
          <w:i/>
          <w:iCs/>
          <w:lang w:val="ru-RU"/>
        </w:rPr>
        <w:t>році</w:t>
      </w:r>
      <w:proofErr w:type="spellEnd"/>
      <w:r w:rsidRPr="001F1E6C">
        <w:rPr>
          <w:i/>
          <w:iCs/>
          <w:lang w:val="ru-RU"/>
        </w:rPr>
        <w:t xml:space="preserve"> </w:t>
      </w:r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розглянуто</w:t>
      </w:r>
      <w:proofErr w:type="spellEnd"/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з</w:t>
      </w:r>
      <w:proofErr w:type="spellEnd"/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постановленням</w:t>
      </w:r>
      <w:proofErr w:type="spellEnd"/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вироку</w:t>
      </w:r>
      <w:proofErr w:type="spellEnd"/>
      <w:r w:rsidRPr="001F1E6C">
        <w:rPr>
          <w:lang w:val="ru-RU"/>
        </w:rPr>
        <w:t xml:space="preserve"> 2</w:t>
      </w:r>
      <w:r>
        <w:rPr>
          <w:lang w:val="ru-RU"/>
        </w:rPr>
        <w:t>10</w:t>
      </w:r>
      <w:r w:rsidRPr="001F1E6C">
        <w:rPr>
          <w:lang w:val="ru-RU"/>
        </w:rPr>
        <w:t xml:space="preserve"> справ (</w:t>
      </w:r>
      <w:proofErr w:type="spellStart"/>
      <w:r w:rsidRPr="001F1E6C">
        <w:rPr>
          <w:lang w:val="ru-RU"/>
        </w:rPr>
        <w:t>проваджень</w:t>
      </w:r>
      <w:proofErr w:type="spellEnd"/>
      <w:r w:rsidRPr="001F1E6C">
        <w:rPr>
          <w:lang w:val="ru-RU"/>
        </w:rPr>
        <w:t xml:space="preserve">), </w:t>
      </w:r>
      <w:proofErr w:type="spellStart"/>
      <w:r w:rsidRPr="001F1E6C">
        <w:rPr>
          <w:lang w:val="ru-RU"/>
        </w:rPr>
        <w:t>засуджено</w:t>
      </w:r>
      <w:proofErr w:type="spellEnd"/>
      <w:r w:rsidRPr="001F1E6C">
        <w:rPr>
          <w:lang w:val="ru-RU"/>
        </w:rPr>
        <w:t xml:space="preserve"> 21</w:t>
      </w:r>
      <w:r>
        <w:rPr>
          <w:lang w:val="ru-RU"/>
        </w:rPr>
        <w:t>5</w:t>
      </w:r>
      <w:r w:rsidRPr="001F1E6C">
        <w:rPr>
          <w:lang w:val="ru-RU"/>
        </w:rPr>
        <w:t xml:space="preserve"> </w:t>
      </w:r>
      <w:proofErr w:type="spellStart"/>
      <w:proofErr w:type="gramStart"/>
      <w:r w:rsidRPr="001F1E6C">
        <w:rPr>
          <w:lang w:val="ru-RU"/>
        </w:rPr>
        <w:t>осіб</w:t>
      </w:r>
      <w:proofErr w:type="spellEnd"/>
      <w:proofErr w:type="gramEnd"/>
      <w:r w:rsidRPr="001F1E6C">
        <w:rPr>
          <w:lang w:val="ru-RU"/>
        </w:rPr>
        <w:t xml:space="preserve">, </w:t>
      </w:r>
      <w:proofErr w:type="spellStart"/>
      <w:r w:rsidRPr="001F1E6C">
        <w:rPr>
          <w:lang w:val="ru-RU"/>
        </w:rPr>
        <w:t>виправдано</w:t>
      </w:r>
      <w:proofErr w:type="spellEnd"/>
      <w:r w:rsidRPr="001F1E6C">
        <w:rPr>
          <w:lang w:val="ru-RU"/>
        </w:rPr>
        <w:t xml:space="preserve"> - 0</w:t>
      </w:r>
      <w:r>
        <w:rPr>
          <w:lang w:val="ru-RU"/>
        </w:rPr>
        <w:t xml:space="preserve">. </w:t>
      </w:r>
      <w:proofErr w:type="spellStart"/>
      <w:r>
        <w:rPr>
          <w:lang w:val="ru-RU"/>
        </w:rPr>
        <w:t>Закрито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провадженням</w:t>
      </w:r>
      <w:proofErr w:type="spellEnd"/>
      <w:r>
        <w:rPr>
          <w:lang w:val="ru-RU"/>
        </w:rPr>
        <w:t xml:space="preserve"> 87</w:t>
      </w:r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кримінальних</w:t>
      </w:r>
      <w:proofErr w:type="spellEnd"/>
      <w:r w:rsidRPr="001F1E6C">
        <w:rPr>
          <w:lang w:val="ru-RU"/>
        </w:rPr>
        <w:t xml:space="preserve"> справ (</w:t>
      </w:r>
      <w:proofErr w:type="spellStart"/>
      <w:r w:rsidRPr="001F1E6C">
        <w:rPr>
          <w:lang w:val="ru-RU"/>
        </w:rPr>
        <w:t>провадження</w:t>
      </w:r>
      <w:proofErr w:type="spellEnd"/>
      <w:r w:rsidRPr="001F1E6C">
        <w:rPr>
          <w:lang w:val="ru-RU"/>
        </w:rPr>
        <w:t xml:space="preserve">),  </w:t>
      </w:r>
      <w:proofErr w:type="spellStart"/>
      <w:r w:rsidRPr="001F1E6C">
        <w:rPr>
          <w:lang w:val="ru-RU"/>
        </w:rPr>
        <w:t>відносно</w:t>
      </w:r>
      <w:proofErr w:type="spellEnd"/>
      <w:r w:rsidRPr="001F1E6C">
        <w:rPr>
          <w:lang w:val="ru-RU"/>
        </w:rPr>
        <w:t xml:space="preserve"> </w:t>
      </w:r>
      <w:r>
        <w:rPr>
          <w:lang w:val="ru-RU"/>
        </w:rPr>
        <w:t>89</w:t>
      </w:r>
      <w:r w:rsidRPr="001F1E6C">
        <w:rPr>
          <w:lang w:val="ru-RU"/>
        </w:rPr>
        <w:t xml:space="preserve"> </w:t>
      </w:r>
      <w:proofErr w:type="spellStart"/>
      <w:proofErr w:type="gramStart"/>
      <w:r w:rsidRPr="001F1E6C">
        <w:rPr>
          <w:lang w:val="ru-RU"/>
        </w:rPr>
        <w:t>осіб</w:t>
      </w:r>
      <w:proofErr w:type="spellEnd"/>
      <w:proofErr w:type="gramEnd"/>
      <w:r w:rsidRPr="001F1E6C">
        <w:rPr>
          <w:lang w:val="ru-RU"/>
        </w:rPr>
        <w:t xml:space="preserve">.  Повернуто прокурору  </w:t>
      </w:r>
      <w:r>
        <w:rPr>
          <w:lang w:val="ru-RU"/>
        </w:rPr>
        <w:t>1</w:t>
      </w:r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кримінальних</w:t>
      </w:r>
      <w:proofErr w:type="spellEnd"/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провадження</w:t>
      </w:r>
      <w:proofErr w:type="spellEnd"/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відносно</w:t>
      </w:r>
      <w:proofErr w:type="spellEnd"/>
      <w:r w:rsidRPr="001F1E6C">
        <w:rPr>
          <w:lang w:val="ru-RU"/>
        </w:rPr>
        <w:t xml:space="preserve"> </w:t>
      </w:r>
      <w:r>
        <w:rPr>
          <w:lang w:val="ru-RU"/>
        </w:rPr>
        <w:t>1</w:t>
      </w:r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осіб</w:t>
      </w:r>
      <w:proofErr w:type="spellEnd"/>
      <w:r w:rsidRPr="001F1E6C">
        <w:rPr>
          <w:lang w:val="ru-RU"/>
        </w:rPr>
        <w:t xml:space="preserve">.  </w:t>
      </w:r>
      <w:proofErr w:type="spellStart"/>
      <w:r w:rsidRPr="001F1E6C">
        <w:rPr>
          <w:lang w:val="ru-RU"/>
        </w:rPr>
        <w:t>Всього</w:t>
      </w:r>
      <w:proofErr w:type="spellEnd"/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закінчено</w:t>
      </w:r>
      <w:proofErr w:type="spellEnd"/>
      <w:r w:rsidRPr="001F1E6C">
        <w:rPr>
          <w:lang w:val="ru-RU"/>
        </w:rPr>
        <w:t xml:space="preserve">  </w:t>
      </w:r>
      <w:r>
        <w:rPr>
          <w:lang w:val="ru-RU"/>
        </w:rPr>
        <w:t>300</w:t>
      </w:r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кримінальних</w:t>
      </w:r>
      <w:proofErr w:type="spellEnd"/>
      <w:r w:rsidRPr="001F1E6C">
        <w:rPr>
          <w:lang w:val="ru-RU"/>
        </w:rPr>
        <w:t xml:space="preserve"> справ (</w:t>
      </w:r>
      <w:proofErr w:type="spellStart"/>
      <w:r w:rsidRPr="001F1E6C">
        <w:rPr>
          <w:lang w:val="ru-RU"/>
        </w:rPr>
        <w:t>провадження</w:t>
      </w:r>
      <w:proofErr w:type="spellEnd"/>
      <w:r w:rsidRPr="001F1E6C">
        <w:rPr>
          <w:lang w:val="ru-RU"/>
        </w:rPr>
        <w:t xml:space="preserve">) </w:t>
      </w:r>
      <w:proofErr w:type="spellStart"/>
      <w:r w:rsidRPr="001F1E6C">
        <w:rPr>
          <w:lang w:val="ru-RU"/>
        </w:rPr>
        <w:t>відносно</w:t>
      </w:r>
      <w:proofErr w:type="spellEnd"/>
      <w:r w:rsidRPr="001F1E6C">
        <w:rPr>
          <w:lang w:val="ru-RU"/>
        </w:rPr>
        <w:t xml:space="preserve"> </w:t>
      </w:r>
      <w:r>
        <w:rPr>
          <w:lang w:val="ru-RU"/>
        </w:rPr>
        <w:t>308</w:t>
      </w:r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осіб</w:t>
      </w:r>
      <w:proofErr w:type="spellEnd"/>
      <w:r w:rsidRPr="001F1E6C">
        <w:rPr>
          <w:lang w:val="ru-RU"/>
        </w:rPr>
        <w:t xml:space="preserve">.  </w:t>
      </w:r>
    </w:p>
    <w:p w:rsidR="00E13C10" w:rsidRPr="001F1E6C" w:rsidRDefault="00E13C10" w:rsidP="00E13C10">
      <w:pPr>
        <w:pStyle w:val="21"/>
        <w:spacing w:after="0" w:line="276" w:lineRule="auto"/>
        <w:ind w:left="0" w:firstLine="851"/>
        <w:jc w:val="both"/>
        <w:rPr>
          <w:lang w:val="ru-RU"/>
        </w:rPr>
      </w:pPr>
    </w:p>
    <w:p w:rsidR="00E13C10" w:rsidRDefault="00E13C10" w:rsidP="00E13C10">
      <w:pPr>
        <w:pStyle w:val="21"/>
        <w:spacing w:after="0" w:line="276" w:lineRule="auto"/>
        <w:ind w:left="0" w:firstLine="708"/>
        <w:jc w:val="both"/>
        <w:rPr>
          <w:lang w:val="ru-RU"/>
        </w:rPr>
      </w:pPr>
      <w:proofErr w:type="spellStart"/>
      <w:r w:rsidRPr="001F1E6C">
        <w:rPr>
          <w:lang w:val="ru-RU"/>
        </w:rPr>
        <w:t>Залишок</w:t>
      </w:r>
      <w:proofErr w:type="spellEnd"/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кримінальних</w:t>
      </w:r>
      <w:proofErr w:type="spellEnd"/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проваджень</w:t>
      </w:r>
      <w:proofErr w:type="spellEnd"/>
      <w:r w:rsidRPr="001F1E6C">
        <w:rPr>
          <w:lang w:val="ru-RU"/>
        </w:rPr>
        <w:t xml:space="preserve"> (справ)  на </w:t>
      </w:r>
      <w:proofErr w:type="spellStart"/>
      <w:r w:rsidRPr="001F1E6C">
        <w:rPr>
          <w:lang w:val="ru-RU"/>
        </w:rPr>
        <w:t>кінець</w:t>
      </w:r>
      <w:proofErr w:type="spellEnd"/>
      <w:r w:rsidRPr="001F1E6C">
        <w:rPr>
          <w:lang w:val="ru-RU"/>
        </w:rPr>
        <w:t xml:space="preserve"> 202</w:t>
      </w:r>
      <w:r w:rsidR="00143458">
        <w:rPr>
          <w:lang w:val="ru-RU"/>
        </w:rPr>
        <w:t>5</w:t>
      </w:r>
      <w:r w:rsidRPr="001F1E6C">
        <w:rPr>
          <w:lang w:val="ru-RU"/>
        </w:rPr>
        <w:t xml:space="preserve"> року </w:t>
      </w:r>
      <w:proofErr w:type="spellStart"/>
      <w:r w:rsidRPr="001F1E6C">
        <w:rPr>
          <w:lang w:val="ru-RU"/>
        </w:rPr>
        <w:t>складає</w:t>
      </w:r>
      <w:proofErr w:type="spellEnd"/>
      <w:r w:rsidRPr="001F1E6C">
        <w:rPr>
          <w:lang w:val="ru-RU"/>
        </w:rPr>
        <w:t xml:space="preserve"> </w:t>
      </w:r>
      <w:r>
        <w:rPr>
          <w:lang w:val="ru-RU"/>
        </w:rPr>
        <w:t>2</w:t>
      </w:r>
      <w:r w:rsidR="00143458">
        <w:rPr>
          <w:lang w:val="ru-RU"/>
        </w:rPr>
        <w:t>16</w:t>
      </w:r>
      <w:r w:rsidRPr="001F1E6C">
        <w:rPr>
          <w:lang w:val="ru-RU"/>
        </w:rPr>
        <w:t xml:space="preserve">, </w:t>
      </w:r>
      <w:proofErr w:type="spellStart"/>
      <w:r w:rsidRPr="001F1E6C">
        <w:rPr>
          <w:lang w:val="ru-RU"/>
        </w:rPr>
        <w:t>з</w:t>
      </w:r>
      <w:proofErr w:type="spellEnd"/>
      <w:r w:rsidRPr="001F1E6C">
        <w:rPr>
          <w:lang w:val="ru-RU"/>
        </w:rPr>
        <w:t xml:space="preserve"> них </w:t>
      </w:r>
      <w:r w:rsidR="00337F88">
        <w:rPr>
          <w:lang w:val="ru-RU"/>
        </w:rPr>
        <w:t>73</w:t>
      </w:r>
      <w:r w:rsidRPr="009C21EE">
        <w:rPr>
          <w:lang w:val="ru-RU"/>
        </w:rPr>
        <w:t xml:space="preserve"> </w:t>
      </w:r>
      <w:proofErr w:type="spellStart"/>
      <w:r w:rsidRPr="009C21EE">
        <w:rPr>
          <w:lang w:val="ru-RU"/>
        </w:rPr>
        <w:t>є</w:t>
      </w:r>
      <w:proofErr w:type="spellEnd"/>
      <w:r w:rsidRPr="009C21EE">
        <w:rPr>
          <w:lang w:val="ru-RU"/>
        </w:rPr>
        <w:t xml:space="preserve"> </w:t>
      </w:r>
      <w:proofErr w:type="spellStart"/>
      <w:r w:rsidRPr="009C21EE">
        <w:rPr>
          <w:lang w:val="ru-RU"/>
        </w:rPr>
        <w:t>призупиненим</w:t>
      </w:r>
      <w:r>
        <w:rPr>
          <w:lang w:val="ru-RU"/>
        </w:rPr>
        <w:t>и</w:t>
      </w:r>
      <w:proofErr w:type="spellEnd"/>
      <w:r>
        <w:rPr>
          <w:lang w:val="ru-RU"/>
        </w:rPr>
        <w:t xml:space="preserve">, </w:t>
      </w:r>
      <w:proofErr w:type="gramStart"/>
      <w:r w:rsidRPr="009C21EE">
        <w:rPr>
          <w:lang w:val="ru-RU"/>
        </w:rPr>
        <w:t>у</w:t>
      </w:r>
      <w:proofErr w:type="gramEnd"/>
      <w:r w:rsidRPr="009C21EE">
        <w:rPr>
          <w:lang w:val="ru-RU"/>
        </w:rPr>
        <w:t xml:space="preserve"> </w:t>
      </w:r>
      <w:r w:rsidRPr="00337F88">
        <w:rPr>
          <w:lang w:val="ru-RU"/>
        </w:rPr>
        <w:t xml:space="preserve">тому </w:t>
      </w:r>
      <w:proofErr w:type="spellStart"/>
      <w:r w:rsidRPr="00337F88">
        <w:rPr>
          <w:lang w:val="ru-RU"/>
        </w:rPr>
        <w:t>числі</w:t>
      </w:r>
      <w:proofErr w:type="spellEnd"/>
      <w:r w:rsidRPr="00337F88">
        <w:rPr>
          <w:lang w:val="ru-RU"/>
        </w:rPr>
        <w:t xml:space="preserve"> </w:t>
      </w:r>
      <w:r w:rsidR="00337F88" w:rsidRPr="00337F88">
        <w:rPr>
          <w:lang w:val="ru-RU"/>
        </w:rPr>
        <w:t>27</w:t>
      </w:r>
      <w:r w:rsidRPr="009C21EE">
        <w:rPr>
          <w:lang w:val="ru-RU"/>
        </w:rPr>
        <w:t xml:space="preserve"> у </w:t>
      </w:r>
      <w:proofErr w:type="spellStart"/>
      <w:r w:rsidRPr="009C21EE">
        <w:rPr>
          <w:lang w:val="ru-RU"/>
        </w:rPr>
        <w:t>зв’язку</w:t>
      </w:r>
      <w:proofErr w:type="spellEnd"/>
      <w:r w:rsidRPr="009C21EE">
        <w:rPr>
          <w:lang w:val="ru-RU"/>
        </w:rPr>
        <w:t xml:space="preserve"> </w:t>
      </w:r>
      <w:proofErr w:type="spellStart"/>
      <w:r w:rsidRPr="009C21EE">
        <w:rPr>
          <w:lang w:val="ru-RU"/>
        </w:rPr>
        <w:t>з</w:t>
      </w:r>
      <w:proofErr w:type="spellEnd"/>
      <w:r w:rsidRPr="009C21EE">
        <w:rPr>
          <w:lang w:val="ru-RU"/>
        </w:rPr>
        <w:t xml:space="preserve"> </w:t>
      </w:r>
      <w:proofErr w:type="spellStart"/>
      <w:r w:rsidRPr="009C21EE">
        <w:rPr>
          <w:lang w:val="ru-RU"/>
        </w:rPr>
        <w:t>розшуком</w:t>
      </w:r>
      <w:proofErr w:type="spellEnd"/>
      <w:r>
        <w:rPr>
          <w:lang w:val="ru-RU"/>
        </w:rPr>
        <w:t>.</w:t>
      </w:r>
    </w:p>
    <w:p w:rsidR="00E13C10" w:rsidRDefault="00E13C10" w:rsidP="00E13C10">
      <w:pPr>
        <w:pStyle w:val="21"/>
        <w:spacing w:after="0" w:line="276" w:lineRule="auto"/>
        <w:ind w:left="0" w:firstLine="708"/>
        <w:jc w:val="both"/>
        <w:rPr>
          <w:lang w:val="ru-RU"/>
        </w:rPr>
      </w:pPr>
      <w:r w:rsidRPr="009C21EE">
        <w:rPr>
          <w:lang w:val="ru-RU"/>
        </w:rPr>
        <w:t xml:space="preserve">Не </w:t>
      </w:r>
      <w:proofErr w:type="spellStart"/>
      <w:r w:rsidRPr="009C21EE">
        <w:rPr>
          <w:lang w:val="ru-RU"/>
        </w:rPr>
        <w:t>розглянуто</w:t>
      </w:r>
      <w:proofErr w:type="spellEnd"/>
      <w:r w:rsidRPr="009C21EE">
        <w:rPr>
          <w:lang w:val="ru-RU"/>
        </w:rPr>
        <w:t xml:space="preserve"> в</w:t>
      </w:r>
      <w:r>
        <w:rPr>
          <w:lang w:val="ru-RU"/>
        </w:rPr>
        <w:t xml:space="preserve"> </w:t>
      </w:r>
      <w:proofErr w:type="spellStart"/>
      <w:r w:rsidR="00337F88">
        <w:rPr>
          <w:lang w:val="ru-RU"/>
        </w:rPr>
        <w:t>термін</w:t>
      </w:r>
      <w:proofErr w:type="spellEnd"/>
      <w:r w:rsidR="00337F88">
        <w:rPr>
          <w:lang w:val="ru-RU"/>
        </w:rPr>
        <w:t xml:space="preserve"> 6 </w:t>
      </w:r>
      <w:proofErr w:type="spellStart"/>
      <w:r w:rsidR="00337F88">
        <w:rPr>
          <w:lang w:val="ru-RU"/>
        </w:rPr>
        <w:t>місяців</w:t>
      </w:r>
      <w:proofErr w:type="spellEnd"/>
      <w:r w:rsidR="00337F88">
        <w:rPr>
          <w:lang w:val="ru-RU"/>
        </w:rPr>
        <w:t xml:space="preserve"> до  1 року - 21</w:t>
      </w:r>
      <w:r w:rsidR="00F814BB">
        <w:rPr>
          <w:lang w:val="ru-RU"/>
        </w:rPr>
        <w:t xml:space="preserve"> </w:t>
      </w:r>
      <w:proofErr w:type="spellStart"/>
      <w:r w:rsidR="00F814BB">
        <w:rPr>
          <w:lang w:val="ru-RU"/>
        </w:rPr>
        <w:t>кримінальне</w:t>
      </w:r>
      <w:proofErr w:type="spellEnd"/>
      <w:r w:rsidR="00F814BB">
        <w:rPr>
          <w:lang w:val="ru-RU"/>
        </w:rPr>
        <w:t xml:space="preserve"> (справ) </w:t>
      </w:r>
      <w:proofErr w:type="spellStart"/>
      <w:r w:rsidR="00F814BB">
        <w:rPr>
          <w:lang w:val="ru-RU"/>
        </w:rPr>
        <w:t>провадження</w:t>
      </w:r>
      <w:proofErr w:type="spellEnd"/>
      <w:r w:rsidRPr="009C21EE">
        <w:rPr>
          <w:lang w:val="ru-RU"/>
        </w:rPr>
        <w:t xml:space="preserve">, </w:t>
      </w:r>
      <w:r w:rsidR="00337F88">
        <w:rPr>
          <w:lang w:val="ru-RU"/>
        </w:rPr>
        <w:t xml:space="preserve"> </w:t>
      </w:r>
      <w:proofErr w:type="spellStart"/>
      <w:r w:rsidR="00337F88">
        <w:rPr>
          <w:lang w:val="ru-RU"/>
        </w:rPr>
        <w:t>понад</w:t>
      </w:r>
      <w:proofErr w:type="spellEnd"/>
      <w:r w:rsidR="00337F88">
        <w:rPr>
          <w:lang w:val="ru-RU"/>
        </w:rPr>
        <w:t xml:space="preserve"> 1 </w:t>
      </w:r>
      <w:proofErr w:type="spellStart"/>
      <w:proofErr w:type="gramStart"/>
      <w:r w:rsidR="00337F88">
        <w:rPr>
          <w:lang w:val="ru-RU"/>
        </w:rPr>
        <w:t>р</w:t>
      </w:r>
      <w:proofErr w:type="gramEnd"/>
      <w:r w:rsidR="00337F88">
        <w:rPr>
          <w:lang w:val="ru-RU"/>
        </w:rPr>
        <w:t>ік</w:t>
      </w:r>
      <w:proofErr w:type="spellEnd"/>
      <w:r w:rsidR="00337F88">
        <w:rPr>
          <w:lang w:val="ru-RU"/>
        </w:rPr>
        <w:t xml:space="preserve"> до 2 </w:t>
      </w:r>
      <w:proofErr w:type="spellStart"/>
      <w:r w:rsidR="00337F88">
        <w:rPr>
          <w:lang w:val="ru-RU"/>
        </w:rPr>
        <w:t>років</w:t>
      </w:r>
      <w:proofErr w:type="spellEnd"/>
      <w:r w:rsidR="00337F88">
        <w:rPr>
          <w:lang w:val="ru-RU"/>
        </w:rPr>
        <w:t xml:space="preserve"> – 28</w:t>
      </w:r>
      <w:r w:rsidRPr="009C21EE">
        <w:rPr>
          <w:lang w:val="ru-RU"/>
        </w:rPr>
        <w:t xml:space="preserve">, </w:t>
      </w:r>
      <w:proofErr w:type="spellStart"/>
      <w:r w:rsidRPr="009C21EE">
        <w:rPr>
          <w:lang w:val="ru-RU"/>
        </w:rPr>
        <w:t>понад</w:t>
      </w:r>
      <w:proofErr w:type="spellEnd"/>
      <w:r w:rsidRPr="009C21EE">
        <w:rPr>
          <w:lang w:val="ru-RU"/>
        </w:rPr>
        <w:t xml:space="preserve"> 2 роки – </w:t>
      </w:r>
      <w:r w:rsidR="00337F88">
        <w:rPr>
          <w:lang w:val="ru-RU"/>
        </w:rPr>
        <w:t>34</w:t>
      </w:r>
      <w:r w:rsidRPr="009C21EE">
        <w:rPr>
          <w:lang w:val="ru-RU"/>
        </w:rPr>
        <w:t xml:space="preserve"> </w:t>
      </w:r>
      <w:proofErr w:type="spellStart"/>
      <w:r w:rsidRPr="009C21EE">
        <w:rPr>
          <w:lang w:val="ru-RU"/>
        </w:rPr>
        <w:t>кримінальн</w:t>
      </w:r>
      <w:r w:rsidR="00337F88">
        <w:rPr>
          <w:lang w:val="ru-RU"/>
        </w:rPr>
        <w:t>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проваджен</w:t>
      </w:r>
      <w:r w:rsidR="00F814BB">
        <w:rPr>
          <w:lang w:val="ru-RU"/>
        </w:rPr>
        <w:t>ня</w:t>
      </w:r>
      <w:proofErr w:type="spellEnd"/>
      <w:r>
        <w:rPr>
          <w:lang w:val="ru-RU"/>
        </w:rPr>
        <w:t>.</w:t>
      </w:r>
      <w:r w:rsidRPr="009C21EE">
        <w:rPr>
          <w:lang w:val="ru-RU"/>
        </w:rPr>
        <w:t xml:space="preserve"> </w:t>
      </w:r>
    </w:p>
    <w:p w:rsidR="00E13C10" w:rsidRDefault="00E13C10" w:rsidP="00E13C10">
      <w:pPr>
        <w:ind w:firstLine="720"/>
        <w:rPr>
          <w:b/>
          <w:bCs/>
          <w:i/>
          <w:iCs/>
          <w:u w:val="single"/>
          <w:lang w:val="ru-RU"/>
        </w:rPr>
      </w:pPr>
    </w:p>
    <w:p w:rsidR="00143458" w:rsidRDefault="00143458" w:rsidP="00143458">
      <w:pPr>
        <w:pStyle w:val="21"/>
        <w:spacing w:after="0" w:line="276" w:lineRule="auto"/>
        <w:ind w:left="0" w:firstLine="708"/>
        <w:jc w:val="both"/>
        <w:rPr>
          <w:lang w:val="ru-RU"/>
        </w:rPr>
      </w:pPr>
      <w:proofErr w:type="spellStart"/>
      <w:r w:rsidRPr="001F1E6C">
        <w:rPr>
          <w:lang w:val="ru-RU"/>
        </w:rPr>
        <w:t>Залишок</w:t>
      </w:r>
      <w:proofErr w:type="spellEnd"/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кримінальних</w:t>
      </w:r>
      <w:proofErr w:type="spellEnd"/>
      <w:r w:rsidRPr="001F1E6C">
        <w:rPr>
          <w:lang w:val="ru-RU"/>
        </w:rPr>
        <w:t xml:space="preserve"> </w:t>
      </w:r>
      <w:proofErr w:type="spellStart"/>
      <w:r w:rsidRPr="001F1E6C">
        <w:rPr>
          <w:lang w:val="ru-RU"/>
        </w:rPr>
        <w:t>проваджень</w:t>
      </w:r>
      <w:proofErr w:type="spellEnd"/>
      <w:r w:rsidRPr="001F1E6C">
        <w:rPr>
          <w:lang w:val="ru-RU"/>
        </w:rPr>
        <w:t xml:space="preserve"> (справ)  на </w:t>
      </w:r>
      <w:proofErr w:type="spellStart"/>
      <w:r w:rsidRPr="001F1E6C">
        <w:rPr>
          <w:lang w:val="ru-RU"/>
        </w:rPr>
        <w:t>кінець</w:t>
      </w:r>
      <w:proofErr w:type="spellEnd"/>
      <w:r w:rsidRPr="001F1E6C">
        <w:rPr>
          <w:lang w:val="ru-RU"/>
        </w:rPr>
        <w:t xml:space="preserve"> 202</w:t>
      </w:r>
      <w:r>
        <w:rPr>
          <w:lang w:val="ru-RU"/>
        </w:rPr>
        <w:t>4</w:t>
      </w:r>
      <w:r w:rsidRPr="001F1E6C">
        <w:rPr>
          <w:lang w:val="ru-RU"/>
        </w:rPr>
        <w:t xml:space="preserve"> року </w:t>
      </w:r>
      <w:proofErr w:type="spellStart"/>
      <w:r w:rsidRPr="001F1E6C">
        <w:rPr>
          <w:lang w:val="ru-RU"/>
        </w:rPr>
        <w:t>складає</w:t>
      </w:r>
      <w:proofErr w:type="spellEnd"/>
      <w:r w:rsidRPr="001F1E6C">
        <w:rPr>
          <w:lang w:val="ru-RU"/>
        </w:rPr>
        <w:t xml:space="preserve"> </w:t>
      </w:r>
      <w:r>
        <w:rPr>
          <w:lang w:val="ru-RU"/>
        </w:rPr>
        <w:t>237</w:t>
      </w:r>
      <w:r w:rsidRPr="001F1E6C">
        <w:rPr>
          <w:lang w:val="ru-RU"/>
        </w:rPr>
        <w:t xml:space="preserve">, </w:t>
      </w:r>
      <w:proofErr w:type="spellStart"/>
      <w:r w:rsidRPr="001F1E6C">
        <w:rPr>
          <w:lang w:val="ru-RU"/>
        </w:rPr>
        <w:t>з</w:t>
      </w:r>
      <w:proofErr w:type="spellEnd"/>
      <w:r w:rsidRPr="001F1E6C">
        <w:rPr>
          <w:lang w:val="ru-RU"/>
        </w:rPr>
        <w:t xml:space="preserve"> них </w:t>
      </w:r>
      <w:r>
        <w:rPr>
          <w:lang w:val="ru-RU"/>
        </w:rPr>
        <w:t>44</w:t>
      </w:r>
      <w:r w:rsidRPr="009C21EE">
        <w:rPr>
          <w:lang w:val="ru-RU"/>
        </w:rPr>
        <w:t xml:space="preserve"> </w:t>
      </w:r>
      <w:proofErr w:type="spellStart"/>
      <w:r w:rsidRPr="009C21EE">
        <w:rPr>
          <w:lang w:val="ru-RU"/>
        </w:rPr>
        <w:t>є</w:t>
      </w:r>
      <w:proofErr w:type="spellEnd"/>
      <w:r w:rsidRPr="009C21EE">
        <w:rPr>
          <w:lang w:val="ru-RU"/>
        </w:rPr>
        <w:t xml:space="preserve"> </w:t>
      </w:r>
      <w:proofErr w:type="spellStart"/>
      <w:r w:rsidRPr="009C21EE">
        <w:rPr>
          <w:lang w:val="ru-RU"/>
        </w:rPr>
        <w:t>призупиненим</w:t>
      </w:r>
      <w:r>
        <w:rPr>
          <w:lang w:val="ru-RU"/>
        </w:rPr>
        <w:t>и</w:t>
      </w:r>
      <w:proofErr w:type="spellEnd"/>
      <w:r>
        <w:rPr>
          <w:lang w:val="ru-RU"/>
        </w:rPr>
        <w:t xml:space="preserve">, </w:t>
      </w:r>
      <w:proofErr w:type="gramStart"/>
      <w:r w:rsidRPr="009C21EE">
        <w:rPr>
          <w:lang w:val="ru-RU"/>
        </w:rPr>
        <w:t>у</w:t>
      </w:r>
      <w:proofErr w:type="gramEnd"/>
      <w:r w:rsidRPr="009C21EE">
        <w:rPr>
          <w:lang w:val="ru-RU"/>
        </w:rPr>
        <w:t xml:space="preserve"> тому </w:t>
      </w:r>
      <w:proofErr w:type="spellStart"/>
      <w:r w:rsidRPr="009C21EE">
        <w:rPr>
          <w:lang w:val="ru-RU"/>
        </w:rPr>
        <w:t>числі</w:t>
      </w:r>
      <w:proofErr w:type="spellEnd"/>
      <w:r w:rsidRPr="009C21EE">
        <w:rPr>
          <w:lang w:val="ru-RU"/>
        </w:rPr>
        <w:t xml:space="preserve"> </w:t>
      </w:r>
      <w:r>
        <w:rPr>
          <w:lang w:val="ru-RU"/>
        </w:rPr>
        <w:t>12</w:t>
      </w:r>
      <w:r w:rsidRPr="009C21EE">
        <w:rPr>
          <w:lang w:val="ru-RU"/>
        </w:rPr>
        <w:t xml:space="preserve"> у </w:t>
      </w:r>
      <w:proofErr w:type="spellStart"/>
      <w:r w:rsidRPr="009C21EE">
        <w:rPr>
          <w:lang w:val="ru-RU"/>
        </w:rPr>
        <w:t>зв’язку</w:t>
      </w:r>
      <w:proofErr w:type="spellEnd"/>
      <w:r w:rsidRPr="009C21EE">
        <w:rPr>
          <w:lang w:val="ru-RU"/>
        </w:rPr>
        <w:t xml:space="preserve"> </w:t>
      </w:r>
      <w:proofErr w:type="spellStart"/>
      <w:r w:rsidRPr="009C21EE">
        <w:rPr>
          <w:lang w:val="ru-RU"/>
        </w:rPr>
        <w:t>з</w:t>
      </w:r>
      <w:proofErr w:type="spellEnd"/>
      <w:r w:rsidRPr="009C21EE">
        <w:rPr>
          <w:lang w:val="ru-RU"/>
        </w:rPr>
        <w:t xml:space="preserve"> </w:t>
      </w:r>
      <w:proofErr w:type="spellStart"/>
      <w:r w:rsidRPr="009C21EE">
        <w:rPr>
          <w:lang w:val="ru-RU"/>
        </w:rPr>
        <w:t>розшуком</w:t>
      </w:r>
      <w:proofErr w:type="spellEnd"/>
      <w:r>
        <w:rPr>
          <w:lang w:val="ru-RU"/>
        </w:rPr>
        <w:t>.</w:t>
      </w:r>
    </w:p>
    <w:p w:rsidR="00143458" w:rsidRDefault="00143458" w:rsidP="00143458">
      <w:pPr>
        <w:pStyle w:val="21"/>
        <w:spacing w:after="0" w:line="276" w:lineRule="auto"/>
        <w:ind w:left="0" w:firstLine="708"/>
        <w:jc w:val="both"/>
        <w:rPr>
          <w:lang w:val="ru-RU"/>
        </w:rPr>
      </w:pPr>
      <w:r w:rsidRPr="009C21EE">
        <w:rPr>
          <w:lang w:val="ru-RU"/>
        </w:rPr>
        <w:t xml:space="preserve">Не </w:t>
      </w:r>
      <w:proofErr w:type="spellStart"/>
      <w:r w:rsidRPr="009C21EE">
        <w:rPr>
          <w:lang w:val="ru-RU"/>
        </w:rPr>
        <w:t>розглянуто</w:t>
      </w:r>
      <w:proofErr w:type="spellEnd"/>
      <w:r w:rsidRPr="009C21EE">
        <w:rPr>
          <w:lang w:val="ru-RU"/>
        </w:rPr>
        <w:t xml:space="preserve"> в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термін</w:t>
      </w:r>
      <w:proofErr w:type="spellEnd"/>
      <w:r>
        <w:rPr>
          <w:lang w:val="ru-RU"/>
        </w:rPr>
        <w:t xml:space="preserve"> 6 </w:t>
      </w:r>
      <w:proofErr w:type="spellStart"/>
      <w:r>
        <w:rPr>
          <w:lang w:val="ru-RU"/>
        </w:rPr>
        <w:t>місяців</w:t>
      </w:r>
      <w:proofErr w:type="spellEnd"/>
      <w:r>
        <w:rPr>
          <w:lang w:val="ru-RU"/>
        </w:rPr>
        <w:t xml:space="preserve"> до  1 року - 42</w:t>
      </w:r>
      <w:r w:rsidRPr="009C21EE">
        <w:rPr>
          <w:lang w:val="ru-RU"/>
        </w:rPr>
        <w:t xml:space="preserve"> </w:t>
      </w:r>
      <w:proofErr w:type="spellStart"/>
      <w:r w:rsidRPr="009C21EE">
        <w:rPr>
          <w:lang w:val="ru-RU"/>
        </w:rPr>
        <w:t>кримінальних</w:t>
      </w:r>
      <w:proofErr w:type="spellEnd"/>
      <w:r w:rsidRPr="009C21EE">
        <w:rPr>
          <w:lang w:val="ru-RU"/>
        </w:rPr>
        <w:t xml:space="preserve"> (справ) </w:t>
      </w:r>
      <w:proofErr w:type="spellStart"/>
      <w:r w:rsidRPr="009C21EE">
        <w:rPr>
          <w:lang w:val="ru-RU"/>
        </w:rPr>
        <w:t>проваджень</w:t>
      </w:r>
      <w:proofErr w:type="spellEnd"/>
      <w:r w:rsidRPr="009C21EE">
        <w:rPr>
          <w:lang w:val="ru-RU"/>
        </w:rPr>
        <w:t xml:space="preserve">,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понад</w:t>
      </w:r>
      <w:proofErr w:type="spellEnd"/>
      <w:r>
        <w:rPr>
          <w:lang w:val="ru-RU"/>
        </w:rPr>
        <w:t xml:space="preserve"> 1 </w:t>
      </w: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ік</w:t>
      </w:r>
      <w:proofErr w:type="spellEnd"/>
      <w:r>
        <w:rPr>
          <w:lang w:val="ru-RU"/>
        </w:rPr>
        <w:t xml:space="preserve"> до 2 </w:t>
      </w:r>
      <w:proofErr w:type="spellStart"/>
      <w:r>
        <w:rPr>
          <w:lang w:val="ru-RU"/>
        </w:rPr>
        <w:t>років</w:t>
      </w:r>
      <w:proofErr w:type="spellEnd"/>
      <w:r>
        <w:rPr>
          <w:lang w:val="ru-RU"/>
        </w:rPr>
        <w:t xml:space="preserve"> – 71</w:t>
      </w:r>
      <w:r w:rsidRPr="009C21EE">
        <w:rPr>
          <w:lang w:val="ru-RU"/>
        </w:rPr>
        <w:t xml:space="preserve">, </w:t>
      </w:r>
      <w:proofErr w:type="spellStart"/>
      <w:r w:rsidRPr="009C21EE">
        <w:rPr>
          <w:lang w:val="ru-RU"/>
        </w:rPr>
        <w:t>понад</w:t>
      </w:r>
      <w:proofErr w:type="spellEnd"/>
      <w:r w:rsidRPr="009C21EE">
        <w:rPr>
          <w:lang w:val="ru-RU"/>
        </w:rPr>
        <w:t xml:space="preserve"> 2 роки – </w:t>
      </w:r>
      <w:r>
        <w:rPr>
          <w:lang w:val="ru-RU"/>
        </w:rPr>
        <w:t>3</w:t>
      </w:r>
      <w:r w:rsidRPr="009C21EE">
        <w:rPr>
          <w:lang w:val="ru-RU"/>
        </w:rPr>
        <w:t xml:space="preserve"> </w:t>
      </w:r>
      <w:proofErr w:type="spellStart"/>
      <w:r w:rsidRPr="009C21EE">
        <w:rPr>
          <w:lang w:val="ru-RU"/>
        </w:rPr>
        <w:t>кримінальн</w:t>
      </w:r>
      <w:r>
        <w:rPr>
          <w:lang w:val="ru-RU"/>
        </w:rPr>
        <w:t>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провадження</w:t>
      </w:r>
      <w:proofErr w:type="spellEnd"/>
      <w:r>
        <w:rPr>
          <w:lang w:val="ru-RU"/>
        </w:rPr>
        <w:t>.</w:t>
      </w:r>
      <w:r w:rsidRPr="009C21EE">
        <w:rPr>
          <w:lang w:val="ru-RU"/>
        </w:rPr>
        <w:t xml:space="preserve"> </w:t>
      </w:r>
    </w:p>
    <w:p w:rsidR="00143458" w:rsidRPr="000825E4" w:rsidRDefault="00143458" w:rsidP="00E13C10">
      <w:pPr>
        <w:ind w:firstLine="720"/>
        <w:rPr>
          <w:b/>
          <w:bCs/>
          <w:i/>
          <w:iCs/>
          <w:u w:val="single"/>
          <w:lang w:val="ru-RU"/>
        </w:rPr>
      </w:pPr>
    </w:p>
    <w:p w:rsidR="00E13C10" w:rsidRDefault="00E13C10" w:rsidP="00E13C10">
      <w:pPr>
        <w:ind w:firstLine="720"/>
        <w:rPr>
          <w:b/>
          <w:bCs/>
          <w:i/>
          <w:iCs/>
          <w:u w:val="single"/>
          <w:lang w:val="uk-UA"/>
        </w:rPr>
      </w:pPr>
    </w:p>
    <w:p w:rsidR="00E13C10" w:rsidRPr="00337F88" w:rsidRDefault="00337F88" w:rsidP="000825E4">
      <w:pPr>
        <w:pStyle w:val="21"/>
        <w:spacing w:after="0" w:line="276" w:lineRule="auto"/>
        <w:ind w:left="0" w:firstLine="851"/>
        <w:jc w:val="both"/>
        <w:rPr>
          <w:lang w:val="uk-UA"/>
        </w:rPr>
      </w:pPr>
      <w:r w:rsidRPr="00337F88">
        <w:rPr>
          <w:lang w:val="uk-UA"/>
        </w:rPr>
        <w:t>Кількість кримінальних проваджень, що перебувають в провадженні суду понад 6 місяців до 1 року, понад 1 рік до 2 років та понад 2 роки збільшила</w:t>
      </w:r>
      <w:r w:rsidR="00024BA1">
        <w:rPr>
          <w:lang w:val="uk-UA"/>
        </w:rPr>
        <w:t>сь у зв'язку з тим, що у липні</w:t>
      </w:r>
      <w:r w:rsidRPr="00337F88">
        <w:rPr>
          <w:lang w:val="uk-UA"/>
        </w:rPr>
        <w:t xml:space="preserve"> 2025 року проведено перерозподіл </w:t>
      </w:r>
      <w:r w:rsidR="00B753C6">
        <w:rPr>
          <w:lang w:val="uk-UA"/>
        </w:rPr>
        <w:t xml:space="preserve">60 </w:t>
      </w:r>
      <w:r w:rsidRPr="00337F88">
        <w:rPr>
          <w:lang w:val="uk-UA"/>
        </w:rPr>
        <w:t xml:space="preserve">кримінальних проваджень, які перебували в провадженні судді </w:t>
      </w:r>
      <w:proofErr w:type="spellStart"/>
      <w:r w:rsidRPr="00337F88">
        <w:rPr>
          <w:lang w:val="uk-UA"/>
        </w:rPr>
        <w:t>Жорняка</w:t>
      </w:r>
      <w:proofErr w:type="spellEnd"/>
      <w:r w:rsidRPr="00337F88">
        <w:rPr>
          <w:lang w:val="uk-UA"/>
        </w:rPr>
        <w:t xml:space="preserve"> О.</w:t>
      </w:r>
      <w:r>
        <w:rPr>
          <w:lang w:val="uk-UA"/>
        </w:rPr>
        <w:t xml:space="preserve">М. після виходу його у відставку. </w:t>
      </w:r>
      <w:r w:rsidRPr="00337F88">
        <w:rPr>
          <w:lang w:val="uk-UA"/>
        </w:rPr>
        <w:t xml:space="preserve">  </w:t>
      </w:r>
    </w:p>
    <w:p w:rsidR="00E13C10" w:rsidRDefault="00E13C10" w:rsidP="000825E4">
      <w:pPr>
        <w:pStyle w:val="21"/>
        <w:spacing w:after="0" w:line="276" w:lineRule="auto"/>
        <w:ind w:left="0" w:firstLine="851"/>
        <w:jc w:val="both"/>
        <w:rPr>
          <w:lang w:val="uk-UA"/>
        </w:rPr>
      </w:pPr>
    </w:p>
    <w:p w:rsidR="000825E4" w:rsidRDefault="000825E4" w:rsidP="009C21EE">
      <w:pPr>
        <w:ind w:firstLine="720"/>
        <w:rPr>
          <w:b/>
          <w:bCs/>
          <w:i/>
          <w:iCs/>
          <w:u w:val="single"/>
          <w:lang w:val="uk-UA"/>
        </w:rPr>
      </w:pPr>
    </w:p>
    <w:p w:rsidR="009C21EE" w:rsidRPr="009C21EE" w:rsidRDefault="009C21EE" w:rsidP="00335BC2">
      <w:pPr>
        <w:pStyle w:val="21"/>
        <w:spacing w:line="240" w:lineRule="auto"/>
        <w:jc w:val="center"/>
        <w:rPr>
          <w:b/>
          <w:i/>
          <w:lang w:val="ru-RU"/>
        </w:rPr>
      </w:pPr>
      <w:proofErr w:type="spellStart"/>
      <w:r w:rsidRPr="009C21EE">
        <w:rPr>
          <w:b/>
          <w:i/>
          <w:lang w:val="ru-RU"/>
        </w:rPr>
        <w:t>Динаміка</w:t>
      </w:r>
      <w:proofErr w:type="spellEnd"/>
      <w:r w:rsidRPr="009C21EE">
        <w:rPr>
          <w:b/>
          <w:i/>
          <w:lang w:val="ru-RU"/>
        </w:rPr>
        <w:t xml:space="preserve"> </w:t>
      </w:r>
      <w:proofErr w:type="spellStart"/>
      <w:r w:rsidRPr="009C21EE">
        <w:rPr>
          <w:b/>
          <w:i/>
          <w:lang w:val="ru-RU"/>
        </w:rPr>
        <w:t>надходження</w:t>
      </w:r>
      <w:proofErr w:type="spellEnd"/>
      <w:r w:rsidRPr="009C21EE">
        <w:rPr>
          <w:b/>
          <w:i/>
          <w:lang w:val="ru-RU"/>
        </w:rPr>
        <w:t xml:space="preserve"> та </w:t>
      </w:r>
      <w:proofErr w:type="spellStart"/>
      <w:r w:rsidRPr="009C21EE">
        <w:rPr>
          <w:b/>
          <w:i/>
          <w:lang w:val="ru-RU"/>
        </w:rPr>
        <w:t>розгляду</w:t>
      </w:r>
      <w:proofErr w:type="spellEnd"/>
      <w:r w:rsidRPr="009C21EE">
        <w:rPr>
          <w:b/>
          <w:i/>
          <w:lang w:val="ru-RU"/>
        </w:rPr>
        <w:t xml:space="preserve"> </w:t>
      </w:r>
      <w:proofErr w:type="spellStart"/>
      <w:r w:rsidRPr="009C21EE">
        <w:rPr>
          <w:b/>
          <w:i/>
          <w:lang w:val="ru-RU"/>
        </w:rPr>
        <w:t>кримінальних</w:t>
      </w:r>
      <w:proofErr w:type="spellEnd"/>
      <w:r w:rsidRPr="009C21EE">
        <w:rPr>
          <w:b/>
          <w:i/>
          <w:lang w:val="ru-RU"/>
        </w:rPr>
        <w:t xml:space="preserve"> справ (</w:t>
      </w:r>
      <w:proofErr w:type="spellStart"/>
      <w:r w:rsidRPr="009C21EE">
        <w:rPr>
          <w:b/>
          <w:i/>
          <w:lang w:val="ru-RU"/>
        </w:rPr>
        <w:t>проваджень</w:t>
      </w:r>
      <w:proofErr w:type="spellEnd"/>
      <w:r w:rsidRPr="009C21EE">
        <w:rPr>
          <w:b/>
          <w:i/>
          <w:lang w:val="ru-RU"/>
        </w:rPr>
        <w:t>)</w:t>
      </w:r>
    </w:p>
    <w:p w:rsidR="009C21EE" w:rsidRPr="009C21EE" w:rsidRDefault="00335BC2" w:rsidP="00335BC2">
      <w:pPr>
        <w:pStyle w:val="21"/>
        <w:spacing w:line="240" w:lineRule="auto"/>
        <w:jc w:val="center"/>
        <w:rPr>
          <w:lang w:val="ru-RU"/>
        </w:rPr>
      </w:pPr>
      <w:r>
        <w:rPr>
          <w:b/>
          <w:i/>
          <w:lang w:val="ru-RU"/>
        </w:rPr>
        <w:t>у 202</w:t>
      </w:r>
      <w:r w:rsidR="00716874">
        <w:rPr>
          <w:b/>
          <w:i/>
          <w:lang w:val="ru-RU"/>
        </w:rPr>
        <w:t>5</w:t>
      </w:r>
      <w:r w:rsidR="0022553F">
        <w:rPr>
          <w:b/>
          <w:i/>
          <w:lang w:val="ru-RU"/>
        </w:rPr>
        <w:t xml:space="preserve"> </w:t>
      </w:r>
      <w:r w:rsidR="009C21EE" w:rsidRPr="009C21EE">
        <w:rPr>
          <w:b/>
          <w:i/>
          <w:lang w:val="ru-RU"/>
        </w:rPr>
        <w:t xml:space="preserve"> </w:t>
      </w:r>
      <w:proofErr w:type="spellStart"/>
      <w:r w:rsidR="009C21EE" w:rsidRPr="009C21EE">
        <w:rPr>
          <w:b/>
          <w:i/>
          <w:lang w:val="ru-RU"/>
        </w:rPr>
        <w:t>році</w:t>
      </w:r>
      <w:proofErr w:type="spellEnd"/>
      <w:r w:rsidR="009C21EE" w:rsidRPr="009C21EE">
        <w:rPr>
          <w:b/>
          <w:i/>
          <w:lang w:val="ru-RU"/>
        </w:rPr>
        <w:t xml:space="preserve"> </w:t>
      </w:r>
      <w:proofErr w:type="spellStart"/>
      <w:r w:rsidR="009C21EE" w:rsidRPr="009C21EE">
        <w:rPr>
          <w:b/>
          <w:i/>
          <w:lang w:val="ru-RU"/>
        </w:rPr>
        <w:t>порівняно</w:t>
      </w:r>
      <w:proofErr w:type="spellEnd"/>
      <w:r w:rsidR="009C21EE" w:rsidRPr="009C21EE">
        <w:rPr>
          <w:b/>
          <w:i/>
          <w:lang w:val="ru-RU"/>
        </w:rPr>
        <w:t xml:space="preserve"> </w:t>
      </w:r>
      <w:proofErr w:type="spellStart"/>
      <w:r w:rsidR="009C21EE" w:rsidRPr="009C21EE">
        <w:rPr>
          <w:b/>
          <w:i/>
          <w:lang w:val="ru-RU"/>
        </w:rPr>
        <w:t>з</w:t>
      </w:r>
      <w:proofErr w:type="spellEnd"/>
      <w:r w:rsidR="009C21EE" w:rsidRPr="009C21EE">
        <w:rPr>
          <w:b/>
          <w:i/>
          <w:lang w:val="ru-RU"/>
        </w:rPr>
        <w:t xml:space="preserve"> 20</w:t>
      </w:r>
      <w:r w:rsidR="00A100BF">
        <w:rPr>
          <w:b/>
          <w:i/>
          <w:lang w:val="ru-RU"/>
        </w:rPr>
        <w:t>2</w:t>
      </w:r>
      <w:r w:rsidR="00716874">
        <w:rPr>
          <w:b/>
          <w:i/>
          <w:lang w:val="ru-RU"/>
        </w:rPr>
        <w:t>4</w:t>
      </w:r>
      <w:r w:rsidR="009C21EE" w:rsidRPr="009C21EE">
        <w:rPr>
          <w:b/>
          <w:i/>
          <w:lang w:val="ru-RU"/>
        </w:rPr>
        <w:t xml:space="preserve"> роком. </w:t>
      </w:r>
      <w:r w:rsidR="009C21EE">
        <w:rPr>
          <w:noProof/>
          <w:lang w:val="ru-RU" w:eastAsia="ru-RU"/>
        </w:rPr>
        <w:drawing>
          <wp:inline distT="0" distB="0" distL="0" distR="0">
            <wp:extent cx="6553200" cy="188595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518A6" w:rsidRDefault="001518A6" w:rsidP="00F0586C">
      <w:pPr>
        <w:pStyle w:val="21"/>
        <w:spacing w:after="0" w:line="276" w:lineRule="auto"/>
        <w:ind w:firstLine="420"/>
        <w:jc w:val="both"/>
        <w:rPr>
          <w:lang w:val="ru-RU"/>
        </w:rPr>
      </w:pPr>
    </w:p>
    <w:p w:rsidR="00E86B4D" w:rsidRPr="000825E4" w:rsidRDefault="00011751" w:rsidP="00E86B4D">
      <w:pPr>
        <w:pStyle w:val="21"/>
        <w:spacing w:after="0" w:line="276" w:lineRule="auto"/>
        <w:ind w:left="0" w:firstLine="851"/>
        <w:jc w:val="both"/>
        <w:rPr>
          <w:b/>
          <w:bCs/>
          <w:i/>
          <w:iCs/>
          <w:u w:val="single"/>
          <w:lang w:val="ru-RU"/>
        </w:rPr>
      </w:pPr>
      <w:r w:rsidRPr="009C21EE">
        <w:rPr>
          <w:lang w:val="ru-RU"/>
        </w:rPr>
        <w:t xml:space="preserve">Таким чином, за </w:t>
      </w:r>
      <w:proofErr w:type="spellStart"/>
      <w:r w:rsidRPr="009C21EE">
        <w:rPr>
          <w:lang w:val="ru-RU"/>
        </w:rPr>
        <w:t>статистичними</w:t>
      </w:r>
      <w:proofErr w:type="spellEnd"/>
      <w:r w:rsidRPr="009C21EE">
        <w:rPr>
          <w:lang w:val="ru-RU"/>
        </w:rPr>
        <w:t xml:space="preserve"> </w:t>
      </w:r>
      <w:proofErr w:type="spellStart"/>
      <w:r w:rsidRPr="009C21EE">
        <w:rPr>
          <w:lang w:val="ru-RU"/>
        </w:rPr>
        <w:t>показними</w:t>
      </w:r>
      <w:proofErr w:type="spellEnd"/>
      <w:r w:rsidRPr="009C21EE">
        <w:rPr>
          <w:lang w:val="ru-RU"/>
        </w:rPr>
        <w:t xml:space="preserve"> </w:t>
      </w:r>
      <w:proofErr w:type="spellStart"/>
      <w:proofErr w:type="gramStart"/>
      <w:r w:rsidRPr="009C21EE">
        <w:rPr>
          <w:lang w:val="ru-RU"/>
        </w:rPr>
        <w:t>р</w:t>
      </w:r>
      <w:proofErr w:type="gramEnd"/>
      <w:r w:rsidRPr="009C21EE">
        <w:rPr>
          <w:lang w:val="ru-RU"/>
        </w:rPr>
        <w:t>ічних</w:t>
      </w:r>
      <w:proofErr w:type="spellEnd"/>
      <w:r w:rsidRPr="009C21EE">
        <w:rPr>
          <w:lang w:val="ru-RU"/>
        </w:rPr>
        <w:t xml:space="preserve"> </w:t>
      </w:r>
      <w:proofErr w:type="spellStart"/>
      <w:r w:rsidRPr="009C21EE">
        <w:rPr>
          <w:lang w:val="ru-RU"/>
        </w:rPr>
        <w:t>звітів</w:t>
      </w:r>
      <w:proofErr w:type="spellEnd"/>
      <w:r w:rsidRPr="009C21EE">
        <w:rPr>
          <w:lang w:val="ru-RU"/>
        </w:rPr>
        <w:t xml:space="preserve"> суду, </w:t>
      </w:r>
      <w:r w:rsidR="00317650">
        <w:rPr>
          <w:lang w:val="ru-RU"/>
        </w:rPr>
        <w:t>в</w:t>
      </w:r>
      <w:r w:rsidR="000F7322">
        <w:rPr>
          <w:lang w:val="ru-RU"/>
        </w:rPr>
        <w:t xml:space="preserve"> </w:t>
      </w:r>
      <w:proofErr w:type="spellStart"/>
      <w:r w:rsidR="000F7322">
        <w:rPr>
          <w:lang w:val="ru-RU"/>
        </w:rPr>
        <w:t>провадженні</w:t>
      </w:r>
      <w:proofErr w:type="spellEnd"/>
      <w:r w:rsidR="00382786">
        <w:rPr>
          <w:lang w:val="ru-RU"/>
        </w:rPr>
        <w:t xml:space="preserve"> </w:t>
      </w:r>
      <w:proofErr w:type="spellStart"/>
      <w:r w:rsidR="00382786">
        <w:rPr>
          <w:lang w:val="ru-RU"/>
        </w:rPr>
        <w:t>перебувало</w:t>
      </w:r>
      <w:proofErr w:type="spellEnd"/>
      <w:r w:rsidR="00382786">
        <w:rPr>
          <w:lang w:val="ru-RU"/>
        </w:rPr>
        <w:t xml:space="preserve"> на </w:t>
      </w:r>
      <w:r w:rsidR="000F7322">
        <w:rPr>
          <w:lang w:val="ru-RU"/>
        </w:rPr>
        <w:t xml:space="preserve">20,1% </w:t>
      </w:r>
      <w:r w:rsidR="00E86B4D">
        <w:rPr>
          <w:lang w:val="ru-RU"/>
        </w:rPr>
        <w:t xml:space="preserve"> </w:t>
      </w:r>
      <w:proofErr w:type="spellStart"/>
      <w:r w:rsidR="009F38F2">
        <w:rPr>
          <w:lang w:val="ru-RU"/>
        </w:rPr>
        <w:t>більше</w:t>
      </w:r>
      <w:proofErr w:type="spellEnd"/>
      <w:r w:rsidR="000F7322">
        <w:rPr>
          <w:lang w:val="ru-RU"/>
        </w:rPr>
        <w:t xml:space="preserve">, а </w:t>
      </w:r>
      <w:proofErr w:type="spellStart"/>
      <w:r w:rsidR="000F7322">
        <w:rPr>
          <w:lang w:val="ru-RU"/>
        </w:rPr>
        <w:t>саме</w:t>
      </w:r>
      <w:proofErr w:type="spellEnd"/>
      <w:r w:rsidR="000F7322">
        <w:rPr>
          <w:lang w:val="ru-RU"/>
        </w:rPr>
        <w:t xml:space="preserve"> на 110 </w:t>
      </w:r>
      <w:proofErr w:type="spellStart"/>
      <w:r w:rsidR="00E86B4D" w:rsidRPr="009C21EE">
        <w:rPr>
          <w:lang w:val="ru-RU"/>
        </w:rPr>
        <w:t>кримінальних</w:t>
      </w:r>
      <w:proofErr w:type="spellEnd"/>
      <w:r w:rsidR="00E86B4D" w:rsidRPr="009C21EE">
        <w:rPr>
          <w:lang w:val="ru-RU"/>
        </w:rPr>
        <w:t xml:space="preserve"> </w:t>
      </w:r>
      <w:proofErr w:type="spellStart"/>
      <w:r w:rsidR="00E86B4D">
        <w:rPr>
          <w:lang w:val="ru-RU"/>
        </w:rPr>
        <w:t>проваджень</w:t>
      </w:r>
      <w:proofErr w:type="spellEnd"/>
      <w:r w:rsidR="00E86B4D">
        <w:rPr>
          <w:lang w:val="ru-RU"/>
        </w:rPr>
        <w:t xml:space="preserve"> (справ).</w:t>
      </w:r>
      <w:r w:rsidR="009F38F2">
        <w:rPr>
          <w:lang w:val="ru-RU"/>
        </w:rPr>
        <w:t xml:space="preserve"> </w:t>
      </w:r>
      <w:r w:rsidR="00382786">
        <w:rPr>
          <w:lang w:val="ru-RU"/>
        </w:rPr>
        <w:t xml:space="preserve"> </w:t>
      </w:r>
      <w:proofErr w:type="spellStart"/>
      <w:r w:rsidR="00EC56B6">
        <w:rPr>
          <w:lang w:val="ru-RU"/>
        </w:rPr>
        <w:t>Розглянуто</w:t>
      </w:r>
      <w:proofErr w:type="spellEnd"/>
      <w:r w:rsidR="00EC56B6">
        <w:rPr>
          <w:lang w:val="ru-RU"/>
        </w:rPr>
        <w:t xml:space="preserve"> на </w:t>
      </w:r>
      <w:r w:rsidR="000F7322">
        <w:rPr>
          <w:lang w:val="ru-RU"/>
        </w:rPr>
        <w:t xml:space="preserve">35 % </w:t>
      </w:r>
      <w:proofErr w:type="spellStart"/>
      <w:r w:rsidR="000F7322">
        <w:rPr>
          <w:lang w:val="ru-RU"/>
        </w:rPr>
        <w:t>більше</w:t>
      </w:r>
      <w:proofErr w:type="spellEnd"/>
      <w:r w:rsidR="000F7322">
        <w:rPr>
          <w:lang w:val="ru-RU"/>
        </w:rPr>
        <w:t xml:space="preserve">, а </w:t>
      </w:r>
      <w:proofErr w:type="spellStart"/>
      <w:r w:rsidR="000F7322">
        <w:rPr>
          <w:lang w:val="ru-RU"/>
        </w:rPr>
        <w:lastRenderedPageBreak/>
        <w:t>саме</w:t>
      </w:r>
      <w:proofErr w:type="spellEnd"/>
      <w:r w:rsidR="000F7322">
        <w:rPr>
          <w:lang w:val="ru-RU"/>
        </w:rPr>
        <w:t xml:space="preserve"> на 105</w:t>
      </w:r>
      <w:r w:rsidR="009F38F2">
        <w:rPr>
          <w:lang w:val="ru-RU"/>
        </w:rPr>
        <w:t xml:space="preserve"> </w:t>
      </w:r>
      <w:proofErr w:type="spellStart"/>
      <w:r w:rsidR="009F38F2" w:rsidRPr="009C21EE">
        <w:rPr>
          <w:lang w:val="ru-RU"/>
        </w:rPr>
        <w:t>кримінальних</w:t>
      </w:r>
      <w:proofErr w:type="spellEnd"/>
      <w:r w:rsidR="009F38F2" w:rsidRPr="009C21EE">
        <w:rPr>
          <w:lang w:val="ru-RU"/>
        </w:rPr>
        <w:t xml:space="preserve"> </w:t>
      </w:r>
      <w:proofErr w:type="spellStart"/>
      <w:r w:rsidR="000F7322">
        <w:rPr>
          <w:lang w:val="ru-RU"/>
        </w:rPr>
        <w:t>проваджень</w:t>
      </w:r>
      <w:proofErr w:type="spellEnd"/>
      <w:r w:rsidR="000F7322">
        <w:rPr>
          <w:lang w:val="ru-RU"/>
        </w:rPr>
        <w:t xml:space="preserve"> (справ)</w:t>
      </w:r>
      <w:r w:rsidR="00EC56B6">
        <w:rPr>
          <w:lang w:val="ru-RU"/>
        </w:rPr>
        <w:t xml:space="preserve">. </w:t>
      </w:r>
      <w:r w:rsidR="00E86B4D">
        <w:rPr>
          <w:lang w:val="uk-UA"/>
        </w:rPr>
        <w:t xml:space="preserve">Залишок </w:t>
      </w:r>
      <w:proofErr w:type="spellStart"/>
      <w:r w:rsidR="00E86B4D" w:rsidRPr="001F1E6C">
        <w:rPr>
          <w:lang w:val="ru-RU"/>
        </w:rPr>
        <w:t>кримінальних</w:t>
      </w:r>
      <w:proofErr w:type="spellEnd"/>
      <w:r w:rsidR="00E86B4D" w:rsidRPr="001F1E6C">
        <w:rPr>
          <w:lang w:val="ru-RU"/>
        </w:rPr>
        <w:t xml:space="preserve"> </w:t>
      </w:r>
      <w:proofErr w:type="spellStart"/>
      <w:r w:rsidR="00E86B4D" w:rsidRPr="001F1E6C">
        <w:rPr>
          <w:lang w:val="ru-RU"/>
        </w:rPr>
        <w:t>проваджень</w:t>
      </w:r>
      <w:proofErr w:type="spellEnd"/>
      <w:r w:rsidR="00E86B4D" w:rsidRPr="001F1E6C">
        <w:rPr>
          <w:lang w:val="ru-RU"/>
        </w:rPr>
        <w:t xml:space="preserve"> (справ)  на </w:t>
      </w:r>
      <w:proofErr w:type="spellStart"/>
      <w:r w:rsidR="00E86B4D" w:rsidRPr="001F1E6C">
        <w:rPr>
          <w:lang w:val="ru-RU"/>
        </w:rPr>
        <w:t>кінець</w:t>
      </w:r>
      <w:proofErr w:type="spellEnd"/>
      <w:r w:rsidR="00E86B4D" w:rsidRPr="001F1E6C">
        <w:rPr>
          <w:lang w:val="ru-RU"/>
        </w:rPr>
        <w:t xml:space="preserve"> 202</w:t>
      </w:r>
      <w:r w:rsidR="00E86B4D">
        <w:rPr>
          <w:lang w:val="ru-RU"/>
        </w:rPr>
        <w:t>5</w:t>
      </w:r>
      <w:r w:rsidR="00E86B4D" w:rsidRPr="001F1E6C">
        <w:rPr>
          <w:lang w:val="ru-RU"/>
        </w:rPr>
        <w:t xml:space="preserve"> року </w:t>
      </w:r>
      <w:proofErr w:type="spellStart"/>
      <w:r w:rsidR="00E86B4D">
        <w:rPr>
          <w:lang w:val="ru-RU"/>
        </w:rPr>
        <w:t>зменшився</w:t>
      </w:r>
      <w:proofErr w:type="spellEnd"/>
      <w:r w:rsidR="00E86B4D">
        <w:rPr>
          <w:lang w:val="ru-RU"/>
        </w:rPr>
        <w:t xml:space="preserve"> 9 % в </w:t>
      </w:r>
      <w:proofErr w:type="spellStart"/>
      <w:r w:rsidR="00E86B4D">
        <w:rPr>
          <w:lang w:val="ru-RU"/>
        </w:rPr>
        <w:t>порівнянні</w:t>
      </w:r>
      <w:proofErr w:type="spellEnd"/>
      <w:r w:rsidR="00E86B4D">
        <w:rPr>
          <w:lang w:val="ru-RU"/>
        </w:rPr>
        <w:t xml:space="preserve"> </w:t>
      </w:r>
      <w:proofErr w:type="spellStart"/>
      <w:r w:rsidR="00E86B4D">
        <w:rPr>
          <w:lang w:val="ru-RU"/>
        </w:rPr>
        <w:t>із</w:t>
      </w:r>
      <w:proofErr w:type="spellEnd"/>
      <w:r w:rsidR="00E86B4D">
        <w:rPr>
          <w:lang w:val="ru-RU"/>
        </w:rPr>
        <w:t xml:space="preserve"> </w:t>
      </w:r>
      <w:proofErr w:type="spellStart"/>
      <w:r w:rsidR="00E86B4D">
        <w:rPr>
          <w:lang w:val="ru-RU"/>
        </w:rPr>
        <w:t>залишком</w:t>
      </w:r>
      <w:proofErr w:type="spellEnd"/>
      <w:r w:rsidR="00E86B4D">
        <w:rPr>
          <w:lang w:val="ru-RU"/>
        </w:rPr>
        <w:t xml:space="preserve"> на </w:t>
      </w:r>
      <w:proofErr w:type="spellStart"/>
      <w:r w:rsidR="00E86B4D">
        <w:rPr>
          <w:lang w:val="ru-RU"/>
        </w:rPr>
        <w:t>кінець</w:t>
      </w:r>
      <w:proofErr w:type="spellEnd"/>
      <w:r w:rsidR="00E86B4D">
        <w:rPr>
          <w:lang w:val="ru-RU"/>
        </w:rPr>
        <w:t xml:space="preserve"> 2024 року, а </w:t>
      </w:r>
      <w:proofErr w:type="spellStart"/>
      <w:r w:rsidR="00E86B4D">
        <w:rPr>
          <w:lang w:val="ru-RU"/>
        </w:rPr>
        <w:t>саме</w:t>
      </w:r>
      <w:proofErr w:type="spellEnd"/>
      <w:r w:rsidR="00E86B4D">
        <w:rPr>
          <w:lang w:val="ru-RU"/>
        </w:rPr>
        <w:t xml:space="preserve"> </w:t>
      </w:r>
      <w:proofErr w:type="spellStart"/>
      <w:r w:rsidR="00E86B4D">
        <w:rPr>
          <w:lang w:val="ru-RU"/>
        </w:rPr>
        <w:t>зменшився</w:t>
      </w:r>
      <w:proofErr w:type="spellEnd"/>
      <w:r w:rsidR="00E86B4D">
        <w:rPr>
          <w:lang w:val="ru-RU"/>
        </w:rPr>
        <w:t xml:space="preserve"> на 21 </w:t>
      </w:r>
      <w:proofErr w:type="spellStart"/>
      <w:r w:rsidR="00E86B4D">
        <w:rPr>
          <w:lang w:val="ru-RU"/>
        </w:rPr>
        <w:t>кримінальне</w:t>
      </w:r>
      <w:proofErr w:type="spellEnd"/>
      <w:r w:rsidR="00E86B4D">
        <w:rPr>
          <w:lang w:val="ru-RU"/>
        </w:rPr>
        <w:t xml:space="preserve"> </w:t>
      </w:r>
      <w:proofErr w:type="spellStart"/>
      <w:r w:rsidR="00E86B4D">
        <w:rPr>
          <w:lang w:val="ru-RU"/>
        </w:rPr>
        <w:t>провадження</w:t>
      </w:r>
      <w:proofErr w:type="spellEnd"/>
      <w:r w:rsidR="00E86B4D">
        <w:rPr>
          <w:lang w:val="ru-RU"/>
        </w:rPr>
        <w:t>.</w:t>
      </w:r>
    </w:p>
    <w:p w:rsidR="00595C5C" w:rsidRDefault="00595C5C" w:rsidP="00595C5C">
      <w:pPr>
        <w:pStyle w:val="21"/>
        <w:spacing w:after="0" w:line="276" w:lineRule="auto"/>
        <w:ind w:firstLine="420"/>
        <w:jc w:val="both"/>
        <w:rPr>
          <w:lang w:val="ru-RU"/>
        </w:rPr>
      </w:pPr>
    </w:p>
    <w:p w:rsidR="009C21EE" w:rsidRDefault="009C21EE" w:rsidP="002A7FBC">
      <w:pPr>
        <w:pStyle w:val="21"/>
        <w:spacing w:after="0"/>
        <w:ind w:left="1699" w:firstLine="425"/>
        <w:rPr>
          <w:b/>
          <w:sz w:val="28"/>
          <w:szCs w:val="28"/>
          <w:lang w:val="ru-RU"/>
        </w:rPr>
      </w:pPr>
      <w:proofErr w:type="spellStart"/>
      <w:r w:rsidRPr="00F34B70">
        <w:rPr>
          <w:b/>
          <w:sz w:val="28"/>
          <w:szCs w:val="28"/>
          <w:lang w:val="ru-RU"/>
        </w:rPr>
        <w:t>Циві</w:t>
      </w:r>
      <w:proofErr w:type="gramStart"/>
      <w:r w:rsidRPr="00F34B70">
        <w:rPr>
          <w:b/>
          <w:sz w:val="28"/>
          <w:szCs w:val="28"/>
          <w:lang w:val="ru-RU"/>
        </w:rPr>
        <w:t>льне</w:t>
      </w:r>
      <w:proofErr w:type="spellEnd"/>
      <w:proofErr w:type="gramEnd"/>
      <w:r w:rsidRPr="00F34B70">
        <w:rPr>
          <w:b/>
          <w:sz w:val="28"/>
          <w:szCs w:val="28"/>
          <w:lang w:val="ru-RU"/>
        </w:rPr>
        <w:t xml:space="preserve"> та </w:t>
      </w:r>
      <w:proofErr w:type="spellStart"/>
      <w:r w:rsidRPr="00F34B70">
        <w:rPr>
          <w:b/>
          <w:sz w:val="28"/>
          <w:szCs w:val="28"/>
          <w:lang w:val="ru-RU"/>
        </w:rPr>
        <w:t>адміністративне</w:t>
      </w:r>
      <w:proofErr w:type="spellEnd"/>
      <w:r w:rsidRPr="00F34B70">
        <w:rPr>
          <w:b/>
          <w:sz w:val="28"/>
          <w:szCs w:val="28"/>
          <w:lang w:val="ru-RU"/>
        </w:rPr>
        <w:t xml:space="preserve"> </w:t>
      </w:r>
      <w:proofErr w:type="spellStart"/>
      <w:r w:rsidRPr="00F34B70">
        <w:rPr>
          <w:b/>
          <w:sz w:val="28"/>
          <w:szCs w:val="28"/>
          <w:lang w:val="ru-RU"/>
        </w:rPr>
        <w:t>судочинство</w:t>
      </w:r>
      <w:proofErr w:type="spellEnd"/>
    </w:p>
    <w:p w:rsidR="009C21EE" w:rsidRDefault="00317650" w:rsidP="009C21EE">
      <w:pPr>
        <w:ind w:firstLine="720"/>
        <w:jc w:val="both"/>
        <w:rPr>
          <w:lang w:val="uk-UA"/>
        </w:rPr>
      </w:pPr>
      <w:r>
        <w:rPr>
          <w:lang w:val="uk-UA"/>
        </w:rPr>
        <w:t>У 2025</w:t>
      </w:r>
      <w:r w:rsidR="009C21EE">
        <w:rPr>
          <w:lang w:val="uk-UA"/>
        </w:rPr>
        <w:t xml:space="preserve"> році суддями </w:t>
      </w:r>
      <w:r w:rsidR="00595C5C">
        <w:rPr>
          <w:lang w:val="uk-UA"/>
        </w:rPr>
        <w:t xml:space="preserve">Дергачівського </w:t>
      </w:r>
      <w:r w:rsidR="009C21EE">
        <w:rPr>
          <w:lang w:val="uk-UA"/>
        </w:rPr>
        <w:t xml:space="preserve">районного суду </w:t>
      </w:r>
      <w:r w:rsidR="00595C5C">
        <w:rPr>
          <w:lang w:val="uk-UA"/>
        </w:rPr>
        <w:t xml:space="preserve">Харківської області </w:t>
      </w:r>
      <w:r w:rsidR="009C21EE">
        <w:rPr>
          <w:lang w:val="uk-UA"/>
        </w:rPr>
        <w:t xml:space="preserve">виконано </w:t>
      </w:r>
      <w:r w:rsidR="009F48DA">
        <w:rPr>
          <w:lang w:val="uk-UA"/>
        </w:rPr>
        <w:t xml:space="preserve">великий </w:t>
      </w:r>
      <w:r w:rsidR="009C21EE">
        <w:rPr>
          <w:lang w:val="uk-UA"/>
        </w:rPr>
        <w:t>обсяг роботи по розгляду і вирішенню цивільних та адміністративних справ та матеріалів.</w:t>
      </w:r>
    </w:p>
    <w:p w:rsidR="009F48DA" w:rsidRDefault="009F48DA" w:rsidP="009C21EE">
      <w:pPr>
        <w:pStyle w:val="a7"/>
        <w:ind w:firstLine="720"/>
        <w:rPr>
          <w:bCs/>
          <w:iCs/>
        </w:rPr>
      </w:pPr>
    </w:p>
    <w:p w:rsidR="009C21EE" w:rsidRDefault="009C21EE" w:rsidP="009C21EE">
      <w:pPr>
        <w:pStyle w:val="a7"/>
        <w:rPr>
          <w:bCs/>
          <w:iCs/>
        </w:rPr>
      </w:pPr>
      <w:r>
        <w:rPr>
          <w:bCs/>
          <w:iCs/>
        </w:rPr>
        <w:tab/>
        <w:t>По адміністративному судочинству є такі показники та їх динаміка:</w:t>
      </w:r>
    </w:p>
    <w:p w:rsidR="009C21EE" w:rsidRDefault="009C21EE" w:rsidP="009C21EE">
      <w:pPr>
        <w:pStyle w:val="a7"/>
        <w:rPr>
          <w:bCs/>
          <w:i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7"/>
        <w:gridCol w:w="1401"/>
        <w:gridCol w:w="1843"/>
        <w:gridCol w:w="3118"/>
      </w:tblGrid>
      <w:tr w:rsidR="00317650" w:rsidRPr="008A2D80" w:rsidTr="00317650">
        <w:tc>
          <w:tcPr>
            <w:tcW w:w="3527" w:type="dxa"/>
            <w:shd w:val="clear" w:color="auto" w:fill="auto"/>
          </w:tcPr>
          <w:p w:rsidR="00317650" w:rsidRPr="00483575" w:rsidRDefault="00317650" w:rsidP="00ED5CDA">
            <w:pPr>
              <w:pStyle w:val="a7"/>
              <w:rPr>
                <w:bCs/>
                <w:iCs/>
              </w:rPr>
            </w:pPr>
          </w:p>
        </w:tc>
        <w:tc>
          <w:tcPr>
            <w:tcW w:w="1401" w:type="dxa"/>
          </w:tcPr>
          <w:p w:rsidR="00317650" w:rsidRDefault="00317650" w:rsidP="00ED5CDA">
            <w:pPr>
              <w:pStyle w:val="a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2025</w:t>
            </w:r>
          </w:p>
        </w:tc>
        <w:tc>
          <w:tcPr>
            <w:tcW w:w="1843" w:type="dxa"/>
          </w:tcPr>
          <w:p w:rsidR="00317650" w:rsidRDefault="00317650" w:rsidP="00ED5CDA">
            <w:pPr>
              <w:pStyle w:val="a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2024</w:t>
            </w:r>
          </w:p>
        </w:tc>
        <w:tc>
          <w:tcPr>
            <w:tcW w:w="3118" w:type="dxa"/>
          </w:tcPr>
          <w:p w:rsidR="00317650" w:rsidRDefault="00317650" w:rsidP="00ED5CDA">
            <w:pPr>
              <w:pStyle w:val="a7"/>
              <w:jc w:val="center"/>
              <w:rPr>
                <w:b/>
                <w:bCs/>
                <w:i/>
                <w:iCs/>
              </w:rPr>
            </w:pPr>
            <w:r w:rsidRPr="00483575">
              <w:rPr>
                <w:b/>
                <w:bCs/>
                <w:i/>
                <w:iCs/>
              </w:rPr>
              <w:t>Динаміка в порівнянні з попереднім періодом</w:t>
            </w:r>
          </w:p>
        </w:tc>
      </w:tr>
      <w:tr w:rsidR="00317650" w:rsidRPr="00483575" w:rsidTr="00317650">
        <w:tc>
          <w:tcPr>
            <w:tcW w:w="3527" w:type="dxa"/>
            <w:shd w:val="clear" w:color="auto" w:fill="auto"/>
          </w:tcPr>
          <w:p w:rsidR="00317650" w:rsidRPr="00483575" w:rsidRDefault="00317650" w:rsidP="00ED5CDA">
            <w:pPr>
              <w:pStyle w:val="a7"/>
              <w:rPr>
                <w:bCs/>
                <w:iCs/>
              </w:rPr>
            </w:pPr>
            <w:r w:rsidRPr="00247036">
              <w:rPr>
                <w:bCs/>
                <w:iCs/>
              </w:rPr>
              <w:t>Позовні заяви</w:t>
            </w:r>
          </w:p>
        </w:tc>
        <w:tc>
          <w:tcPr>
            <w:tcW w:w="1401" w:type="dxa"/>
          </w:tcPr>
          <w:p w:rsidR="00317650" w:rsidRDefault="00317650" w:rsidP="00ED5CDA">
            <w:pPr>
              <w:pStyle w:val="a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86</w:t>
            </w:r>
          </w:p>
        </w:tc>
        <w:tc>
          <w:tcPr>
            <w:tcW w:w="1843" w:type="dxa"/>
          </w:tcPr>
          <w:p w:rsidR="00317650" w:rsidRDefault="00317650" w:rsidP="00ED5CDA">
            <w:pPr>
              <w:pStyle w:val="a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46</w:t>
            </w:r>
          </w:p>
        </w:tc>
        <w:tc>
          <w:tcPr>
            <w:tcW w:w="3118" w:type="dxa"/>
          </w:tcPr>
          <w:p w:rsidR="00317650" w:rsidRDefault="00317650" w:rsidP="00317650">
            <w:pPr>
              <w:pStyle w:val="a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+ 87%</w:t>
            </w:r>
          </w:p>
        </w:tc>
      </w:tr>
      <w:tr w:rsidR="00317650" w:rsidRPr="00483575" w:rsidTr="00317650">
        <w:tc>
          <w:tcPr>
            <w:tcW w:w="3527" w:type="dxa"/>
            <w:shd w:val="clear" w:color="auto" w:fill="auto"/>
          </w:tcPr>
          <w:p w:rsidR="00317650" w:rsidRPr="00247036" w:rsidRDefault="00317650" w:rsidP="00ED5CDA">
            <w:pPr>
              <w:pStyle w:val="a7"/>
              <w:rPr>
                <w:bCs/>
                <w:i/>
                <w:iCs/>
              </w:rPr>
            </w:pPr>
            <w:r>
              <w:rPr>
                <w:bCs/>
                <w:iCs/>
              </w:rPr>
              <w:t xml:space="preserve">       </w:t>
            </w:r>
            <w:r w:rsidRPr="00247036">
              <w:rPr>
                <w:bCs/>
                <w:i/>
                <w:iCs/>
              </w:rPr>
              <w:t xml:space="preserve">Справи </w:t>
            </w:r>
          </w:p>
        </w:tc>
        <w:tc>
          <w:tcPr>
            <w:tcW w:w="1401" w:type="dxa"/>
          </w:tcPr>
          <w:p w:rsidR="00317650" w:rsidRDefault="00317650" w:rsidP="00ED5CDA">
            <w:pPr>
              <w:pStyle w:val="a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88</w:t>
            </w:r>
          </w:p>
        </w:tc>
        <w:tc>
          <w:tcPr>
            <w:tcW w:w="1843" w:type="dxa"/>
          </w:tcPr>
          <w:p w:rsidR="00317650" w:rsidRDefault="00317650" w:rsidP="00ED5CDA">
            <w:pPr>
              <w:pStyle w:val="a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41</w:t>
            </w:r>
          </w:p>
        </w:tc>
        <w:tc>
          <w:tcPr>
            <w:tcW w:w="3118" w:type="dxa"/>
          </w:tcPr>
          <w:p w:rsidR="00317650" w:rsidRDefault="00317650" w:rsidP="00317650">
            <w:pPr>
              <w:pStyle w:val="a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+114,6 %</w:t>
            </w:r>
          </w:p>
        </w:tc>
      </w:tr>
    </w:tbl>
    <w:p w:rsidR="00ED206A" w:rsidRDefault="00ED206A" w:rsidP="0086267B">
      <w:pPr>
        <w:pStyle w:val="21"/>
        <w:spacing w:after="0"/>
        <w:rPr>
          <w:bCs/>
          <w:iCs/>
          <w:lang w:val="ru-RU"/>
        </w:rPr>
      </w:pPr>
    </w:p>
    <w:p w:rsidR="009C21EE" w:rsidRPr="00247036" w:rsidRDefault="009C21EE" w:rsidP="0086267B">
      <w:pPr>
        <w:pStyle w:val="21"/>
        <w:spacing w:after="0"/>
        <w:rPr>
          <w:b/>
          <w:sz w:val="28"/>
          <w:szCs w:val="28"/>
          <w:lang w:val="ru-RU"/>
        </w:rPr>
      </w:pPr>
      <w:r w:rsidRPr="00B06C08">
        <w:rPr>
          <w:bCs/>
          <w:iCs/>
          <w:lang w:val="ru-RU"/>
        </w:rPr>
        <w:t xml:space="preserve">По </w:t>
      </w:r>
      <w:proofErr w:type="spellStart"/>
      <w:r w:rsidRPr="00B06C08">
        <w:rPr>
          <w:bCs/>
          <w:iCs/>
          <w:lang w:val="ru-RU"/>
        </w:rPr>
        <w:t>цивільному</w:t>
      </w:r>
      <w:proofErr w:type="spellEnd"/>
      <w:r w:rsidRPr="00B06C08">
        <w:rPr>
          <w:bCs/>
          <w:iCs/>
          <w:lang w:val="ru-RU"/>
        </w:rPr>
        <w:t xml:space="preserve"> </w:t>
      </w:r>
      <w:proofErr w:type="spellStart"/>
      <w:r w:rsidRPr="00B06C08">
        <w:rPr>
          <w:bCs/>
          <w:iCs/>
          <w:lang w:val="ru-RU"/>
        </w:rPr>
        <w:t>судочинству</w:t>
      </w:r>
      <w:proofErr w:type="spellEnd"/>
      <w:r w:rsidRPr="00B06C08">
        <w:rPr>
          <w:bCs/>
          <w:iCs/>
          <w:lang w:val="ru-RU"/>
        </w:rPr>
        <w:t xml:space="preserve"> </w:t>
      </w:r>
      <w:proofErr w:type="spellStart"/>
      <w:r w:rsidRPr="00B06C08">
        <w:rPr>
          <w:bCs/>
          <w:iCs/>
          <w:lang w:val="ru-RU"/>
        </w:rPr>
        <w:t>є</w:t>
      </w:r>
      <w:proofErr w:type="spellEnd"/>
      <w:r w:rsidRPr="00B06C08">
        <w:rPr>
          <w:bCs/>
          <w:iCs/>
          <w:lang w:val="ru-RU"/>
        </w:rPr>
        <w:t xml:space="preserve"> </w:t>
      </w:r>
      <w:proofErr w:type="spellStart"/>
      <w:r w:rsidRPr="00B06C08">
        <w:rPr>
          <w:bCs/>
          <w:iCs/>
          <w:lang w:val="ru-RU"/>
        </w:rPr>
        <w:t>такі</w:t>
      </w:r>
      <w:proofErr w:type="spellEnd"/>
      <w:r w:rsidRPr="00B06C08">
        <w:rPr>
          <w:bCs/>
          <w:iCs/>
          <w:lang w:val="ru-RU"/>
        </w:rPr>
        <w:t xml:space="preserve"> </w:t>
      </w:r>
      <w:proofErr w:type="spellStart"/>
      <w:r w:rsidRPr="00B06C08">
        <w:rPr>
          <w:bCs/>
          <w:iCs/>
          <w:lang w:val="ru-RU"/>
        </w:rPr>
        <w:t>показники</w:t>
      </w:r>
      <w:proofErr w:type="spellEnd"/>
      <w:r w:rsidRPr="00B06C08">
        <w:rPr>
          <w:bCs/>
          <w:iCs/>
          <w:lang w:val="ru-RU"/>
        </w:rPr>
        <w:t xml:space="preserve"> та </w:t>
      </w:r>
      <w:proofErr w:type="spellStart"/>
      <w:r w:rsidRPr="00B06C08">
        <w:rPr>
          <w:bCs/>
          <w:iCs/>
          <w:lang w:val="ru-RU"/>
        </w:rPr>
        <w:t>їх</w:t>
      </w:r>
      <w:proofErr w:type="spellEnd"/>
      <w:r w:rsidRPr="00B06C08">
        <w:rPr>
          <w:bCs/>
          <w:iCs/>
          <w:lang w:val="ru-RU"/>
        </w:rPr>
        <w:t xml:space="preserve"> </w:t>
      </w:r>
      <w:proofErr w:type="spellStart"/>
      <w:r w:rsidRPr="00B06C08">
        <w:rPr>
          <w:bCs/>
          <w:iCs/>
          <w:lang w:val="ru-RU"/>
        </w:rPr>
        <w:t>динаміка</w:t>
      </w:r>
      <w:proofErr w:type="spellEnd"/>
      <w:r w:rsidRPr="00B06C08">
        <w:rPr>
          <w:bCs/>
          <w:iCs/>
          <w:lang w:val="ru-RU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  <w:gridCol w:w="1701"/>
        <w:gridCol w:w="1559"/>
        <w:gridCol w:w="2127"/>
      </w:tblGrid>
      <w:tr w:rsidR="00EC40B2" w:rsidRPr="008A2D80" w:rsidTr="00ED206A">
        <w:tc>
          <w:tcPr>
            <w:tcW w:w="4644" w:type="dxa"/>
            <w:shd w:val="clear" w:color="auto" w:fill="auto"/>
          </w:tcPr>
          <w:p w:rsidR="00EC40B2" w:rsidRPr="00483575" w:rsidRDefault="00EC40B2" w:rsidP="00ED5CDA">
            <w:pPr>
              <w:pStyle w:val="a7"/>
              <w:rPr>
                <w:bCs/>
                <w:iCs/>
              </w:rPr>
            </w:pPr>
          </w:p>
        </w:tc>
        <w:tc>
          <w:tcPr>
            <w:tcW w:w="1701" w:type="dxa"/>
          </w:tcPr>
          <w:p w:rsidR="00EC40B2" w:rsidRDefault="00EC40B2" w:rsidP="00ED5CDA">
            <w:pPr>
              <w:pStyle w:val="a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2025</w:t>
            </w:r>
          </w:p>
        </w:tc>
        <w:tc>
          <w:tcPr>
            <w:tcW w:w="1559" w:type="dxa"/>
          </w:tcPr>
          <w:p w:rsidR="00EC40B2" w:rsidRDefault="00EC40B2" w:rsidP="00ED5CDA">
            <w:pPr>
              <w:pStyle w:val="a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2024</w:t>
            </w:r>
          </w:p>
        </w:tc>
        <w:tc>
          <w:tcPr>
            <w:tcW w:w="2127" w:type="dxa"/>
          </w:tcPr>
          <w:p w:rsidR="00EC40B2" w:rsidRDefault="00EC40B2" w:rsidP="00ED5CDA">
            <w:pPr>
              <w:pStyle w:val="a7"/>
              <w:jc w:val="center"/>
              <w:rPr>
                <w:b/>
                <w:bCs/>
                <w:i/>
                <w:iCs/>
              </w:rPr>
            </w:pPr>
            <w:r w:rsidRPr="00483575">
              <w:rPr>
                <w:b/>
                <w:bCs/>
                <w:i/>
                <w:iCs/>
              </w:rPr>
              <w:t>Динаміка в порівнянні з попереднім періодом</w:t>
            </w:r>
          </w:p>
        </w:tc>
      </w:tr>
      <w:tr w:rsidR="00EC40B2" w:rsidRPr="00D2309F" w:rsidTr="00ED206A">
        <w:tc>
          <w:tcPr>
            <w:tcW w:w="4644" w:type="dxa"/>
            <w:shd w:val="clear" w:color="auto" w:fill="auto"/>
          </w:tcPr>
          <w:p w:rsidR="00EC40B2" w:rsidRPr="00D2309F" w:rsidRDefault="00EC40B2" w:rsidP="00ED5CDA">
            <w:pPr>
              <w:rPr>
                <w:lang w:val="ru-RU" w:eastAsia="ru-RU"/>
              </w:rPr>
            </w:pPr>
            <w:r w:rsidRPr="00D2309F">
              <w:rPr>
                <w:lang w:val="ru-RU"/>
              </w:rPr>
              <w:t xml:space="preserve">Заяви про </w:t>
            </w:r>
            <w:proofErr w:type="spellStart"/>
            <w:r w:rsidRPr="00D2309F">
              <w:rPr>
                <w:lang w:val="ru-RU"/>
              </w:rPr>
              <w:t>видачу</w:t>
            </w:r>
            <w:proofErr w:type="spellEnd"/>
            <w:r w:rsidRPr="00D2309F">
              <w:rPr>
                <w:lang w:val="ru-RU"/>
              </w:rPr>
              <w:t>/</w:t>
            </w:r>
            <w:proofErr w:type="spellStart"/>
            <w:r w:rsidRPr="00D2309F">
              <w:rPr>
                <w:lang w:val="ru-RU"/>
              </w:rPr>
              <w:t>скасування</w:t>
            </w:r>
            <w:proofErr w:type="spellEnd"/>
            <w:r w:rsidRPr="00D2309F">
              <w:rPr>
                <w:lang w:val="ru-RU"/>
              </w:rPr>
              <w:t xml:space="preserve"> </w:t>
            </w:r>
            <w:proofErr w:type="gramStart"/>
            <w:r w:rsidRPr="00D2309F">
              <w:rPr>
                <w:lang w:val="ru-RU"/>
              </w:rPr>
              <w:t>судового</w:t>
            </w:r>
            <w:proofErr w:type="gramEnd"/>
            <w:r w:rsidRPr="00D2309F">
              <w:rPr>
                <w:lang w:val="ru-RU"/>
              </w:rPr>
              <w:t xml:space="preserve"> наказу</w:t>
            </w:r>
          </w:p>
        </w:tc>
        <w:tc>
          <w:tcPr>
            <w:tcW w:w="1701" w:type="dxa"/>
            <w:vAlign w:val="center"/>
          </w:tcPr>
          <w:p w:rsidR="00EC40B2" w:rsidRDefault="00EC40B2" w:rsidP="003176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1624</w:t>
            </w:r>
          </w:p>
        </w:tc>
        <w:tc>
          <w:tcPr>
            <w:tcW w:w="1559" w:type="dxa"/>
            <w:vAlign w:val="center"/>
          </w:tcPr>
          <w:p w:rsidR="00EC40B2" w:rsidRDefault="00EC40B2" w:rsidP="00F34B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4697</w:t>
            </w:r>
          </w:p>
        </w:tc>
        <w:tc>
          <w:tcPr>
            <w:tcW w:w="2127" w:type="dxa"/>
            <w:vAlign w:val="center"/>
          </w:tcPr>
          <w:p w:rsidR="00EC40B2" w:rsidRDefault="00EC40B2" w:rsidP="00EC40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- 65%</w:t>
            </w:r>
          </w:p>
        </w:tc>
      </w:tr>
      <w:tr w:rsidR="00EC40B2" w:rsidRPr="00D2309F" w:rsidTr="00ED206A">
        <w:tc>
          <w:tcPr>
            <w:tcW w:w="4644" w:type="dxa"/>
            <w:shd w:val="clear" w:color="auto" w:fill="auto"/>
          </w:tcPr>
          <w:p w:rsidR="00EC40B2" w:rsidRPr="00D2309F" w:rsidRDefault="00EC40B2" w:rsidP="00ED5CDA">
            <w:pPr>
              <w:rPr>
                <w:lang w:val="ru-RU" w:eastAsia="ru-RU"/>
              </w:rPr>
            </w:pPr>
            <w:r w:rsidRPr="00D2309F">
              <w:rPr>
                <w:lang w:val="ru-RU"/>
              </w:rPr>
              <w:t xml:space="preserve">Заяви про </w:t>
            </w:r>
            <w:proofErr w:type="spellStart"/>
            <w:r w:rsidRPr="00D2309F">
              <w:rPr>
                <w:lang w:val="ru-RU"/>
              </w:rPr>
              <w:t>забезпечення</w:t>
            </w:r>
            <w:proofErr w:type="spellEnd"/>
            <w:r w:rsidRPr="00D2309F">
              <w:rPr>
                <w:lang w:val="ru-RU"/>
              </w:rPr>
              <w:t xml:space="preserve"> </w:t>
            </w:r>
            <w:proofErr w:type="spellStart"/>
            <w:r w:rsidRPr="00D2309F">
              <w:rPr>
                <w:lang w:val="ru-RU"/>
              </w:rPr>
              <w:t>доказів</w:t>
            </w:r>
            <w:proofErr w:type="spellEnd"/>
            <w:r w:rsidRPr="00D2309F">
              <w:rPr>
                <w:lang w:val="ru-RU"/>
              </w:rPr>
              <w:t xml:space="preserve">, </w:t>
            </w:r>
            <w:proofErr w:type="gramStart"/>
            <w:r w:rsidRPr="00D2309F">
              <w:rPr>
                <w:lang w:val="ru-RU"/>
              </w:rPr>
              <w:t xml:space="preserve">позову до </w:t>
            </w:r>
            <w:proofErr w:type="spellStart"/>
            <w:r w:rsidRPr="00D2309F">
              <w:rPr>
                <w:lang w:val="ru-RU"/>
              </w:rPr>
              <w:t>подання</w:t>
            </w:r>
            <w:proofErr w:type="spellEnd"/>
            <w:r w:rsidRPr="00D2309F">
              <w:rPr>
                <w:lang w:val="ru-RU"/>
              </w:rPr>
              <w:t xml:space="preserve"> </w:t>
            </w:r>
            <w:proofErr w:type="spellStart"/>
            <w:r w:rsidRPr="00D2309F">
              <w:rPr>
                <w:lang w:val="ru-RU"/>
              </w:rPr>
              <w:t>позовної</w:t>
            </w:r>
            <w:proofErr w:type="spellEnd"/>
            <w:r w:rsidRPr="00D2309F">
              <w:rPr>
                <w:lang w:val="ru-RU"/>
              </w:rPr>
              <w:t xml:space="preserve"> заяви</w:t>
            </w:r>
            <w:proofErr w:type="gramEnd"/>
          </w:p>
        </w:tc>
        <w:tc>
          <w:tcPr>
            <w:tcW w:w="1701" w:type="dxa"/>
            <w:vAlign w:val="center"/>
          </w:tcPr>
          <w:p w:rsidR="00EC40B2" w:rsidRDefault="00EC40B2" w:rsidP="003176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559" w:type="dxa"/>
            <w:vAlign w:val="center"/>
          </w:tcPr>
          <w:p w:rsidR="00EC40B2" w:rsidRDefault="00EC40B2" w:rsidP="00F34B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127" w:type="dxa"/>
            <w:vAlign w:val="center"/>
          </w:tcPr>
          <w:p w:rsidR="00EC40B2" w:rsidRDefault="00EC40B2" w:rsidP="00EC40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+ 13,3%</w:t>
            </w:r>
          </w:p>
        </w:tc>
      </w:tr>
      <w:tr w:rsidR="00EC40B2" w:rsidRPr="00D2309F" w:rsidTr="00ED206A">
        <w:tc>
          <w:tcPr>
            <w:tcW w:w="4644" w:type="dxa"/>
            <w:shd w:val="clear" w:color="auto" w:fill="auto"/>
          </w:tcPr>
          <w:p w:rsidR="00EC40B2" w:rsidRPr="00D2309F" w:rsidRDefault="00EC40B2" w:rsidP="00ED5CDA">
            <w:pPr>
              <w:rPr>
                <w:lang w:val="ru-RU" w:eastAsia="ru-RU"/>
              </w:rPr>
            </w:pPr>
            <w:proofErr w:type="spellStart"/>
            <w:r w:rsidRPr="00D2309F">
              <w:t>Позовні</w:t>
            </w:r>
            <w:proofErr w:type="spellEnd"/>
            <w:r w:rsidRPr="00D2309F">
              <w:t xml:space="preserve"> </w:t>
            </w:r>
            <w:proofErr w:type="spellStart"/>
            <w:r w:rsidRPr="00D2309F">
              <w:t>заяви</w:t>
            </w:r>
            <w:proofErr w:type="spellEnd"/>
          </w:p>
        </w:tc>
        <w:tc>
          <w:tcPr>
            <w:tcW w:w="1701" w:type="dxa"/>
            <w:vAlign w:val="center"/>
          </w:tcPr>
          <w:p w:rsidR="00EC40B2" w:rsidRDefault="00EC40B2" w:rsidP="003176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2874</w:t>
            </w:r>
          </w:p>
        </w:tc>
        <w:tc>
          <w:tcPr>
            <w:tcW w:w="1559" w:type="dxa"/>
            <w:vAlign w:val="center"/>
          </w:tcPr>
          <w:p w:rsidR="00EC40B2" w:rsidRDefault="00EC40B2" w:rsidP="00F34B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2079</w:t>
            </w:r>
          </w:p>
        </w:tc>
        <w:tc>
          <w:tcPr>
            <w:tcW w:w="2127" w:type="dxa"/>
            <w:vAlign w:val="center"/>
          </w:tcPr>
          <w:p w:rsidR="00EC40B2" w:rsidRDefault="00EC40B2" w:rsidP="00EC40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+ 38 %</w:t>
            </w:r>
          </w:p>
        </w:tc>
      </w:tr>
      <w:tr w:rsidR="00EC40B2" w:rsidRPr="00D2309F" w:rsidTr="00ED206A">
        <w:tc>
          <w:tcPr>
            <w:tcW w:w="4644" w:type="dxa"/>
            <w:shd w:val="clear" w:color="auto" w:fill="auto"/>
          </w:tcPr>
          <w:p w:rsidR="00EC40B2" w:rsidRPr="00640002" w:rsidRDefault="00EC40B2" w:rsidP="00640002">
            <w:pPr>
              <w:jc w:val="center"/>
              <w:rPr>
                <w:i/>
                <w:iCs/>
                <w:lang w:val="uk-UA"/>
              </w:rPr>
            </w:pPr>
            <w:proofErr w:type="spellStart"/>
            <w:r w:rsidRPr="00D2309F">
              <w:rPr>
                <w:i/>
                <w:iCs/>
              </w:rPr>
              <w:t>Справи</w:t>
            </w:r>
            <w:proofErr w:type="spellEnd"/>
            <w:r w:rsidRPr="00D2309F">
              <w:rPr>
                <w:i/>
                <w:iCs/>
              </w:rPr>
              <w:t xml:space="preserve"> </w:t>
            </w:r>
            <w:proofErr w:type="spellStart"/>
            <w:r w:rsidRPr="00D2309F">
              <w:rPr>
                <w:i/>
                <w:iCs/>
              </w:rPr>
              <w:t>позовного</w:t>
            </w:r>
            <w:proofErr w:type="spellEnd"/>
            <w:r w:rsidRPr="00D2309F">
              <w:rPr>
                <w:i/>
                <w:iCs/>
              </w:rPr>
              <w:t xml:space="preserve"> </w:t>
            </w:r>
            <w:proofErr w:type="spellStart"/>
            <w:r w:rsidRPr="00D2309F">
              <w:rPr>
                <w:i/>
                <w:iCs/>
              </w:rPr>
              <w:t>провадження</w:t>
            </w:r>
            <w:proofErr w:type="spellEnd"/>
          </w:p>
        </w:tc>
        <w:tc>
          <w:tcPr>
            <w:tcW w:w="1701" w:type="dxa"/>
            <w:vAlign w:val="center"/>
          </w:tcPr>
          <w:p w:rsidR="00EC40B2" w:rsidRDefault="00EC40B2" w:rsidP="003176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3032</w:t>
            </w:r>
          </w:p>
        </w:tc>
        <w:tc>
          <w:tcPr>
            <w:tcW w:w="1559" w:type="dxa"/>
            <w:vAlign w:val="center"/>
          </w:tcPr>
          <w:p w:rsidR="00EC40B2" w:rsidRDefault="00EC40B2" w:rsidP="00F34B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2223</w:t>
            </w:r>
          </w:p>
        </w:tc>
        <w:tc>
          <w:tcPr>
            <w:tcW w:w="2127" w:type="dxa"/>
            <w:vAlign w:val="center"/>
          </w:tcPr>
          <w:p w:rsidR="00EC40B2" w:rsidRDefault="00EC40B2" w:rsidP="00EC40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+ 36,4 %</w:t>
            </w:r>
          </w:p>
        </w:tc>
      </w:tr>
      <w:tr w:rsidR="00EC40B2" w:rsidRPr="00D2309F" w:rsidTr="00ED206A">
        <w:tc>
          <w:tcPr>
            <w:tcW w:w="4644" w:type="dxa"/>
            <w:shd w:val="clear" w:color="auto" w:fill="auto"/>
          </w:tcPr>
          <w:p w:rsidR="00EC40B2" w:rsidRPr="00640002" w:rsidRDefault="00EC40B2" w:rsidP="0086267B">
            <w:pPr>
              <w:rPr>
                <w:lang w:val="uk-UA" w:eastAsia="ru-RU"/>
              </w:rPr>
            </w:pPr>
            <w:proofErr w:type="spellStart"/>
            <w:r w:rsidRPr="00D2309F">
              <w:t>Заяви</w:t>
            </w:r>
            <w:proofErr w:type="spellEnd"/>
            <w:r w:rsidRPr="00D2309F">
              <w:t xml:space="preserve"> </w:t>
            </w:r>
            <w:proofErr w:type="spellStart"/>
            <w:r w:rsidRPr="00D2309F">
              <w:t>окремого</w:t>
            </w:r>
            <w:proofErr w:type="spellEnd"/>
            <w:r w:rsidRPr="00D2309F">
              <w:t xml:space="preserve"> </w:t>
            </w:r>
            <w:proofErr w:type="spellStart"/>
            <w:r w:rsidRPr="00D2309F">
              <w:t>провадження</w:t>
            </w:r>
            <w:proofErr w:type="spellEnd"/>
          </w:p>
        </w:tc>
        <w:tc>
          <w:tcPr>
            <w:tcW w:w="1701" w:type="dxa"/>
            <w:vAlign w:val="center"/>
          </w:tcPr>
          <w:p w:rsidR="00EC40B2" w:rsidRDefault="00EC40B2" w:rsidP="003176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185</w:t>
            </w:r>
          </w:p>
        </w:tc>
        <w:tc>
          <w:tcPr>
            <w:tcW w:w="1559" w:type="dxa"/>
            <w:vAlign w:val="center"/>
          </w:tcPr>
          <w:p w:rsidR="00EC40B2" w:rsidRDefault="00EC40B2" w:rsidP="00F34B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182</w:t>
            </w:r>
          </w:p>
        </w:tc>
        <w:tc>
          <w:tcPr>
            <w:tcW w:w="2127" w:type="dxa"/>
            <w:vAlign w:val="center"/>
          </w:tcPr>
          <w:p w:rsidR="00EC40B2" w:rsidRDefault="00EC40B2" w:rsidP="00EC40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+ 1,6 %</w:t>
            </w:r>
          </w:p>
        </w:tc>
      </w:tr>
      <w:tr w:rsidR="00EC40B2" w:rsidRPr="00D2309F" w:rsidTr="00ED206A">
        <w:tc>
          <w:tcPr>
            <w:tcW w:w="4644" w:type="dxa"/>
            <w:shd w:val="clear" w:color="auto" w:fill="auto"/>
          </w:tcPr>
          <w:p w:rsidR="00EC40B2" w:rsidRPr="00D2309F" w:rsidRDefault="00EC40B2" w:rsidP="00ED5CDA">
            <w:pPr>
              <w:jc w:val="center"/>
              <w:rPr>
                <w:i/>
                <w:iCs/>
                <w:lang w:val="ru-RU" w:eastAsia="ru-RU"/>
              </w:rPr>
            </w:pPr>
            <w:proofErr w:type="spellStart"/>
            <w:r w:rsidRPr="00D2309F">
              <w:rPr>
                <w:i/>
                <w:iCs/>
              </w:rPr>
              <w:t>Справи</w:t>
            </w:r>
            <w:proofErr w:type="spellEnd"/>
            <w:r w:rsidRPr="00D2309F">
              <w:rPr>
                <w:i/>
                <w:iCs/>
              </w:rPr>
              <w:t xml:space="preserve"> </w:t>
            </w:r>
            <w:proofErr w:type="spellStart"/>
            <w:r w:rsidRPr="00D2309F">
              <w:rPr>
                <w:i/>
                <w:iCs/>
              </w:rPr>
              <w:t>окремого</w:t>
            </w:r>
            <w:proofErr w:type="spellEnd"/>
            <w:r w:rsidRPr="00D2309F">
              <w:rPr>
                <w:i/>
                <w:iCs/>
              </w:rPr>
              <w:t xml:space="preserve"> </w:t>
            </w:r>
            <w:proofErr w:type="spellStart"/>
            <w:r w:rsidRPr="00D2309F">
              <w:rPr>
                <w:i/>
                <w:iCs/>
              </w:rPr>
              <w:t>провадження</w:t>
            </w:r>
            <w:proofErr w:type="spellEnd"/>
          </w:p>
        </w:tc>
        <w:tc>
          <w:tcPr>
            <w:tcW w:w="1701" w:type="dxa"/>
            <w:vAlign w:val="center"/>
          </w:tcPr>
          <w:p w:rsidR="00EC40B2" w:rsidRDefault="00EC40B2" w:rsidP="003176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204</w:t>
            </w:r>
          </w:p>
        </w:tc>
        <w:tc>
          <w:tcPr>
            <w:tcW w:w="1559" w:type="dxa"/>
            <w:vAlign w:val="center"/>
          </w:tcPr>
          <w:p w:rsidR="00EC40B2" w:rsidRDefault="00EC40B2" w:rsidP="00F34B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167</w:t>
            </w:r>
          </w:p>
        </w:tc>
        <w:tc>
          <w:tcPr>
            <w:tcW w:w="2127" w:type="dxa"/>
            <w:vAlign w:val="center"/>
          </w:tcPr>
          <w:p w:rsidR="00EC40B2" w:rsidRDefault="00EC40B2" w:rsidP="00EC40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+ 22,2 %</w:t>
            </w:r>
          </w:p>
        </w:tc>
      </w:tr>
      <w:tr w:rsidR="00EC40B2" w:rsidRPr="00D2309F" w:rsidTr="00ED206A">
        <w:tc>
          <w:tcPr>
            <w:tcW w:w="4644" w:type="dxa"/>
            <w:shd w:val="clear" w:color="auto" w:fill="auto"/>
          </w:tcPr>
          <w:p w:rsidR="00EC40B2" w:rsidRPr="00D2309F" w:rsidRDefault="00EC40B2" w:rsidP="00ED5CDA">
            <w:pPr>
              <w:rPr>
                <w:lang w:val="ru-RU" w:eastAsia="ru-RU"/>
              </w:rPr>
            </w:pPr>
            <w:r w:rsidRPr="00D2309F">
              <w:rPr>
                <w:lang w:val="ru-RU"/>
              </w:rPr>
              <w:t xml:space="preserve">Заяви про перегляд заочного </w:t>
            </w:r>
            <w:proofErr w:type="spellStart"/>
            <w:proofErr w:type="gramStart"/>
            <w:r w:rsidRPr="00D2309F">
              <w:rPr>
                <w:lang w:val="ru-RU"/>
              </w:rPr>
              <w:t>р</w:t>
            </w:r>
            <w:proofErr w:type="gramEnd"/>
            <w:r w:rsidRPr="00D2309F">
              <w:rPr>
                <w:lang w:val="ru-RU"/>
              </w:rPr>
              <w:t>ішення</w:t>
            </w:r>
            <w:proofErr w:type="spellEnd"/>
          </w:p>
        </w:tc>
        <w:tc>
          <w:tcPr>
            <w:tcW w:w="1701" w:type="dxa"/>
            <w:vAlign w:val="center"/>
          </w:tcPr>
          <w:p w:rsidR="00EC40B2" w:rsidRDefault="00EC40B2" w:rsidP="003176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559" w:type="dxa"/>
            <w:vAlign w:val="center"/>
          </w:tcPr>
          <w:p w:rsidR="00EC40B2" w:rsidRDefault="00EC40B2" w:rsidP="00F34B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127" w:type="dxa"/>
            <w:vAlign w:val="center"/>
          </w:tcPr>
          <w:p w:rsidR="00EC40B2" w:rsidRDefault="00EC40B2" w:rsidP="00EC40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+ 29, 7 %</w:t>
            </w:r>
          </w:p>
        </w:tc>
      </w:tr>
      <w:tr w:rsidR="00EC40B2" w:rsidRPr="00F34B70" w:rsidTr="00ED206A">
        <w:tc>
          <w:tcPr>
            <w:tcW w:w="4644" w:type="dxa"/>
            <w:shd w:val="clear" w:color="auto" w:fill="auto"/>
          </w:tcPr>
          <w:p w:rsidR="00EC40B2" w:rsidRPr="00D2309F" w:rsidRDefault="00EC40B2" w:rsidP="00F34B70">
            <w:pPr>
              <w:rPr>
                <w:lang w:val="ru-RU"/>
              </w:rPr>
            </w:pPr>
            <w:r>
              <w:rPr>
                <w:lang w:val="ru-RU"/>
              </w:rPr>
              <w:t xml:space="preserve">Заяви про перегляд </w:t>
            </w:r>
            <w:proofErr w:type="spellStart"/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ішень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ухвал</w:t>
            </w:r>
            <w:proofErr w:type="spellEnd"/>
            <w:r>
              <w:rPr>
                <w:lang w:val="ru-RU"/>
              </w:rPr>
              <w:t xml:space="preserve"> суду </w:t>
            </w:r>
            <w:proofErr w:type="spellStart"/>
            <w:r>
              <w:rPr>
                <w:lang w:val="ru-RU"/>
              </w:rPr>
              <w:t>чи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судових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наказів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зв'язку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нововиявленими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або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виключними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обставинами</w:t>
            </w:r>
            <w:proofErr w:type="spellEnd"/>
          </w:p>
        </w:tc>
        <w:tc>
          <w:tcPr>
            <w:tcW w:w="1701" w:type="dxa"/>
            <w:vAlign w:val="center"/>
          </w:tcPr>
          <w:p w:rsidR="00EC40B2" w:rsidRDefault="00EC40B2" w:rsidP="003176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59" w:type="dxa"/>
            <w:vAlign w:val="center"/>
          </w:tcPr>
          <w:p w:rsidR="00EC40B2" w:rsidRDefault="00EC40B2" w:rsidP="00F34B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7" w:type="dxa"/>
            <w:vAlign w:val="center"/>
          </w:tcPr>
          <w:p w:rsidR="00EC40B2" w:rsidRDefault="00EC40B2" w:rsidP="00EC40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+ 66,7 %</w:t>
            </w:r>
          </w:p>
        </w:tc>
      </w:tr>
      <w:tr w:rsidR="00EC40B2" w:rsidRPr="00F34B70" w:rsidTr="00ED206A">
        <w:tc>
          <w:tcPr>
            <w:tcW w:w="4644" w:type="dxa"/>
            <w:shd w:val="clear" w:color="auto" w:fill="auto"/>
          </w:tcPr>
          <w:p w:rsidR="00EC40B2" w:rsidRDefault="00EC40B2" w:rsidP="00F34B70">
            <w:pPr>
              <w:rPr>
                <w:lang w:val="ru-RU"/>
              </w:rPr>
            </w:pPr>
            <w:r>
              <w:rPr>
                <w:lang w:val="ru-RU"/>
              </w:rPr>
              <w:t xml:space="preserve">Заяви про </w:t>
            </w:r>
            <w:proofErr w:type="spellStart"/>
            <w:r>
              <w:rPr>
                <w:lang w:val="ru-RU"/>
              </w:rPr>
              <w:t>відновлення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втраченого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провадження</w:t>
            </w:r>
            <w:proofErr w:type="spellEnd"/>
          </w:p>
        </w:tc>
        <w:tc>
          <w:tcPr>
            <w:tcW w:w="1701" w:type="dxa"/>
            <w:vAlign w:val="center"/>
          </w:tcPr>
          <w:p w:rsidR="00EC40B2" w:rsidRDefault="00EC40B2" w:rsidP="003176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59" w:type="dxa"/>
            <w:vAlign w:val="center"/>
          </w:tcPr>
          <w:p w:rsidR="00EC40B2" w:rsidRDefault="00EC40B2" w:rsidP="00F34B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127" w:type="dxa"/>
            <w:vAlign w:val="center"/>
          </w:tcPr>
          <w:p w:rsidR="00EC40B2" w:rsidRDefault="00EC40B2" w:rsidP="00EC40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+ 80 %</w:t>
            </w:r>
          </w:p>
        </w:tc>
      </w:tr>
      <w:tr w:rsidR="00EC40B2" w:rsidRPr="00D2309F" w:rsidTr="00ED206A">
        <w:tc>
          <w:tcPr>
            <w:tcW w:w="4644" w:type="dxa"/>
            <w:shd w:val="clear" w:color="auto" w:fill="auto"/>
          </w:tcPr>
          <w:p w:rsidR="00EC40B2" w:rsidRPr="00D2309F" w:rsidRDefault="00EC40B2" w:rsidP="00ED5CDA">
            <w:pPr>
              <w:rPr>
                <w:lang w:val="ru-RU"/>
              </w:rPr>
            </w:pPr>
            <w:r>
              <w:rPr>
                <w:lang w:val="ru-RU"/>
              </w:rPr>
              <w:t xml:space="preserve">Заяви про </w:t>
            </w:r>
            <w:proofErr w:type="spellStart"/>
            <w:r>
              <w:rPr>
                <w:lang w:val="ru-RU"/>
              </w:rPr>
              <w:t>відвід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судді</w:t>
            </w:r>
            <w:proofErr w:type="spellEnd"/>
          </w:p>
        </w:tc>
        <w:tc>
          <w:tcPr>
            <w:tcW w:w="1701" w:type="dxa"/>
            <w:vAlign w:val="center"/>
          </w:tcPr>
          <w:p w:rsidR="00EC40B2" w:rsidRDefault="00EC40B2" w:rsidP="003176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  <w:vAlign w:val="center"/>
          </w:tcPr>
          <w:p w:rsidR="00EC40B2" w:rsidRDefault="00EC40B2" w:rsidP="00F34B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127" w:type="dxa"/>
            <w:vAlign w:val="center"/>
          </w:tcPr>
          <w:p w:rsidR="00EC40B2" w:rsidRPr="006726B9" w:rsidRDefault="00EC40B2" w:rsidP="00EC40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Pr="006726B9">
              <w:rPr>
                <w:lang w:val="uk-UA"/>
              </w:rPr>
              <w:t>80 %</w:t>
            </w:r>
          </w:p>
        </w:tc>
      </w:tr>
      <w:tr w:rsidR="00EC40B2" w:rsidRPr="00D2309F" w:rsidTr="00ED206A">
        <w:tc>
          <w:tcPr>
            <w:tcW w:w="4644" w:type="dxa"/>
            <w:shd w:val="clear" w:color="auto" w:fill="auto"/>
          </w:tcPr>
          <w:p w:rsidR="00EC40B2" w:rsidRPr="00D2309F" w:rsidRDefault="00EC40B2" w:rsidP="00ED5CDA">
            <w:pPr>
              <w:rPr>
                <w:color w:val="000000"/>
                <w:lang w:val="ru-RU" w:eastAsia="ru-RU"/>
              </w:rPr>
            </w:pPr>
            <w:proofErr w:type="spellStart"/>
            <w:r w:rsidRPr="00D2309F">
              <w:rPr>
                <w:color w:val="000000"/>
                <w:lang w:val="ru-RU"/>
              </w:rPr>
              <w:t>Скарги</w:t>
            </w:r>
            <w:proofErr w:type="spellEnd"/>
            <w:r w:rsidRPr="00D2309F">
              <w:rPr>
                <w:color w:val="000000"/>
                <w:lang w:val="ru-RU"/>
              </w:rPr>
              <w:t xml:space="preserve"> на </w:t>
            </w:r>
            <w:proofErr w:type="spellStart"/>
            <w:r w:rsidRPr="00D2309F">
              <w:rPr>
                <w:color w:val="000000"/>
                <w:lang w:val="ru-RU"/>
              </w:rPr>
              <w:t>дії</w:t>
            </w:r>
            <w:proofErr w:type="spellEnd"/>
            <w:r w:rsidRPr="00D2309F">
              <w:rPr>
                <w:color w:val="000000"/>
                <w:lang w:val="ru-RU"/>
              </w:rPr>
              <w:t xml:space="preserve"> </w:t>
            </w:r>
            <w:proofErr w:type="spellStart"/>
            <w:r w:rsidRPr="00D2309F">
              <w:rPr>
                <w:color w:val="000000"/>
                <w:lang w:val="ru-RU"/>
              </w:rPr>
              <w:t>або</w:t>
            </w:r>
            <w:proofErr w:type="spellEnd"/>
            <w:r w:rsidRPr="00D2309F">
              <w:rPr>
                <w:color w:val="000000"/>
                <w:lang w:val="ru-RU"/>
              </w:rPr>
              <w:t xml:space="preserve"> </w:t>
            </w:r>
            <w:proofErr w:type="spellStart"/>
            <w:r w:rsidRPr="00D2309F">
              <w:rPr>
                <w:color w:val="000000"/>
                <w:lang w:val="ru-RU"/>
              </w:rPr>
              <w:t>бездіяльність</w:t>
            </w:r>
            <w:proofErr w:type="spellEnd"/>
            <w:r w:rsidRPr="00D2309F">
              <w:rPr>
                <w:color w:val="000000"/>
                <w:lang w:val="ru-RU"/>
              </w:rPr>
              <w:t xml:space="preserve"> </w:t>
            </w:r>
            <w:proofErr w:type="spellStart"/>
            <w:r w:rsidRPr="00D2309F">
              <w:rPr>
                <w:color w:val="000000"/>
                <w:lang w:val="ru-RU"/>
              </w:rPr>
              <w:t>виконавчої</w:t>
            </w:r>
            <w:proofErr w:type="spellEnd"/>
            <w:r w:rsidRPr="00D2309F">
              <w:rPr>
                <w:color w:val="000000"/>
                <w:lang w:val="ru-RU"/>
              </w:rPr>
              <w:t xml:space="preserve"> </w:t>
            </w:r>
            <w:proofErr w:type="spellStart"/>
            <w:r w:rsidRPr="00D2309F">
              <w:rPr>
                <w:color w:val="000000"/>
                <w:lang w:val="ru-RU"/>
              </w:rPr>
              <w:t>служби</w:t>
            </w:r>
            <w:proofErr w:type="spellEnd"/>
          </w:p>
        </w:tc>
        <w:tc>
          <w:tcPr>
            <w:tcW w:w="1701" w:type="dxa"/>
            <w:vAlign w:val="center"/>
          </w:tcPr>
          <w:p w:rsidR="00EC40B2" w:rsidRDefault="00EC40B2" w:rsidP="003176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559" w:type="dxa"/>
            <w:vAlign w:val="center"/>
          </w:tcPr>
          <w:p w:rsidR="00EC40B2" w:rsidRDefault="00EC40B2" w:rsidP="00F34B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2127" w:type="dxa"/>
            <w:vAlign w:val="center"/>
          </w:tcPr>
          <w:p w:rsidR="00EC40B2" w:rsidRDefault="00EC40B2" w:rsidP="00EC40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-30,7%</w:t>
            </w:r>
          </w:p>
        </w:tc>
      </w:tr>
      <w:tr w:rsidR="00EC40B2" w:rsidRPr="00D2309F" w:rsidTr="00ED206A">
        <w:tc>
          <w:tcPr>
            <w:tcW w:w="4644" w:type="dxa"/>
            <w:shd w:val="clear" w:color="auto" w:fill="auto"/>
          </w:tcPr>
          <w:p w:rsidR="00EC40B2" w:rsidRPr="00D2309F" w:rsidRDefault="00EC40B2" w:rsidP="00ED5CDA">
            <w:pPr>
              <w:rPr>
                <w:color w:val="000000"/>
                <w:lang w:val="ru-RU" w:eastAsia="ru-RU"/>
              </w:rPr>
            </w:pPr>
            <w:proofErr w:type="spellStart"/>
            <w:r w:rsidRPr="00D2309F">
              <w:rPr>
                <w:color w:val="000000"/>
                <w:lang w:val="ru-RU"/>
              </w:rPr>
              <w:t>Клопотання</w:t>
            </w:r>
            <w:proofErr w:type="spellEnd"/>
            <w:r w:rsidRPr="00D2309F">
              <w:rPr>
                <w:color w:val="000000"/>
                <w:lang w:val="ru-RU"/>
              </w:rPr>
              <w:t xml:space="preserve">, заяви, </w:t>
            </w:r>
            <w:proofErr w:type="spellStart"/>
            <w:r w:rsidRPr="00D2309F">
              <w:rPr>
                <w:color w:val="000000"/>
                <w:lang w:val="ru-RU"/>
              </w:rPr>
              <w:t>подання</w:t>
            </w:r>
            <w:proofErr w:type="spellEnd"/>
            <w:r w:rsidRPr="00D2309F">
              <w:rPr>
                <w:color w:val="000000"/>
                <w:lang w:val="ru-RU"/>
              </w:rPr>
              <w:t xml:space="preserve"> у порядку </w:t>
            </w:r>
            <w:proofErr w:type="spellStart"/>
            <w:r w:rsidRPr="00D2309F">
              <w:rPr>
                <w:color w:val="000000"/>
                <w:lang w:val="ru-RU"/>
              </w:rPr>
              <w:t>виконання</w:t>
            </w:r>
            <w:proofErr w:type="spellEnd"/>
            <w:r w:rsidRPr="00D2309F">
              <w:rPr>
                <w:color w:val="000000"/>
                <w:lang w:val="ru-RU"/>
              </w:rPr>
              <w:t xml:space="preserve"> </w:t>
            </w:r>
            <w:proofErr w:type="spellStart"/>
            <w:r w:rsidRPr="00D2309F">
              <w:rPr>
                <w:color w:val="000000"/>
                <w:lang w:val="ru-RU"/>
              </w:rPr>
              <w:t>судових</w:t>
            </w:r>
            <w:proofErr w:type="spellEnd"/>
            <w:r w:rsidRPr="00D2309F">
              <w:rPr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D2309F">
              <w:rPr>
                <w:color w:val="000000"/>
                <w:lang w:val="ru-RU"/>
              </w:rPr>
              <w:t>р</w:t>
            </w:r>
            <w:proofErr w:type="gramEnd"/>
            <w:r w:rsidRPr="00D2309F">
              <w:rPr>
                <w:color w:val="000000"/>
                <w:lang w:val="ru-RU"/>
              </w:rPr>
              <w:t>ішень</w:t>
            </w:r>
            <w:proofErr w:type="spellEnd"/>
            <w:r w:rsidRPr="00D2309F">
              <w:rPr>
                <w:color w:val="000000"/>
                <w:lang w:val="ru-RU"/>
              </w:rPr>
              <w:t xml:space="preserve"> та </w:t>
            </w:r>
            <w:proofErr w:type="spellStart"/>
            <w:r w:rsidRPr="00D2309F">
              <w:rPr>
                <w:color w:val="000000"/>
                <w:lang w:val="ru-RU"/>
              </w:rPr>
              <w:t>рішень</w:t>
            </w:r>
            <w:proofErr w:type="spellEnd"/>
            <w:r w:rsidRPr="00D2309F">
              <w:rPr>
                <w:color w:val="000000"/>
                <w:lang w:val="ru-RU"/>
              </w:rPr>
              <w:t xml:space="preserve"> </w:t>
            </w:r>
            <w:proofErr w:type="spellStart"/>
            <w:r w:rsidRPr="00D2309F">
              <w:rPr>
                <w:color w:val="000000"/>
                <w:lang w:val="ru-RU"/>
              </w:rPr>
              <w:t>інших</w:t>
            </w:r>
            <w:proofErr w:type="spellEnd"/>
            <w:r w:rsidRPr="00D2309F">
              <w:rPr>
                <w:color w:val="000000"/>
                <w:lang w:val="ru-RU"/>
              </w:rPr>
              <w:t xml:space="preserve"> </w:t>
            </w:r>
            <w:proofErr w:type="spellStart"/>
            <w:r w:rsidRPr="00D2309F">
              <w:rPr>
                <w:color w:val="000000"/>
                <w:lang w:val="ru-RU"/>
              </w:rPr>
              <w:t>органів</w:t>
            </w:r>
            <w:proofErr w:type="spellEnd"/>
            <w:r w:rsidRPr="00D2309F">
              <w:rPr>
                <w:color w:val="000000"/>
                <w:lang w:val="ru-RU"/>
              </w:rPr>
              <w:t xml:space="preserve"> (</w:t>
            </w:r>
            <w:proofErr w:type="spellStart"/>
            <w:r w:rsidRPr="00D2309F">
              <w:rPr>
                <w:color w:val="000000"/>
                <w:lang w:val="ru-RU"/>
              </w:rPr>
              <w:t>посадових</w:t>
            </w:r>
            <w:proofErr w:type="spellEnd"/>
            <w:r w:rsidRPr="00D2309F">
              <w:rPr>
                <w:color w:val="000000"/>
                <w:lang w:val="ru-RU"/>
              </w:rPr>
              <w:t xml:space="preserve"> </w:t>
            </w:r>
            <w:proofErr w:type="spellStart"/>
            <w:r w:rsidRPr="00D2309F">
              <w:rPr>
                <w:color w:val="000000"/>
                <w:lang w:val="ru-RU"/>
              </w:rPr>
              <w:t>осіб</w:t>
            </w:r>
            <w:proofErr w:type="spellEnd"/>
            <w:r w:rsidRPr="00D2309F">
              <w:rPr>
                <w:color w:val="000000"/>
                <w:lang w:val="ru-RU"/>
              </w:rPr>
              <w:t>)</w:t>
            </w:r>
          </w:p>
        </w:tc>
        <w:tc>
          <w:tcPr>
            <w:tcW w:w="1701" w:type="dxa"/>
            <w:vAlign w:val="center"/>
          </w:tcPr>
          <w:p w:rsidR="00EC40B2" w:rsidRDefault="00EC40B2" w:rsidP="003176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</w:t>
            </w:r>
          </w:p>
        </w:tc>
        <w:tc>
          <w:tcPr>
            <w:tcW w:w="1559" w:type="dxa"/>
            <w:vAlign w:val="center"/>
          </w:tcPr>
          <w:p w:rsidR="00EC40B2" w:rsidRDefault="00EC40B2" w:rsidP="00F34B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332</w:t>
            </w:r>
          </w:p>
        </w:tc>
        <w:tc>
          <w:tcPr>
            <w:tcW w:w="2127" w:type="dxa"/>
            <w:vAlign w:val="center"/>
          </w:tcPr>
          <w:p w:rsidR="00EC40B2" w:rsidRDefault="00EC40B2" w:rsidP="00EC40B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-59%</w:t>
            </w:r>
          </w:p>
        </w:tc>
      </w:tr>
      <w:tr w:rsidR="00EC40B2" w:rsidRPr="009771CF" w:rsidTr="00ED206A">
        <w:tc>
          <w:tcPr>
            <w:tcW w:w="4644" w:type="dxa"/>
            <w:shd w:val="clear" w:color="auto" w:fill="auto"/>
          </w:tcPr>
          <w:p w:rsidR="00EC40B2" w:rsidRPr="00D2309F" w:rsidRDefault="00EC40B2" w:rsidP="00ED5CD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Клопотання</w:t>
            </w:r>
            <w:proofErr w:type="spellEnd"/>
            <w:r>
              <w:rPr>
                <w:lang w:val="ru-RU"/>
              </w:rPr>
              <w:t xml:space="preserve"> про </w:t>
            </w:r>
            <w:proofErr w:type="spellStart"/>
            <w:r>
              <w:rPr>
                <w:lang w:val="ru-RU"/>
              </w:rPr>
              <w:t>визнання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>
              <w:rPr>
                <w:lang w:val="ru-RU"/>
              </w:rPr>
              <w:t xml:space="preserve"> до </w:t>
            </w:r>
            <w:proofErr w:type="spellStart"/>
            <w:r>
              <w:rPr>
                <w:lang w:val="ru-RU"/>
              </w:rPr>
              <w:t>виконання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ішення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іноземного</w:t>
            </w:r>
            <w:proofErr w:type="spellEnd"/>
            <w:r>
              <w:rPr>
                <w:lang w:val="ru-RU"/>
              </w:rPr>
              <w:t xml:space="preserve"> суду, </w:t>
            </w:r>
            <w:proofErr w:type="spellStart"/>
            <w:r>
              <w:rPr>
                <w:lang w:val="ru-RU"/>
              </w:rPr>
              <w:t>що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підлягає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примусовому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виконанню</w:t>
            </w:r>
            <w:proofErr w:type="spellEnd"/>
            <w:r>
              <w:rPr>
                <w:lang w:val="ru-RU"/>
              </w:rPr>
              <w:t xml:space="preserve">/ </w:t>
            </w:r>
            <w:proofErr w:type="spellStart"/>
            <w:r>
              <w:rPr>
                <w:lang w:val="ru-RU"/>
              </w:rPr>
              <w:t>що</w:t>
            </w:r>
            <w:proofErr w:type="spellEnd"/>
            <w:r>
              <w:rPr>
                <w:lang w:val="ru-RU"/>
              </w:rPr>
              <w:t xml:space="preserve"> не </w:t>
            </w:r>
            <w:proofErr w:type="spellStart"/>
            <w:r>
              <w:rPr>
                <w:lang w:val="ru-RU"/>
              </w:rPr>
              <w:t>підлягає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примусовому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виконанню</w:t>
            </w:r>
            <w:proofErr w:type="spellEnd"/>
          </w:p>
        </w:tc>
        <w:tc>
          <w:tcPr>
            <w:tcW w:w="1701" w:type="dxa"/>
            <w:vAlign w:val="center"/>
          </w:tcPr>
          <w:p w:rsidR="00EC40B2" w:rsidRDefault="00EC40B2" w:rsidP="003176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EC40B2" w:rsidRDefault="00EC40B2" w:rsidP="00F34B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27" w:type="dxa"/>
            <w:vAlign w:val="center"/>
          </w:tcPr>
          <w:p w:rsidR="00EC40B2" w:rsidRDefault="00EC40B2" w:rsidP="00EC40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0%</w:t>
            </w:r>
          </w:p>
        </w:tc>
      </w:tr>
      <w:tr w:rsidR="00EC40B2" w:rsidRPr="00D2309F" w:rsidTr="00ED206A">
        <w:tc>
          <w:tcPr>
            <w:tcW w:w="4644" w:type="dxa"/>
            <w:shd w:val="clear" w:color="auto" w:fill="auto"/>
          </w:tcPr>
          <w:p w:rsidR="00EC40B2" w:rsidRPr="00D2309F" w:rsidRDefault="00EC40B2" w:rsidP="00ED5CDA">
            <w:pPr>
              <w:rPr>
                <w:lang w:val="ru-RU" w:eastAsia="ru-RU"/>
              </w:rPr>
            </w:pPr>
            <w:proofErr w:type="spellStart"/>
            <w:r w:rsidRPr="00D2309F">
              <w:rPr>
                <w:lang w:val="ru-RU"/>
              </w:rPr>
              <w:t>Доручення</w:t>
            </w:r>
            <w:proofErr w:type="spellEnd"/>
            <w:r w:rsidRPr="00D2309F">
              <w:rPr>
                <w:lang w:val="ru-RU"/>
              </w:rPr>
              <w:t xml:space="preserve"> </w:t>
            </w:r>
            <w:proofErr w:type="spellStart"/>
            <w:r w:rsidRPr="00D2309F">
              <w:rPr>
                <w:lang w:val="ru-RU"/>
              </w:rPr>
              <w:t>судів</w:t>
            </w:r>
            <w:proofErr w:type="spellEnd"/>
            <w:r w:rsidRPr="00D2309F">
              <w:rPr>
                <w:lang w:val="ru-RU"/>
              </w:rPr>
              <w:t xml:space="preserve"> </w:t>
            </w:r>
            <w:proofErr w:type="spellStart"/>
            <w:r w:rsidRPr="00D2309F">
              <w:rPr>
                <w:lang w:val="ru-RU"/>
              </w:rPr>
              <w:t>України</w:t>
            </w:r>
            <w:proofErr w:type="spellEnd"/>
            <w:r w:rsidRPr="00D2309F">
              <w:rPr>
                <w:lang w:val="ru-RU"/>
              </w:rPr>
              <w:t xml:space="preserve"> / </w:t>
            </w:r>
            <w:proofErr w:type="spellStart"/>
            <w:r w:rsidRPr="00D2309F">
              <w:rPr>
                <w:lang w:val="ru-RU"/>
              </w:rPr>
              <w:t>іноземних</w:t>
            </w:r>
            <w:proofErr w:type="spellEnd"/>
            <w:r w:rsidRPr="00D2309F">
              <w:rPr>
                <w:lang w:val="ru-RU"/>
              </w:rPr>
              <w:t xml:space="preserve"> </w:t>
            </w:r>
            <w:proofErr w:type="spellStart"/>
            <w:r w:rsidRPr="00D2309F">
              <w:rPr>
                <w:lang w:val="ru-RU"/>
              </w:rPr>
              <w:t>суді</w:t>
            </w:r>
            <w:proofErr w:type="gramStart"/>
            <w:r w:rsidRPr="00D2309F">
              <w:rPr>
                <w:lang w:val="ru-RU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EC40B2" w:rsidRDefault="00EC40B2" w:rsidP="003176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9" w:type="dxa"/>
            <w:vAlign w:val="center"/>
          </w:tcPr>
          <w:p w:rsidR="00EC40B2" w:rsidRDefault="00EC40B2" w:rsidP="00F34B7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7" w:type="dxa"/>
            <w:vAlign w:val="center"/>
          </w:tcPr>
          <w:p w:rsidR="00EC40B2" w:rsidRDefault="00EC40B2" w:rsidP="00EC40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- 25%</w:t>
            </w:r>
          </w:p>
        </w:tc>
      </w:tr>
    </w:tbl>
    <w:p w:rsidR="004C135C" w:rsidRDefault="004C135C" w:rsidP="009C21EE">
      <w:pPr>
        <w:pStyle w:val="1"/>
      </w:pPr>
    </w:p>
    <w:p w:rsidR="00F46311" w:rsidRDefault="00F46311" w:rsidP="00F46311">
      <w:pPr>
        <w:rPr>
          <w:lang w:val="uk-UA"/>
        </w:rPr>
      </w:pPr>
    </w:p>
    <w:p w:rsidR="009C21EE" w:rsidRDefault="00A15B70" w:rsidP="009C21EE">
      <w:pPr>
        <w:pStyle w:val="1"/>
      </w:pPr>
      <w:r>
        <w:lastRenderedPageBreak/>
        <w:t xml:space="preserve"> </w:t>
      </w:r>
      <w:r w:rsidR="009C21EE" w:rsidRPr="00F46311">
        <w:t>Цивільні та адміністративні справи</w:t>
      </w:r>
    </w:p>
    <w:p w:rsidR="00C0714D" w:rsidRPr="00633D4E" w:rsidRDefault="00C0714D" w:rsidP="00C0714D">
      <w:pPr>
        <w:ind w:firstLine="720"/>
        <w:jc w:val="both"/>
        <w:rPr>
          <w:lang w:val="uk-UA"/>
        </w:rPr>
      </w:pPr>
      <w:r>
        <w:rPr>
          <w:lang w:val="uk-UA"/>
        </w:rPr>
        <w:t>За  2025</w:t>
      </w:r>
      <w:r w:rsidRPr="00633D4E">
        <w:rPr>
          <w:lang w:val="uk-UA"/>
        </w:rPr>
        <w:t xml:space="preserve"> рік  в провадженні суду перебувало / з урахуванням </w:t>
      </w:r>
      <w:r w:rsidRPr="00F46311">
        <w:rPr>
          <w:lang w:val="uk-UA"/>
        </w:rPr>
        <w:t xml:space="preserve">залишку – 407/ -  </w:t>
      </w:r>
      <w:r w:rsidRPr="00F46311">
        <w:rPr>
          <w:b/>
          <w:lang w:val="uk-UA"/>
        </w:rPr>
        <w:t>3032</w:t>
      </w:r>
      <w:r w:rsidRPr="00F46311">
        <w:rPr>
          <w:lang w:val="uk-UA"/>
        </w:rPr>
        <w:t xml:space="preserve"> </w:t>
      </w:r>
      <w:r w:rsidRPr="00F46311">
        <w:rPr>
          <w:i/>
          <w:lang w:val="uk-UA"/>
        </w:rPr>
        <w:t>цивільних справ</w:t>
      </w:r>
      <w:r w:rsidRPr="00F46311">
        <w:rPr>
          <w:lang w:val="uk-UA"/>
        </w:rPr>
        <w:t xml:space="preserve">, а за звітній період 2024 року - / з урахуванням залишку – 323/ -  </w:t>
      </w:r>
      <w:r w:rsidR="002F07E4" w:rsidRPr="00F46311">
        <w:rPr>
          <w:lang w:val="uk-UA"/>
        </w:rPr>
        <w:t>2223</w:t>
      </w:r>
      <w:r w:rsidRPr="00F46311">
        <w:rPr>
          <w:b/>
          <w:lang w:val="uk-UA"/>
        </w:rPr>
        <w:t>;</w:t>
      </w:r>
      <w:r w:rsidRPr="00633D4E">
        <w:rPr>
          <w:lang w:val="uk-UA"/>
        </w:rPr>
        <w:t xml:space="preserve"> </w:t>
      </w:r>
    </w:p>
    <w:p w:rsidR="00C0714D" w:rsidRPr="00633D4E" w:rsidRDefault="00C0714D" w:rsidP="00C0714D">
      <w:pPr>
        <w:ind w:firstLine="720"/>
        <w:jc w:val="both"/>
        <w:rPr>
          <w:b/>
          <w:lang w:val="uk-UA"/>
        </w:rPr>
      </w:pPr>
      <w:r w:rsidRPr="00633D4E">
        <w:rPr>
          <w:i/>
          <w:lang w:val="uk-UA"/>
        </w:rPr>
        <w:t>справ окремого провадження</w:t>
      </w:r>
      <w:r w:rsidRPr="00633D4E">
        <w:rPr>
          <w:lang w:val="uk-UA"/>
        </w:rPr>
        <w:t xml:space="preserve"> /з урахуванням залишку – </w:t>
      </w:r>
      <w:r w:rsidR="004F6B94">
        <w:rPr>
          <w:lang w:val="uk-UA"/>
        </w:rPr>
        <w:t>46</w:t>
      </w:r>
      <w:r w:rsidRPr="00633D4E">
        <w:rPr>
          <w:lang w:val="uk-UA"/>
        </w:rPr>
        <w:t>/ за 20</w:t>
      </w:r>
      <w:r>
        <w:rPr>
          <w:lang w:val="uk-UA"/>
        </w:rPr>
        <w:t>2</w:t>
      </w:r>
      <w:r w:rsidR="004F6B94">
        <w:rPr>
          <w:lang w:val="uk-UA"/>
        </w:rPr>
        <w:t>5</w:t>
      </w:r>
      <w:r w:rsidRPr="00633D4E">
        <w:rPr>
          <w:lang w:val="uk-UA"/>
        </w:rPr>
        <w:t xml:space="preserve"> рік </w:t>
      </w:r>
      <w:r w:rsidR="004F6B94" w:rsidRPr="004F6B94">
        <w:rPr>
          <w:b/>
          <w:lang w:val="uk-UA"/>
        </w:rPr>
        <w:t>204</w:t>
      </w:r>
      <w:r>
        <w:rPr>
          <w:lang w:val="uk-UA"/>
        </w:rPr>
        <w:t xml:space="preserve"> справ</w:t>
      </w:r>
      <w:r w:rsidR="004F6B94">
        <w:rPr>
          <w:lang w:val="uk-UA"/>
        </w:rPr>
        <w:t>и,  за 2024</w:t>
      </w:r>
      <w:r w:rsidRPr="00633D4E">
        <w:rPr>
          <w:lang w:val="uk-UA"/>
        </w:rPr>
        <w:t xml:space="preserve"> рік /з урахуванням залишку – </w:t>
      </w:r>
      <w:r w:rsidR="004F6B94">
        <w:rPr>
          <w:lang w:val="uk-UA"/>
        </w:rPr>
        <w:t>28</w:t>
      </w:r>
      <w:r>
        <w:rPr>
          <w:lang w:val="uk-UA"/>
        </w:rPr>
        <w:t>/</w:t>
      </w:r>
      <w:r w:rsidRPr="00633D4E">
        <w:rPr>
          <w:lang w:val="uk-UA"/>
        </w:rPr>
        <w:t xml:space="preserve"> - </w:t>
      </w:r>
      <w:r>
        <w:rPr>
          <w:lang w:val="uk-UA"/>
        </w:rPr>
        <w:t>1</w:t>
      </w:r>
      <w:r w:rsidR="004F6B94">
        <w:rPr>
          <w:lang w:val="uk-UA"/>
        </w:rPr>
        <w:t>67</w:t>
      </w:r>
      <w:r w:rsidRPr="00633D4E">
        <w:rPr>
          <w:lang w:val="uk-UA"/>
        </w:rPr>
        <w:t xml:space="preserve"> справ; </w:t>
      </w:r>
    </w:p>
    <w:p w:rsidR="00C0714D" w:rsidRPr="00633D4E" w:rsidRDefault="00C0714D" w:rsidP="00C0714D">
      <w:pPr>
        <w:ind w:firstLine="720"/>
        <w:jc w:val="both"/>
        <w:rPr>
          <w:lang w:val="uk-UA"/>
        </w:rPr>
      </w:pPr>
      <w:r w:rsidRPr="00633D4E">
        <w:rPr>
          <w:i/>
          <w:lang w:val="uk-UA"/>
        </w:rPr>
        <w:t>справ наказного провадження</w:t>
      </w:r>
      <w:r w:rsidRPr="00633D4E">
        <w:rPr>
          <w:lang w:val="uk-UA"/>
        </w:rPr>
        <w:t xml:space="preserve"> – у 20</w:t>
      </w:r>
      <w:r>
        <w:rPr>
          <w:lang w:val="uk-UA"/>
        </w:rPr>
        <w:t>2</w:t>
      </w:r>
      <w:r w:rsidR="004F6B94">
        <w:rPr>
          <w:lang w:val="uk-UA"/>
        </w:rPr>
        <w:t>5</w:t>
      </w:r>
      <w:r w:rsidRPr="00633D4E">
        <w:rPr>
          <w:lang w:val="uk-UA"/>
        </w:rPr>
        <w:t xml:space="preserve"> році – </w:t>
      </w:r>
      <w:r w:rsidR="004F6B94">
        <w:rPr>
          <w:b/>
          <w:lang w:val="uk-UA"/>
        </w:rPr>
        <w:t>1624</w:t>
      </w:r>
      <w:r w:rsidRPr="00633D4E">
        <w:rPr>
          <w:lang w:val="uk-UA"/>
        </w:rPr>
        <w:t xml:space="preserve"> / з урахуванням залишку -</w:t>
      </w:r>
      <w:r w:rsidR="004F6B94">
        <w:rPr>
          <w:lang w:val="uk-UA"/>
        </w:rPr>
        <w:t xml:space="preserve"> 64</w:t>
      </w:r>
      <w:r w:rsidRPr="00633D4E">
        <w:rPr>
          <w:lang w:val="uk-UA"/>
        </w:rPr>
        <w:t>/, у 20</w:t>
      </w:r>
      <w:r>
        <w:rPr>
          <w:lang w:val="uk-UA"/>
        </w:rPr>
        <w:t>23</w:t>
      </w:r>
      <w:r w:rsidRPr="00633D4E">
        <w:rPr>
          <w:lang w:val="uk-UA"/>
        </w:rPr>
        <w:t xml:space="preserve"> році – </w:t>
      </w:r>
      <w:r w:rsidR="004F6B94">
        <w:rPr>
          <w:lang w:val="uk-UA"/>
        </w:rPr>
        <w:t>4697</w:t>
      </w:r>
      <w:r w:rsidRPr="00633D4E">
        <w:rPr>
          <w:lang w:val="uk-UA"/>
        </w:rPr>
        <w:t xml:space="preserve"> / з урахуванням залишку - </w:t>
      </w:r>
      <w:r>
        <w:rPr>
          <w:lang w:val="uk-UA"/>
        </w:rPr>
        <w:t>1</w:t>
      </w:r>
      <w:r w:rsidRPr="00633D4E">
        <w:rPr>
          <w:lang w:val="uk-UA"/>
        </w:rPr>
        <w:t>/.</w:t>
      </w:r>
    </w:p>
    <w:p w:rsidR="00C0714D" w:rsidRDefault="00C0714D" w:rsidP="00C0714D">
      <w:pPr>
        <w:ind w:firstLine="720"/>
        <w:jc w:val="both"/>
        <w:rPr>
          <w:lang w:val="uk-UA"/>
        </w:rPr>
      </w:pPr>
    </w:p>
    <w:p w:rsidR="002F07E4" w:rsidRDefault="00C0714D" w:rsidP="00C0714D">
      <w:pPr>
        <w:ind w:firstLine="720"/>
        <w:jc w:val="both"/>
        <w:rPr>
          <w:lang w:val="uk-UA"/>
        </w:rPr>
      </w:pPr>
      <w:r w:rsidRPr="00633D4E">
        <w:rPr>
          <w:lang w:val="uk-UA"/>
        </w:rPr>
        <w:t>Таким чином, загальне надходження цивільних справ у 20</w:t>
      </w:r>
      <w:r>
        <w:rPr>
          <w:lang w:val="uk-UA"/>
        </w:rPr>
        <w:t>2</w:t>
      </w:r>
      <w:r w:rsidR="004F6B94">
        <w:rPr>
          <w:lang w:val="uk-UA"/>
        </w:rPr>
        <w:t>5</w:t>
      </w:r>
      <w:r w:rsidRPr="00633D4E">
        <w:rPr>
          <w:lang w:val="uk-UA"/>
        </w:rPr>
        <w:t xml:space="preserve"> році, з урахуванням залишку становить </w:t>
      </w:r>
      <w:r w:rsidR="004F6B94">
        <w:rPr>
          <w:b/>
          <w:lang w:val="uk-UA"/>
        </w:rPr>
        <w:t>4860</w:t>
      </w:r>
      <w:r w:rsidRPr="00633D4E">
        <w:rPr>
          <w:lang w:val="uk-UA"/>
        </w:rPr>
        <w:t xml:space="preserve">, що на </w:t>
      </w:r>
      <w:r w:rsidR="00F46311">
        <w:rPr>
          <w:lang w:val="uk-UA"/>
        </w:rPr>
        <w:t>31,4</w:t>
      </w:r>
      <w:r>
        <w:rPr>
          <w:lang w:val="uk-UA"/>
        </w:rPr>
        <w:t xml:space="preserve">  %</w:t>
      </w:r>
      <w:r w:rsidRPr="00633D4E">
        <w:rPr>
          <w:lang w:val="uk-UA"/>
        </w:rPr>
        <w:t xml:space="preserve"> </w:t>
      </w:r>
      <w:r w:rsidR="004F6B94">
        <w:rPr>
          <w:lang w:val="uk-UA"/>
        </w:rPr>
        <w:t>менше</w:t>
      </w:r>
      <w:r>
        <w:rPr>
          <w:lang w:val="uk-UA"/>
        </w:rPr>
        <w:t>,</w:t>
      </w:r>
      <w:r w:rsidRPr="00633D4E">
        <w:rPr>
          <w:lang w:val="uk-UA"/>
        </w:rPr>
        <w:t xml:space="preserve"> ніж у 20</w:t>
      </w:r>
      <w:r>
        <w:rPr>
          <w:lang w:val="uk-UA"/>
        </w:rPr>
        <w:t>2</w:t>
      </w:r>
      <w:r w:rsidR="004F6B94">
        <w:rPr>
          <w:lang w:val="uk-UA"/>
        </w:rPr>
        <w:t>4</w:t>
      </w:r>
      <w:r w:rsidRPr="00633D4E">
        <w:rPr>
          <w:lang w:val="uk-UA"/>
        </w:rPr>
        <w:t xml:space="preserve"> році</w:t>
      </w:r>
      <w:r>
        <w:rPr>
          <w:lang w:val="uk-UA"/>
        </w:rPr>
        <w:t xml:space="preserve"> (</w:t>
      </w:r>
      <w:r w:rsidR="00F46311">
        <w:rPr>
          <w:lang w:val="uk-UA"/>
        </w:rPr>
        <w:t>7087</w:t>
      </w:r>
      <w:r>
        <w:rPr>
          <w:lang w:val="uk-UA"/>
        </w:rPr>
        <w:t xml:space="preserve"> справ), а саме: на  </w:t>
      </w:r>
      <w:r w:rsidR="00F46311">
        <w:rPr>
          <w:lang w:val="uk-UA"/>
        </w:rPr>
        <w:t xml:space="preserve">2227 </w:t>
      </w:r>
      <w:r>
        <w:rPr>
          <w:lang w:val="uk-UA"/>
        </w:rPr>
        <w:t>справ.</w:t>
      </w:r>
      <w:r w:rsidR="004F6B94">
        <w:rPr>
          <w:lang w:val="uk-UA"/>
        </w:rPr>
        <w:t xml:space="preserve"> </w:t>
      </w:r>
    </w:p>
    <w:p w:rsidR="00C0714D" w:rsidRDefault="00C0714D" w:rsidP="00C0714D">
      <w:pPr>
        <w:ind w:firstLine="720"/>
        <w:jc w:val="both"/>
        <w:rPr>
          <w:lang w:val="uk-UA"/>
        </w:rPr>
      </w:pPr>
    </w:p>
    <w:p w:rsidR="00C0714D" w:rsidRDefault="00C0714D" w:rsidP="00C0714D">
      <w:pPr>
        <w:ind w:firstLine="720"/>
        <w:jc w:val="both"/>
        <w:rPr>
          <w:lang w:val="uk-UA"/>
        </w:rPr>
      </w:pPr>
    </w:p>
    <w:p w:rsidR="00C0714D" w:rsidRDefault="002F07E4" w:rsidP="00C0714D">
      <w:pPr>
        <w:ind w:firstLine="720"/>
        <w:jc w:val="both"/>
        <w:rPr>
          <w:lang w:val="uk-UA"/>
        </w:rPr>
      </w:pPr>
      <w:r>
        <w:rPr>
          <w:lang w:val="uk-UA"/>
        </w:rPr>
        <w:t>За  2025</w:t>
      </w:r>
      <w:r w:rsidRPr="00633D4E">
        <w:rPr>
          <w:lang w:val="uk-UA"/>
        </w:rPr>
        <w:t xml:space="preserve"> рік  в провадженні суду</w:t>
      </w:r>
      <w:r>
        <w:rPr>
          <w:lang w:val="uk-UA"/>
        </w:rPr>
        <w:t xml:space="preserve"> перебувало</w:t>
      </w:r>
      <w:r w:rsidR="00C0714D">
        <w:rPr>
          <w:lang w:val="uk-UA"/>
        </w:rPr>
        <w:t xml:space="preserve">  </w:t>
      </w:r>
      <w:r w:rsidR="00C0714D" w:rsidRPr="00BB5598">
        <w:rPr>
          <w:i/>
          <w:lang w:val="uk-UA"/>
        </w:rPr>
        <w:t>адміністративних справ</w:t>
      </w:r>
      <w:r w:rsidR="00C0714D">
        <w:rPr>
          <w:lang w:val="uk-UA"/>
        </w:rPr>
        <w:t xml:space="preserve"> у 202</w:t>
      </w:r>
      <w:r>
        <w:rPr>
          <w:lang w:val="uk-UA"/>
        </w:rPr>
        <w:t>5</w:t>
      </w:r>
      <w:r w:rsidR="00C0714D">
        <w:rPr>
          <w:lang w:val="uk-UA"/>
        </w:rPr>
        <w:t xml:space="preserve"> </w:t>
      </w:r>
      <w:r w:rsidR="00C0714D" w:rsidRPr="00EB12FE">
        <w:rPr>
          <w:lang w:val="uk-UA"/>
        </w:rPr>
        <w:t>році з</w:t>
      </w:r>
      <w:r w:rsidR="00C0714D">
        <w:rPr>
          <w:lang w:val="uk-UA"/>
        </w:rPr>
        <w:t>більшил</w:t>
      </w:r>
      <w:r w:rsidR="00C0714D" w:rsidRPr="00EB12FE">
        <w:rPr>
          <w:lang w:val="uk-UA"/>
        </w:rPr>
        <w:t xml:space="preserve">ося на </w:t>
      </w:r>
      <w:r w:rsidR="00C0714D" w:rsidRPr="00F66636">
        <w:rPr>
          <w:b/>
          <w:lang w:val="uk-UA"/>
        </w:rPr>
        <w:t>1</w:t>
      </w:r>
      <w:r>
        <w:rPr>
          <w:b/>
          <w:lang w:val="uk-UA"/>
        </w:rPr>
        <w:t>14</w:t>
      </w:r>
      <w:r w:rsidR="00C0714D" w:rsidRPr="00F66636">
        <w:rPr>
          <w:b/>
          <w:lang w:val="uk-UA"/>
        </w:rPr>
        <w:t xml:space="preserve"> </w:t>
      </w:r>
      <w:r w:rsidR="00C0714D" w:rsidRPr="00EB12FE">
        <w:rPr>
          <w:b/>
          <w:lang w:val="uk-UA"/>
        </w:rPr>
        <w:t>%,</w:t>
      </w:r>
      <w:r w:rsidR="00C0714D" w:rsidRPr="00EB12FE">
        <w:rPr>
          <w:lang w:val="uk-UA"/>
        </w:rPr>
        <w:t xml:space="preserve"> і склало</w:t>
      </w:r>
      <w:r w:rsidR="00C0714D">
        <w:rPr>
          <w:lang w:val="uk-UA"/>
        </w:rPr>
        <w:t xml:space="preserve"> </w:t>
      </w:r>
      <w:r>
        <w:rPr>
          <w:lang w:val="uk-UA"/>
        </w:rPr>
        <w:t>88</w:t>
      </w:r>
      <w:r w:rsidR="00C0714D">
        <w:rPr>
          <w:lang w:val="uk-UA"/>
        </w:rPr>
        <w:t xml:space="preserve"> адміністративн</w:t>
      </w:r>
      <w:r>
        <w:rPr>
          <w:lang w:val="uk-UA"/>
        </w:rPr>
        <w:t>их</w:t>
      </w:r>
      <w:r w:rsidR="00C0714D">
        <w:rPr>
          <w:lang w:val="uk-UA"/>
        </w:rPr>
        <w:t xml:space="preserve"> справ</w:t>
      </w:r>
      <w:r>
        <w:rPr>
          <w:lang w:val="uk-UA"/>
        </w:rPr>
        <w:t>и</w:t>
      </w:r>
      <w:r w:rsidR="00C0714D">
        <w:rPr>
          <w:lang w:val="uk-UA"/>
        </w:rPr>
        <w:t xml:space="preserve"> / з урахуванням залишку 3/,  у 202</w:t>
      </w:r>
      <w:r>
        <w:rPr>
          <w:lang w:val="uk-UA"/>
        </w:rPr>
        <w:t>4 році /з урахуванням залишку – 3/ - 41</w:t>
      </w:r>
      <w:r w:rsidR="00C0714D">
        <w:rPr>
          <w:lang w:val="uk-UA"/>
        </w:rPr>
        <w:t>.</w:t>
      </w:r>
    </w:p>
    <w:p w:rsidR="000E5300" w:rsidRDefault="000E5300" w:rsidP="00DD3272">
      <w:pPr>
        <w:ind w:firstLine="720"/>
        <w:jc w:val="both"/>
        <w:rPr>
          <w:lang w:val="uk-UA"/>
        </w:rPr>
      </w:pPr>
    </w:p>
    <w:p w:rsidR="00913D7D" w:rsidRDefault="00913D7D" w:rsidP="00913D7D">
      <w:pPr>
        <w:ind w:firstLine="720"/>
        <w:jc w:val="both"/>
        <w:rPr>
          <w:b/>
          <w:lang w:val="uk-UA"/>
        </w:rPr>
      </w:pPr>
    </w:p>
    <w:p w:rsidR="00913D7D" w:rsidRPr="00343738" w:rsidRDefault="00913D7D" w:rsidP="00913D7D">
      <w:pPr>
        <w:ind w:left="2160" w:firstLine="720"/>
        <w:jc w:val="both"/>
        <w:rPr>
          <w:b/>
          <w:i/>
          <w:lang w:val="uk-UA"/>
        </w:rPr>
      </w:pPr>
      <w:proofErr w:type="spellStart"/>
      <w:r w:rsidRPr="009C21EE">
        <w:rPr>
          <w:b/>
          <w:i/>
          <w:lang w:val="ru-RU"/>
        </w:rPr>
        <w:t>Динаміка</w:t>
      </w:r>
      <w:proofErr w:type="spellEnd"/>
      <w:r w:rsidRPr="009C21EE">
        <w:rPr>
          <w:b/>
          <w:i/>
          <w:lang w:val="ru-RU"/>
        </w:rPr>
        <w:t xml:space="preserve"> </w:t>
      </w:r>
      <w:proofErr w:type="spellStart"/>
      <w:r w:rsidRPr="009C21EE">
        <w:rPr>
          <w:b/>
          <w:i/>
          <w:lang w:val="ru-RU"/>
        </w:rPr>
        <w:t>надходження</w:t>
      </w:r>
      <w:proofErr w:type="spellEnd"/>
      <w:r w:rsidRPr="009C21EE">
        <w:rPr>
          <w:b/>
          <w:i/>
          <w:lang w:val="ru-RU"/>
        </w:rPr>
        <w:t xml:space="preserve"> </w:t>
      </w:r>
      <w:r w:rsidRPr="00343738">
        <w:rPr>
          <w:b/>
          <w:i/>
          <w:lang w:val="uk-UA"/>
        </w:rPr>
        <w:t>цивільни</w:t>
      </w:r>
      <w:r>
        <w:rPr>
          <w:b/>
          <w:i/>
          <w:lang w:val="uk-UA"/>
        </w:rPr>
        <w:t>х</w:t>
      </w:r>
      <w:r w:rsidRPr="00343738">
        <w:rPr>
          <w:b/>
          <w:i/>
          <w:lang w:val="uk-UA"/>
        </w:rPr>
        <w:t xml:space="preserve"> та адміністративни</w:t>
      </w:r>
      <w:r>
        <w:rPr>
          <w:b/>
          <w:i/>
          <w:lang w:val="uk-UA"/>
        </w:rPr>
        <w:t>х</w:t>
      </w:r>
      <w:r w:rsidRPr="00343738">
        <w:rPr>
          <w:b/>
          <w:i/>
          <w:lang w:val="uk-UA"/>
        </w:rPr>
        <w:t xml:space="preserve"> справ</w:t>
      </w:r>
    </w:p>
    <w:p w:rsidR="00913D7D" w:rsidRPr="00343738" w:rsidRDefault="00913D7D" w:rsidP="00913D7D">
      <w:pPr>
        <w:ind w:firstLine="720"/>
        <w:jc w:val="center"/>
        <w:rPr>
          <w:b/>
          <w:i/>
          <w:lang w:val="uk-UA"/>
        </w:rPr>
      </w:pPr>
      <w:r w:rsidRPr="00343738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в порівнянні 202</w:t>
      </w:r>
      <w:r w:rsidR="002F07E4">
        <w:rPr>
          <w:b/>
          <w:i/>
          <w:lang w:val="uk-UA"/>
        </w:rPr>
        <w:t>4</w:t>
      </w:r>
      <w:r w:rsidRPr="00343738">
        <w:rPr>
          <w:b/>
          <w:i/>
          <w:lang w:val="uk-UA"/>
        </w:rPr>
        <w:t>-20</w:t>
      </w:r>
      <w:r>
        <w:rPr>
          <w:b/>
          <w:i/>
          <w:lang w:val="uk-UA"/>
        </w:rPr>
        <w:t>2</w:t>
      </w:r>
      <w:r w:rsidR="002F07E4">
        <w:rPr>
          <w:b/>
          <w:i/>
          <w:lang w:val="uk-UA"/>
        </w:rPr>
        <w:t>5</w:t>
      </w:r>
      <w:r w:rsidRPr="00343738">
        <w:rPr>
          <w:b/>
          <w:i/>
          <w:lang w:val="uk-UA"/>
        </w:rPr>
        <w:t xml:space="preserve"> років.</w:t>
      </w:r>
    </w:p>
    <w:p w:rsidR="00913D7D" w:rsidRDefault="00913D7D" w:rsidP="00913D7D">
      <w:pPr>
        <w:ind w:firstLine="720"/>
        <w:jc w:val="both"/>
        <w:rPr>
          <w:b/>
          <w:lang w:val="uk-UA"/>
        </w:rPr>
      </w:pPr>
    </w:p>
    <w:p w:rsidR="00913D7D" w:rsidRDefault="00913D7D" w:rsidP="00913D7D">
      <w:pPr>
        <w:ind w:firstLine="720"/>
        <w:jc w:val="both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5615796" cy="1682151"/>
            <wp:effectExtent l="0" t="0" r="3954" b="0"/>
            <wp:docPr id="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13D7D" w:rsidRDefault="00913D7D" w:rsidP="00913D7D">
      <w:pPr>
        <w:ind w:firstLine="720"/>
        <w:jc w:val="both"/>
        <w:rPr>
          <w:lang w:val="uk-UA"/>
        </w:rPr>
      </w:pPr>
    </w:p>
    <w:p w:rsidR="00B00227" w:rsidRDefault="00B00227" w:rsidP="00B00227">
      <w:pPr>
        <w:ind w:firstLine="720"/>
        <w:jc w:val="both"/>
        <w:rPr>
          <w:lang w:val="uk-UA"/>
        </w:rPr>
      </w:pPr>
      <w:r>
        <w:rPr>
          <w:lang w:val="uk-UA"/>
        </w:rPr>
        <w:t xml:space="preserve">Загальна кількість позовних заяв, скарг, заяв, подань, клопотань цивільного та </w:t>
      </w:r>
      <w:r w:rsidRPr="007270E4">
        <w:rPr>
          <w:lang w:val="uk-UA"/>
        </w:rPr>
        <w:t>адміністративного судочинства, що перебували в провадженні суду у 202</w:t>
      </w:r>
      <w:r w:rsidR="00DA48FF">
        <w:rPr>
          <w:lang w:val="uk-UA"/>
        </w:rPr>
        <w:t>5</w:t>
      </w:r>
      <w:r w:rsidRPr="007270E4">
        <w:rPr>
          <w:lang w:val="uk-UA"/>
        </w:rPr>
        <w:t xml:space="preserve"> році, </w:t>
      </w:r>
      <w:r w:rsidR="00DA48FF">
        <w:rPr>
          <w:lang w:val="uk-UA"/>
        </w:rPr>
        <w:t>зменшилась</w:t>
      </w:r>
      <w:r w:rsidRPr="007270E4">
        <w:rPr>
          <w:lang w:val="uk-UA"/>
        </w:rPr>
        <w:t xml:space="preserve"> </w:t>
      </w:r>
      <w:r w:rsidR="00BA4C5B">
        <w:rPr>
          <w:b/>
          <w:lang w:val="uk-UA"/>
        </w:rPr>
        <w:t xml:space="preserve">на </w:t>
      </w:r>
      <w:r w:rsidR="00DA48FF">
        <w:rPr>
          <w:b/>
          <w:lang w:val="uk-UA"/>
        </w:rPr>
        <w:t>29,6</w:t>
      </w:r>
      <w:r w:rsidRPr="007270E4">
        <w:rPr>
          <w:b/>
          <w:lang w:val="uk-UA"/>
        </w:rPr>
        <w:t xml:space="preserve"> %</w:t>
      </w:r>
      <w:r w:rsidRPr="007270E4">
        <w:rPr>
          <w:lang w:val="uk-UA"/>
        </w:rPr>
        <w:t xml:space="preserve">  і становить </w:t>
      </w:r>
      <w:r w:rsidR="00DA48FF">
        <w:rPr>
          <w:b/>
          <w:lang w:val="uk-UA"/>
        </w:rPr>
        <w:t>5 513</w:t>
      </w:r>
      <w:r w:rsidRPr="007270E4">
        <w:rPr>
          <w:b/>
          <w:lang w:val="uk-UA"/>
        </w:rPr>
        <w:t xml:space="preserve"> </w:t>
      </w:r>
      <w:r w:rsidRPr="007270E4">
        <w:rPr>
          <w:lang w:val="uk-UA"/>
        </w:rPr>
        <w:t>справ та матеріалів, а у 202</w:t>
      </w:r>
      <w:r w:rsidR="00BA4C5B">
        <w:rPr>
          <w:lang w:val="uk-UA"/>
        </w:rPr>
        <w:t>3</w:t>
      </w:r>
      <w:r w:rsidRPr="007270E4">
        <w:rPr>
          <w:lang w:val="uk-UA"/>
        </w:rPr>
        <w:t xml:space="preserve"> році -  </w:t>
      </w:r>
      <w:r w:rsidR="00DA48FF">
        <w:rPr>
          <w:lang w:val="uk-UA"/>
        </w:rPr>
        <w:t>7 828</w:t>
      </w:r>
      <w:r w:rsidRPr="007270E4">
        <w:rPr>
          <w:lang w:val="uk-UA"/>
        </w:rPr>
        <w:t>.</w:t>
      </w:r>
      <w:r>
        <w:rPr>
          <w:lang w:val="uk-UA"/>
        </w:rPr>
        <w:t xml:space="preserve"> </w:t>
      </w:r>
    </w:p>
    <w:p w:rsidR="00C354F9" w:rsidRDefault="00C354F9" w:rsidP="00C354F9">
      <w:pPr>
        <w:ind w:firstLine="720"/>
        <w:jc w:val="both"/>
        <w:rPr>
          <w:lang w:val="uk-UA"/>
        </w:rPr>
      </w:pPr>
      <w:r>
        <w:rPr>
          <w:lang w:val="uk-UA"/>
        </w:rPr>
        <w:t>Загальне зменшення показників відбулося за рахунок суттєвого зменшення надходження у 2025 році заяв про видачу судових наказів, а саме на 3136 заяв менше. Разом з тим</w:t>
      </w:r>
      <w:r w:rsidR="00820631">
        <w:rPr>
          <w:lang w:val="uk-UA"/>
        </w:rPr>
        <w:t>,</w:t>
      </w:r>
      <w:r>
        <w:rPr>
          <w:lang w:val="uk-UA"/>
        </w:rPr>
        <w:t xml:space="preserve"> надходження позовних заяв та заяв окремого провадження суттєво збільшилось, а саме на 790 заяв більше.</w:t>
      </w:r>
    </w:p>
    <w:p w:rsidR="00B00227" w:rsidRDefault="00B00227" w:rsidP="00B00227">
      <w:pPr>
        <w:jc w:val="both"/>
        <w:rPr>
          <w:lang w:val="uk-UA"/>
        </w:rPr>
      </w:pPr>
    </w:p>
    <w:p w:rsidR="00BA4C5B" w:rsidRDefault="00B00227" w:rsidP="00B00227">
      <w:pPr>
        <w:ind w:firstLine="720"/>
        <w:jc w:val="both"/>
        <w:rPr>
          <w:lang w:val="uk-UA"/>
        </w:rPr>
      </w:pPr>
      <w:r>
        <w:rPr>
          <w:lang w:val="uk-UA"/>
        </w:rPr>
        <w:t>Всього закінчено у 202</w:t>
      </w:r>
      <w:r w:rsidR="006059F3">
        <w:rPr>
          <w:lang w:val="uk-UA"/>
        </w:rPr>
        <w:t>5</w:t>
      </w:r>
      <w:r w:rsidRPr="00CD6892">
        <w:rPr>
          <w:lang w:val="uk-UA"/>
        </w:rPr>
        <w:t xml:space="preserve"> році </w:t>
      </w:r>
      <w:r w:rsidR="006059F3">
        <w:rPr>
          <w:lang w:val="uk-UA"/>
        </w:rPr>
        <w:t>2560</w:t>
      </w:r>
      <w:r w:rsidRPr="00CD6892">
        <w:rPr>
          <w:lang w:val="uk-UA"/>
        </w:rPr>
        <w:t xml:space="preserve"> цивільних справ,</w:t>
      </w:r>
      <w:r>
        <w:rPr>
          <w:lang w:val="uk-UA"/>
        </w:rPr>
        <w:t xml:space="preserve"> </w:t>
      </w:r>
      <w:r w:rsidR="006059F3">
        <w:rPr>
          <w:lang w:val="uk-UA"/>
        </w:rPr>
        <w:t>1615</w:t>
      </w:r>
      <w:r>
        <w:rPr>
          <w:lang w:val="uk-UA"/>
        </w:rPr>
        <w:t xml:space="preserve"> заяв про видачу/скасування судового наказу, </w:t>
      </w:r>
      <w:r w:rsidR="006059F3">
        <w:rPr>
          <w:lang w:val="uk-UA"/>
        </w:rPr>
        <w:t>160</w:t>
      </w:r>
      <w:r w:rsidRPr="00CD6892">
        <w:rPr>
          <w:lang w:val="uk-UA"/>
        </w:rPr>
        <w:t xml:space="preserve"> </w:t>
      </w:r>
      <w:r>
        <w:rPr>
          <w:lang w:val="uk-UA"/>
        </w:rPr>
        <w:t xml:space="preserve">справ окремого провадження,  а всього </w:t>
      </w:r>
      <w:r w:rsidR="006059F3">
        <w:rPr>
          <w:lang w:val="uk-UA"/>
        </w:rPr>
        <w:t>4335</w:t>
      </w:r>
      <w:r>
        <w:rPr>
          <w:lang w:val="uk-UA"/>
        </w:rPr>
        <w:t xml:space="preserve"> цивільних </w:t>
      </w:r>
      <w:r w:rsidRPr="00A5365F">
        <w:rPr>
          <w:lang w:val="uk-UA"/>
        </w:rPr>
        <w:t>справ</w:t>
      </w:r>
      <w:r>
        <w:rPr>
          <w:lang w:val="uk-UA"/>
        </w:rPr>
        <w:t>и</w:t>
      </w:r>
      <w:r w:rsidRPr="00C02969">
        <w:rPr>
          <w:lang w:val="uk-UA"/>
        </w:rPr>
        <w:t xml:space="preserve">, </w:t>
      </w:r>
      <w:r w:rsidRPr="006059F3">
        <w:rPr>
          <w:lang w:val="uk-UA"/>
        </w:rPr>
        <w:t xml:space="preserve">що на </w:t>
      </w:r>
      <w:r w:rsidR="006059F3" w:rsidRPr="006059F3">
        <w:rPr>
          <w:lang w:val="uk-UA"/>
        </w:rPr>
        <w:t xml:space="preserve">          34 </w:t>
      </w:r>
      <w:r w:rsidR="00EB3FFE" w:rsidRPr="006059F3">
        <w:rPr>
          <w:lang w:val="uk-UA"/>
        </w:rPr>
        <w:t>%</w:t>
      </w:r>
      <w:r w:rsidRPr="006059F3">
        <w:rPr>
          <w:lang w:val="uk-UA"/>
        </w:rPr>
        <w:t xml:space="preserve"> </w:t>
      </w:r>
      <w:r w:rsidR="006059F3" w:rsidRPr="006059F3">
        <w:rPr>
          <w:lang w:val="uk-UA"/>
        </w:rPr>
        <w:t>менше ( на 2236</w:t>
      </w:r>
      <w:r w:rsidRPr="006059F3">
        <w:rPr>
          <w:lang w:val="uk-UA"/>
        </w:rPr>
        <w:t xml:space="preserve"> справ), ніж у 202</w:t>
      </w:r>
      <w:r w:rsidR="006059F3" w:rsidRPr="006059F3">
        <w:rPr>
          <w:lang w:val="uk-UA"/>
        </w:rPr>
        <w:t>4</w:t>
      </w:r>
      <w:r w:rsidRPr="006059F3">
        <w:rPr>
          <w:lang w:val="uk-UA"/>
        </w:rPr>
        <w:t xml:space="preserve"> році: </w:t>
      </w:r>
      <w:r w:rsidR="006059F3" w:rsidRPr="006059F3">
        <w:rPr>
          <w:lang w:val="uk-UA"/>
        </w:rPr>
        <w:t>1816</w:t>
      </w:r>
      <w:r w:rsidR="00BA4C5B" w:rsidRPr="006059F3">
        <w:rPr>
          <w:lang w:val="uk-UA"/>
        </w:rPr>
        <w:t xml:space="preserve"> цивільних справи, </w:t>
      </w:r>
      <w:r w:rsidR="006059F3" w:rsidRPr="006059F3">
        <w:rPr>
          <w:lang w:val="uk-UA"/>
        </w:rPr>
        <w:t>4633</w:t>
      </w:r>
      <w:r w:rsidR="00BA4C5B" w:rsidRPr="006059F3">
        <w:rPr>
          <w:lang w:val="uk-UA"/>
        </w:rPr>
        <w:t xml:space="preserve"> зая</w:t>
      </w:r>
      <w:r w:rsidR="00BA4C5B">
        <w:rPr>
          <w:lang w:val="uk-UA"/>
        </w:rPr>
        <w:t>в про видач</w:t>
      </w:r>
      <w:r w:rsidR="006059F3">
        <w:rPr>
          <w:lang w:val="uk-UA"/>
        </w:rPr>
        <w:t>у/скасування судового наказу, 122</w:t>
      </w:r>
      <w:r w:rsidR="00BA4C5B" w:rsidRPr="00CD6892">
        <w:rPr>
          <w:lang w:val="uk-UA"/>
        </w:rPr>
        <w:t xml:space="preserve"> </w:t>
      </w:r>
      <w:r w:rsidR="00BA4C5B">
        <w:rPr>
          <w:lang w:val="uk-UA"/>
        </w:rPr>
        <w:t xml:space="preserve">справ окремого провадження,  а всього </w:t>
      </w:r>
      <w:r w:rsidR="006059F3">
        <w:rPr>
          <w:lang w:val="uk-UA"/>
        </w:rPr>
        <w:t>6571</w:t>
      </w:r>
      <w:r w:rsidR="00BA4C5B">
        <w:rPr>
          <w:lang w:val="uk-UA"/>
        </w:rPr>
        <w:t xml:space="preserve"> цивільних </w:t>
      </w:r>
      <w:r w:rsidR="00BA4C5B" w:rsidRPr="00A5365F">
        <w:rPr>
          <w:lang w:val="uk-UA"/>
        </w:rPr>
        <w:t>справ</w:t>
      </w:r>
      <w:r w:rsidR="00BA4C5B">
        <w:rPr>
          <w:lang w:val="uk-UA"/>
        </w:rPr>
        <w:t>.</w:t>
      </w:r>
    </w:p>
    <w:p w:rsidR="006A340B" w:rsidRDefault="006A340B" w:rsidP="006A340B">
      <w:pPr>
        <w:ind w:firstLine="720"/>
        <w:jc w:val="both"/>
        <w:rPr>
          <w:lang w:val="uk-UA"/>
        </w:rPr>
      </w:pPr>
      <w:r w:rsidRPr="006A340B">
        <w:rPr>
          <w:lang w:val="uk-UA"/>
        </w:rPr>
        <w:t>З них по цивільних справах та справах окремого провадження у 2025 році винесено всього 2479 рішень, що 39,3 %  більше, ніж у 2024 році (всього 1780).</w:t>
      </w:r>
    </w:p>
    <w:p w:rsidR="006A340B" w:rsidRDefault="006A340B" w:rsidP="006A340B">
      <w:pPr>
        <w:ind w:firstLine="720"/>
        <w:jc w:val="both"/>
        <w:rPr>
          <w:lang w:val="uk-UA"/>
        </w:rPr>
      </w:pPr>
      <w:r>
        <w:rPr>
          <w:lang w:val="uk-UA"/>
        </w:rPr>
        <w:t>Разом з тим, судових наказів винесено у 2025 році 1504, що на 66,7 % менше, ніж у 2024 році (4519 судових наказів).</w:t>
      </w:r>
    </w:p>
    <w:p w:rsidR="006A340B" w:rsidRDefault="006A340B" w:rsidP="00B00227">
      <w:pPr>
        <w:ind w:firstLine="720"/>
        <w:jc w:val="both"/>
        <w:rPr>
          <w:lang w:val="uk-UA"/>
        </w:rPr>
      </w:pPr>
    </w:p>
    <w:p w:rsidR="00AD4D7F" w:rsidRDefault="00AD4D7F" w:rsidP="00AD4D7F">
      <w:pPr>
        <w:ind w:firstLine="720"/>
        <w:jc w:val="both"/>
        <w:rPr>
          <w:lang w:val="uk-UA"/>
        </w:rPr>
      </w:pPr>
      <w:r>
        <w:rPr>
          <w:lang w:val="uk-UA"/>
        </w:rPr>
        <w:t>Всього закінчено у 2025 році 85 адміністративних справ, що в порівнянні з 2024 роком на 142,9 % більше, а саме: на  50 справ більше.</w:t>
      </w:r>
      <w:r w:rsidRPr="00AD5131">
        <w:rPr>
          <w:lang w:val="uk-UA"/>
        </w:rPr>
        <w:t xml:space="preserve"> </w:t>
      </w:r>
    </w:p>
    <w:p w:rsidR="00B00227" w:rsidRDefault="00B00227" w:rsidP="00B00227">
      <w:pPr>
        <w:ind w:firstLine="720"/>
        <w:jc w:val="both"/>
        <w:rPr>
          <w:lang w:val="uk-UA"/>
        </w:rPr>
      </w:pPr>
      <w:r>
        <w:rPr>
          <w:lang w:val="uk-UA"/>
        </w:rPr>
        <w:t>По адміністративним спр</w:t>
      </w:r>
      <w:r w:rsidR="00BD3918">
        <w:rPr>
          <w:lang w:val="uk-UA"/>
        </w:rPr>
        <w:t xml:space="preserve">авам винесено </w:t>
      </w:r>
      <w:r w:rsidR="00DD2006">
        <w:rPr>
          <w:lang w:val="uk-UA"/>
        </w:rPr>
        <w:t>79</w:t>
      </w:r>
      <w:r>
        <w:rPr>
          <w:lang w:val="uk-UA"/>
        </w:rPr>
        <w:t xml:space="preserve"> постанов у 202</w:t>
      </w:r>
      <w:r w:rsidR="00DD2006">
        <w:rPr>
          <w:lang w:val="uk-UA"/>
        </w:rPr>
        <w:t>5</w:t>
      </w:r>
      <w:r>
        <w:rPr>
          <w:lang w:val="uk-UA"/>
        </w:rPr>
        <w:t xml:space="preserve"> році,</w:t>
      </w:r>
      <w:r w:rsidR="00BD3918">
        <w:rPr>
          <w:lang w:val="uk-UA"/>
        </w:rPr>
        <w:t xml:space="preserve"> що в порівнянні з 202</w:t>
      </w:r>
      <w:r w:rsidR="00DD2006">
        <w:rPr>
          <w:lang w:val="uk-UA"/>
        </w:rPr>
        <w:t>4 роком на 155</w:t>
      </w:r>
      <w:r w:rsidR="00BD3918">
        <w:rPr>
          <w:lang w:val="uk-UA"/>
        </w:rPr>
        <w:t xml:space="preserve"> % більше, ніж</w:t>
      </w:r>
      <w:r>
        <w:rPr>
          <w:lang w:val="uk-UA"/>
        </w:rPr>
        <w:t xml:space="preserve"> в 202</w:t>
      </w:r>
      <w:r w:rsidR="00DD2006">
        <w:rPr>
          <w:lang w:val="uk-UA"/>
        </w:rPr>
        <w:t>4</w:t>
      </w:r>
      <w:r>
        <w:rPr>
          <w:lang w:val="uk-UA"/>
        </w:rPr>
        <w:t xml:space="preserve"> році</w:t>
      </w:r>
      <w:r w:rsidRPr="000522EA">
        <w:rPr>
          <w:lang w:val="uk-UA"/>
        </w:rPr>
        <w:t xml:space="preserve"> </w:t>
      </w:r>
      <w:r>
        <w:rPr>
          <w:lang w:val="uk-UA"/>
        </w:rPr>
        <w:t xml:space="preserve">– </w:t>
      </w:r>
      <w:r w:rsidR="00DD2006">
        <w:rPr>
          <w:lang w:val="uk-UA"/>
        </w:rPr>
        <w:t>31</w:t>
      </w:r>
      <w:r>
        <w:rPr>
          <w:lang w:val="uk-UA"/>
        </w:rPr>
        <w:t xml:space="preserve"> постанов</w:t>
      </w:r>
      <w:r w:rsidR="007E3C3E">
        <w:rPr>
          <w:lang w:val="uk-UA"/>
        </w:rPr>
        <w:t>а</w:t>
      </w:r>
      <w:r>
        <w:rPr>
          <w:lang w:val="uk-UA"/>
        </w:rPr>
        <w:t>.</w:t>
      </w:r>
    </w:p>
    <w:p w:rsidR="00B00227" w:rsidRDefault="00B00227" w:rsidP="00B00227">
      <w:pPr>
        <w:ind w:firstLine="720"/>
        <w:jc w:val="both"/>
        <w:rPr>
          <w:lang w:val="uk-UA"/>
        </w:rPr>
      </w:pPr>
    </w:p>
    <w:p w:rsidR="00BF4ABC" w:rsidRDefault="00BF4ABC" w:rsidP="00913D7D">
      <w:pPr>
        <w:ind w:firstLine="720"/>
        <w:jc w:val="both"/>
        <w:rPr>
          <w:b/>
          <w:lang w:val="uk-UA"/>
        </w:rPr>
      </w:pPr>
    </w:p>
    <w:p w:rsidR="00913D7D" w:rsidRPr="00343738" w:rsidRDefault="00913D7D" w:rsidP="00913D7D">
      <w:pPr>
        <w:ind w:left="2160" w:firstLine="720"/>
        <w:jc w:val="both"/>
        <w:rPr>
          <w:b/>
          <w:i/>
          <w:lang w:val="uk-UA"/>
        </w:rPr>
      </w:pPr>
      <w:r>
        <w:rPr>
          <w:b/>
          <w:i/>
          <w:lang w:val="uk-UA"/>
        </w:rPr>
        <w:t xml:space="preserve">Кількість розглянутих </w:t>
      </w:r>
      <w:r w:rsidRPr="00343738">
        <w:rPr>
          <w:b/>
          <w:i/>
          <w:lang w:val="uk-UA"/>
        </w:rPr>
        <w:t>цивільни</w:t>
      </w:r>
      <w:r>
        <w:rPr>
          <w:b/>
          <w:i/>
          <w:lang w:val="uk-UA"/>
        </w:rPr>
        <w:t>х</w:t>
      </w:r>
      <w:r w:rsidRPr="00343738">
        <w:rPr>
          <w:b/>
          <w:i/>
          <w:lang w:val="uk-UA"/>
        </w:rPr>
        <w:t xml:space="preserve"> та адміністративни</w:t>
      </w:r>
      <w:r>
        <w:rPr>
          <w:b/>
          <w:i/>
          <w:lang w:val="uk-UA"/>
        </w:rPr>
        <w:t>х</w:t>
      </w:r>
      <w:r w:rsidRPr="00343738">
        <w:rPr>
          <w:b/>
          <w:i/>
          <w:lang w:val="uk-UA"/>
        </w:rPr>
        <w:t xml:space="preserve"> справ</w:t>
      </w:r>
    </w:p>
    <w:p w:rsidR="00913D7D" w:rsidRPr="00343738" w:rsidRDefault="00913D7D" w:rsidP="00913D7D">
      <w:pPr>
        <w:ind w:firstLine="720"/>
        <w:jc w:val="center"/>
        <w:rPr>
          <w:b/>
          <w:i/>
          <w:lang w:val="uk-UA"/>
        </w:rPr>
      </w:pPr>
      <w:r w:rsidRPr="00343738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>в порівнянні 202</w:t>
      </w:r>
      <w:r w:rsidR="00F220D4">
        <w:rPr>
          <w:b/>
          <w:i/>
          <w:lang w:val="uk-UA"/>
        </w:rPr>
        <w:t>5</w:t>
      </w:r>
      <w:r w:rsidRPr="00343738">
        <w:rPr>
          <w:b/>
          <w:i/>
          <w:lang w:val="uk-UA"/>
        </w:rPr>
        <w:t>-20</w:t>
      </w:r>
      <w:r>
        <w:rPr>
          <w:b/>
          <w:i/>
          <w:lang w:val="uk-UA"/>
        </w:rPr>
        <w:t>24</w:t>
      </w:r>
      <w:r w:rsidRPr="00343738">
        <w:rPr>
          <w:b/>
          <w:i/>
          <w:lang w:val="uk-UA"/>
        </w:rPr>
        <w:t xml:space="preserve"> років.</w:t>
      </w:r>
    </w:p>
    <w:p w:rsidR="00913D7D" w:rsidRDefault="00913D7D" w:rsidP="00913D7D">
      <w:pPr>
        <w:ind w:firstLine="720"/>
        <w:jc w:val="both"/>
        <w:rPr>
          <w:b/>
          <w:lang w:val="uk-UA"/>
        </w:rPr>
      </w:pPr>
    </w:p>
    <w:p w:rsidR="00913D7D" w:rsidRDefault="00913D7D" w:rsidP="00913D7D">
      <w:pPr>
        <w:ind w:firstLine="720"/>
        <w:jc w:val="both"/>
        <w:rPr>
          <w:lang w:val="uk-UA"/>
        </w:rPr>
      </w:pPr>
      <w:r>
        <w:rPr>
          <w:noProof/>
          <w:lang w:val="ru-RU" w:eastAsia="ru-RU"/>
        </w:rPr>
        <w:drawing>
          <wp:inline distT="0" distB="0" distL="0" distR="0">
            <wp:extent cx="5615796" cy="1682151"/>
            <wp:effectExtent l="0" t="0" r="3954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13D7D" w:rsidRDefault="00913D7D" w:rsidP="00B00227">
      <w:pPr>
        <w:ind w:firstLine="720"/>
        <w:jc w:val="both"/>
        <w:rPr>
          <w:lang w:val="uk-UA"/>
        </w:rPr>
      </w:pPr>
    </w:p>
    <w:p w:rsidR="00B00227" w:rsidRDefault="00B00227" w:rsidP="00B00227">
      <w:pPr>
        <w:ind w:firstLine="720"/>
        <w:jc w:val="both"/>
        <w:rPr>
          <w:lang w:val="uk-UA"/>
        </w:rPr>
      </w:pPr>
      <w:r>
        <w:rPr>
          <w:lang w:val="uk-UA"/>
        </w:rPr>
        <w:t>Залишок у 202</w:t>
      </w:r>
      <w:r w:rsidR="00F220D4">
        <w:rPr>
          <w:lang w:val="uk-UA"/>
        </w:rPr>
        <w:t>5</w:t>
      </w:r>
      <w:r>
        <w:rPr>
          <w:lang w:val="uk-UA"/>
        </w:rPr>
        <w:t xml:space="preserve"> році по цивільних</w:t>
      </w:r>
      <w:r w:rsidRPr="004D0DD9">
        <w:rPr>
          <w:lang w:val="uk-UA"/>
        </w:rPr>
        <w:t xml:space="preserve"> справа</w:t>
      </w:r>
      <w:r>
        <w:rPr>
          <w:lang w:val="uk-UA"/>
        </w:rPr>
        <w:t>х</w:t>
      </w:r>
      <w:r w:rsidRPr="004D0DD9">
        <w:rPr>
          <w:lang w:val="uk-UA"/>
        </w:rPr>
        <w:t xml:space="preserve"> склав </w:t>
      </w:r>
      <w:r w:rsidR="000D3102">
        <w:rPr>
          <w:lang w:val="uk-UA"/>
        </w:rPr>
        <w:t>4</w:t>
      </w:r>
      <w:r w:rsidR="00F220D4">
        <w:rPr>
          <w:lang w:val="uk-UA"/>
        </w:rPr>
        <w:t>72</w:t>
      </w:r>
      <w:r w:rsidRPr="004D0DD9">
        <w:rPr>
          <w:lang w:val="uk-UA"/>
        </w:rPr>
        <w:t xml:space="preserve"> справ</w:t>
      </w:r>
      <w:r>
        <w:rPr>
          <w:lang w:val="uk-UA"/>
        </w:rPr>
        <w:t>и</w:t>
      </w:r>
      <w:r w:rsidRPr="004D0DD9">
        <w:rPr>
          <w:lang w:val="uk-UA"/>
        </w:rPr>
        <w:t xml:space="preserve">, </w:t>
      </w:r>
      <w:r w:rsidR="00F220D4">
        <w:rPr>
          <w:lang w:val="uk-UA"/>
        </w:rPr>
        <w:t>по адміністративних справах – 3</w:t>
      </w:r>
      <w:r>
        <w:rPr>
          <w:lang w:val="uk-UA"/>
        </w:rPr>
        <w:t xml:space="preserve">, окремому провадженню – </w:t>
      </w:r>
      <w:r w:rsidR="000D3102">
        <w:rPr>
          <w:lang w:val="uk-UA"/>
        </w:rPr>
        <w:t>4</w:t>
      </w:r>
      <w:r w:rsidR="00024BA1">
        <w:rPr>
          <w:lang w:val="uk-UA"/>
        </w:rPr>
        <w:t>4</w:t>
      </w:r>
      <w:r w:rsidRPr="004D0DD9">
        <w:rPr>
          <w:lang w:val="uk-UA"/>
        </w:rPr>
        <w:t>, нак</w:t>
      </w:r>
      <w:r>
        <w:rPr>
          <w:lang w:val="uk-UA"/>
        </w:rPr>
        <w:t xml:space="preserve">азне – </w:t>
      </w:r>
      <w:r w:rsidR="00F220D4">
        <w:rPr>
          <w:lang w:val="uk-UA"/>
        </w:rPr>
        <w:t>9</w:t>
      </w:r>
      <w:r w:rsidRPr="007854DD">
        <w:rPr>
          <w:lang w:val="uk-UA"/>
        </w:rPr>
        <w:t xml:space="preserve">, а всього </w:t>
      </w:r>
      <w:r w:rsidR="00D17141">
        <w:rPr>
          <w:lang w:val="uk-UA"/>
        </w:rPr>
        <w:t>52</w:t>
      </w:r>
      <w:r w:rsidR="00F220D4">
        <w:rPr>
          <w:lang w:val="uk-UA"/>
        </w:rPr>
        <w:t>8</w:t>
      </w:r>
      <w:r w:rsidRPr="007854DD">
        <w:rPr>
          <w:lang w:val="uk-UA"/>
        </w:rPr>
        <w:t xml:space="preserve"> справ</w:t>
      </w:r>
      <w:r w:rsidRPr="007854DD">
        <w:rPr>
          <w:b/>
          <w:lang w:val="uk-UA"/>
        </w:rPr>
        <w:t xml:space="preserve">, </w:t>
      </w:r>
      <w:r w:rsidRPr="007854DD">
        <w:rPr>
          <w:lang w:val="uk-UA"/>
        </w:rPr>
        <w:t xml:space="preserve">що </w:t>
      </w:r>
      <w:r w:rsidR="00D17141">
        <w:rPr>
          <w:lang w:val="uk-UA"/>
        </w:rPr>
        <w:t>на 6</w:t>
      </w:r>
      <w:r>
        <w:rPr>
          <w:lang w:val="uk-UA"/>
        </w:rPr>
        <w:t xml:space="preserve"> справ</w:t>
      </w:r>
      <w:r w:rsidRPr="004D0DD9">
        <w:rPr>
          <w:lang w:val="uk-UA"/>
        </w:rPr>
        <w:t xml:space="preserve"> </w:t>
      </w:r>
      <w:r w:rsidR="00D17141">
        <w:rPr>
          <w:lang w:val="uk-UA"/>
        </w:rPr>
        <w:t>більше</w:t>
      </w:r>
      <w:r w:rsidRPr="004D0DD9">
        <w:rPr>
          <w:lang w:val="uk-UA"/>
        </w:rPr>
        <w:t xml:space="preserve">, ніж у </w:t>
      </w:r>
      <w:r>
        <w:rPr>
          <w:lang w:val="uk-UA"/>
        </w:rPr>
        <w:t>202</w:t>
      </w:r>
      <w:r w:rsidR="00F220D4">
        <w:rPr>
          <w:lang w:val="uk-UA"/>
        </w:rPr>
        <w:t>4</w:t>
      </w:r>
      <w:r w:rsidRPr="004D0DD9">
        <w:rPr>
          <w:lang w:val="uk-UA"/>
        </w:rPr>
        <w:t xml:space="preserve"> році / цивільні справи -</w:t>
      </w:r>
      <w:r w:rsidRPr="00F121BE">
        <w:rPr>
          <w:lang w:val="uk-UA"/>
        </w:rPr>
        <w:t xml:space="preserve"> </w:t>
      </w:r>
      <w:r w:rsidR="00F220D4">
        <w:rPr>
          <w:lang w:val="uk-UA"/>
        </w:rPr>
        <w:t>407</w:t>
      </w:r>
      <w:r w:rsidRPr="004D0DD9">
        <w:rPr>
          <w:lang w:val="uk-UA"/>
        </w:rPr>
        <w:t xml:space="preserve"> справ</w:t>
      </w:r>
      <w:r w:rsidR="00BD3918">
        <w:rPr>
          <w:lang w:val="uk-UA"/>
        </w:rPr>
        <w:t>и</w:t>
      </w:r>
      <w:r w:rsidRPr="004D0DD9">
        <w:rPr>
          <w:lang w:val="uk-UA"/>
        </w:rPr>
        <w:t xml:space="preserve">, </w:t>
      </w:r>
      <w:r>
        <w:rPr>
          <w:lang w:val="uk-UA"/>
        </w:rPr>
        <w:t xml:space="preserve">по адміністративних справах – </w:t>
      </w:r>
      <w:r w:rsidR="00F220D4">
        <w:rPr>
          <w:lang w:val="uk-UA"/>
        </w:rPr>
        <w:t>6</w:t>
      </w:r>
      <w:r>
        <w:rPr>
          <w:lang w:val="uk-UA"/>
        </w:rPr>
        <w:t xml:space="preserve">, окремому провадженню – </w:t>
      </w:r>
      <w:r w:rsidR="00024BA1">
        <w:rPr>
          <w:lang w:val="uk-UA"/>
        </w:rPr>
        <w:t>45</w:t>
      </w:r>
      <w:r w:rsidRPr="004D0DD9">
        <w:rPr>
          <w:lang w:val="uk-UA"/>
        </w:rPr>
        <w:t>, нак</w:t>
      </w:r>
      <w:r>
        <w:rPr>
          <w:lang w:val="uk-UA"/>
        </w:rPr>
        <w:t xml:space="preserve">азне – </w:t>
      </w:r>
      <w:r w:rsidR="00F220D4">
        <w:rPr>
          <w:lang w:val="uk-UA"/>
        </w:rPr>
        <w:t>64</w:t>
      </w:r>
      <w:r w:rsidRPr="007854DD">
        <w:rPr>
          <w:lang w:val="uk-UA"/>
        </w:rPr>
        <w:t xml:space="preserve">, а всього </w:t>
      </w:r>
      <w:r w:rsidR="00F220D4">
        <w:rPr>
          <w:lang w:val="uk-UA"/>
        </w:rPr>
        <w:t>522</w:t>
      </w:r>
      <w:r w:rsidRPr="007854DD">
        <w:rPr>
          <w:lang w:val="uk-UA"/>
        </w:rPr>
        <w:t xml:space="preserve"> справ</w:t>
      </w:r>
      <w:r w:rsidR="00F220D4">
        <w:rPr>
          <w:lang w:val="uk-UA"/>
        </w:rPr>
        <w:t>и</w:t>
      </w:r>
      <w:r w:rsidRPr="004D0DD9">
        <w:rPr>
          <w:lang w:val="uk-UA"/>
        </w:rPr>
        <w:t xml:space="preserve"> /.</w:t>
      </w:r>
      <w:r>
        <w:rPr>
          <w:lang w:val="uk-UA"/>
        </w:rPr>
        <w:t xml:space="preserve">  </w:t>
      </w:r>
    </w:p>
    <w:p w:rsidR="00B00227" w:rsidRDefault="00B00227" w:rsidP="00DD3272">
      <w:pPr>
        <w:ind w:firstLine="720"/>
        <w:jc w:val="both"/>
        <w:rPr>
          <w:lang w:val="uk-UA"/>
        </w:rPr>
      </w:pPr>
    </w:p>
    <w:p w:rsidR="00B00227" w:rsidRDefault="00B00227" w:rsidP="00DD3272">
      <w:pPr>
        <w:ind w:firstLine="720"/>
        <w:jc w:val="both"/>
        <w:rPr>
          <w:lang w:val="uk-UA"/>
        </w:rPr>
      </w:pPr>
    </w:p>
    <w:p w:rsidR="009C21EE" w:rsidRPr="004F442C" w:rsidRDefault="009C21EE" w:rsidP="009C21EE">
      <w:pPr>
        <w:ind w:firstLine="720"/>
        <w:jc w:val="center"/>
        <w:rPr>
          <w:b/>
          <w:sz w:val="28"/>
          <w:szCs w:val="28"/>
          <w:lang w:val="ru-RU"/>
        </w:rPr>
      </w:pPr>
      <w:proofErr w:type="spellStart"/>
      <w:r w:rsidRPr="004F442C">
        <w:rPr>
          <w:b/>
          <w:sz w:val="28"/>
          <w:szCs w:val="28"/>
          <w:lang w:val="ru-RU"/>
        </w:rPr>
        <w:t>Матеріали</w:t>
      </w:r>
      <w:proofErr w:type="spellEnd"/>
      <w:r w:rsidRPr="004F442C">
        <w:rPr>
          <w:b/>
          <w:sz w:val="28"/>
          <w:szCs w:val="28"/>
          <w:lang w:val="ru-RU"/>
        </w:rPr>
        <w:t xml:space="preserve"> про </w:t>
      </w:r>
      <w:proofErr w:type="spellStart"/>
      <w:r w:rsidRPr="004F442C">
        <w:rPr>
          <w:b/>
          <w:sz w:val="28"/>
          <w:szCs w:val="28"/>
          <w:lang w:val="ru-RU"/>
        </w:rPr>
        <w:t>адміністративні</w:t>
      </w:r>
      <w:proofErr w:type="spellEnd"/>
      <w:r w:rsidRPr="004F442C">
        <w:rPr>
          <w:b/>
          <w:sz w:val="28"/>
          <w:szCs w:val="28"/>
          <w:lang w:val="ru-RU"/>
        </w:rPr>
        <w:t xml:space="preserve"> </w:t>
      </w:r>
      <w:proofErr w:type="spellStart"/>
      <w:r w:rsidRPr="004F442C">
        <w:rPr>
          <w:b/>
          <w:sz w:val="28"/>
          <w:szCs w:val="28"/>
          <w:lang w:val="ru-RU"/>
        </w:rPr>
        <w:t>правопорушення</w:t>
      </w:r>
      <w:proofErr w:type="spellEnd"/>
    </w:p>
    <w:p w:rsidR="009C21EE" w:rsidRDefault="009C21EE" w:rsidP="009C21EE">
      <w:pPr>
        <w:pStyle w:val="a7"/>
        <w:ind w:firstLine="720"/>
        <w:rPr>
          <w:bCs/>
          <w:iCs/>
        </w:rPr>
      </w:pPr>
    </w:p>
    <w:p w:rsidR="009C21EE" w:rsidRDefault="00C849A4" w:rsidP="009C21EE">
      <w:pPr>
        <w:pStyle w:val="a7"/>
        <w:ind w:firstLine="720"/>
        <w:rPr>
          <w:bCs/>
          <w:iCs/>
        </w:rPr>
      </w:pPr>
      <w:r>
        <w:rPr>
          <w:bCs/>
          <w:iCs/>
        </w:rPr>
        <w:t>У 202</w:t>
      </w:r>
      <w:r w:rsidR="00024BA1">
        <w:rPr>
          <w:bCs/>
          <w:iCs/>
        </w:rPr>
        <w:t>5</w:t>
      </w:r>
      <w:r w:rsidR="009C21EE">
        <w:rPr>
          <w:bCs/>
          <w:iCs/>
        </w:rPr>
        <w:t xml:space="preserve"> році здійснення судочинства по матеріалах про                                                 адміністративні правопорушення має такі показники і динаміку:</w:t>
      </w:r>
    </w:p>
    <w:p w:rsidR="009C21EE" w:rsidRDefault="009C21EE" w:rsidP="009C21EE">
      <w:pPr>
        <w:pStyle w:val="a7"/>
        <w:ind w:firstLine="720"/>
        <w:rPr>
          <w:bCs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8"/>
        <w:gridCol w:w="1750"/>
        <w:gridCol w:w="1559"/>
        <w:gridCol w:w="3544"/>
      </w:tblGrid>
      <w:tr w:rsidR="000D2FD2" w:rsidRPr="008A2D80" w:rsidTr="004F2913">
        <w:tc>
          <w:tcPr>
            <w:tcW w:w="3178" w:type="dxa"/>
            <w:shd w:val="clear" w:color="auto" w:fill="auto"/>
          </w:tcPr>
          <w:p w:rsidR="000D2FD2" w:rsidRPr="00483575" w:rsidRDefault="000D2FD2" w:rsidP="00ED5CDA">
            <w:pPr>
              <w:pStyle w:val="a7"/>
              <w:rPr>
                <w:bCs/>
                <w:iCs/>
              </w:rPr>
            </w:pPr>
          </w:p>
        </w:tc>
        <w:tc>
          <w:tcPr>
            <w:tcW w:w="1750" w:type="dxa"/>
          </w:tcPr>
          <w:p w:rsidR="000D2FD2" w:rsidRDefault="000D2FD2" w:rsidP="00ED5CDA">
            <w:pPr>
              <w:pStyle w:val="a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2025</w:t>
            </w:r>
          </w:p>
        </w:tc>
        <w:tc>
          <w:tcPr>
            <w:tcW w:w="1559" w:type="dxa"/>
          </w:tcPr>
          <w:p w:rsidR="000D2FD2" w:rsidRDefault="000D2FD2" w:rsidP="00ED5CDA">
            <w:pPr>
              <w:pStyle w:val="a7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2024</w:t>
            </w:r>
          </w:p>
        </w:tc>
        <w:tc>
          <w:tcPr>
            <w:tcW w:w="3544" w:type="dxa"/>
          </w:tcPr>
          <w:p w:rsidR="000D2FD2" w:rsidRDefault="000D2FD2" w:rsidP="00ED5CDA">
            <w:pPr>
              <w:pStyle w:val="a7"/>
              <w:jc w:val="center"/>
              <w:rPr>
                <w:b/>
                <w:bCs/>
                <w:i/>
                <w:iCs/>
              </w:rPr>
            </w:pPr>
            <w:r w:rsidRPr="00483575">
              <w:rPr>
                <w:b/>
                <w:bCs/>
                <w:i/>
                <w:iCs/>
              </w:rPr>
              <w:t>Динаміка в порівнянні з попереднім періодом</w:t>
            </w:r>
          </w:p>
        </w:tc>
      </w:tr>
      <w:tr w:rsidR="000D2FD2" w:rsidRPr="00483575" w:rsidTr="004F2913">
        <w:tc>
          <w:tcPr>
            <w:tcW w:w="3178" w:type="dxa"/>
            <w:shd w:val="clear" w:color="auto" w:fill="auto"/>
          </w:tcPr>
          <w:p w:rsidR="000D2FD2" w:rsidRPr="00483575" w:rsidRDefault="000D2FD2" w:rsidP="00ED5CDA">
            <w:pPr>
              <w:pStyle w:val="a7"/>
              <w:rPr>
                <w:bCs/>
                <w:iCs/>
              </w:rPr>
            </w:pPr>
            <w:r w:rsidRPr="00483575">
              <w:rPr>
                <w:bCs/>
                <w:iCs/>
              </w:rPr>
              <w:t xml:space="preserve">Справи </w:t>
            </w:r>
            <w:r>
              <w:rPr>
                <w:bCs/>
                <w:iCs/>
              </w:rPr>
              <w:t>про адміністративні правопорушення</w:t>
            </w:r>
          </w:p>
        </w:tc>
        <w:tc>
          <w:tcPr>
            <w:tcW w:w="1750" w:type="dxa"/>
            <w:vAlign w:val="center"/>
          </w:tcPr>
          <w:p w:rsidR="000D2FD2" w:rsidRDefault="000D2FD2" w:rsidP="000D2FD2">
            <w:pPr>
              <w:pStyle w:val="a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2730</w:t>
            </w:r>
          </w:p>
        </w:tc>
        <w:tc>
          <w:tcPr>
            <w:tcW w:w="1559" w:type="dxa"/>
            <w:vAlign w:val="center"/>
          </w:tcPr>
          <w:p w:rsidR="000D2FD2" w:rsidRDefault="000D2FD2" w:rsidP="0089169F">
            <w:pPr>
              <w:pStyle w:val="a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2776</w:t>
            </w:r>
          </w:p>
        </w:tc>
        <w:tc>
          <w:tcPr>
            <w:tcW w:w="3544" w:type="dxa"/>
            <w:vAlign w:val="center"/>
          </w:tcPr>
          <w:p w:rsidR="000D2FD2" w:rsidRDefault="000D2FD2" w:rsidP="000D2FD2">
            <w:pPr>
              <w:pStyle w:val="a7"/>
              <w:numPr>
                <w:ilvl w:val="0"/>
                <w:numId w:val="23"/>
              </w:num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1,7%</w:t>
            </w:r>
          </w:p>
        </w:tc>
      </w:tr>
      <w:tr w:rsidR="000D2FD2" w:rsidRPr="002B7946" w:rsidTr="004F2913">
        <w:tc>
          <w:tcPr>
            <w:tcW w:w="3178" w:type="dxa"/>
            <w:shd w:val="clear" w:color="auto" w:fill="auto"/>
          </w:tcPr>
          <w:p w:rsidR="000D2FD2" w:rsidRPr="00066598" w:rsidRDefault="000D2FD2" w:rsidP="00ED5CDA">
            <w:pPr>
              <w:pStyle w:val="a7"/>
              <w:rPr>
                <w:bCs/>
                <w:iCs/>
              </w:rPr>
            </w:pPr>
            <w:r w:rsidRPr="00066598">
              <w:rPr>
                <w:bCs/>
                <w:iCs/>
              </w:rPr>
              <w:t xml:space="preserve">       у т.ч. щодо корупційних правопорушень</w:t>
            </w:r>
          </w:p>
        </w:tc>
        <w:tc>
          <w:tcPr>
            <w:tcW w:w="1750" w:type="dxa"/>
            <w:vAlign w:val="center"/>
          </w:tcPr>
          <w:p w:rsidR="000D2FD2" w:rsidRDefault="000D2FD2" w:rsidP="000D2FD2">
            <w:pPr>
              <w:pStyle w:val="a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1559" w:type="dxa"/>
            <w:vAlign w:val="center"/>
          </w:tcPr>
          <w:p w:rsidR="000D2FD2" w:rsidRDefault="000D2FD2" w:rsidP="0089169F">
            <w:pPr>
              <w:pStyle w:val="a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  <w:tc>
          <w:tcPr>
            <w:tcW w:w="3544" w:type="dxa"/>
            <w:vAlign w:val="center"/>
          </w:tcPr>
          <w:p w:rsidR="000D2FD2" w:rsidRDefault="000D2FD2" w:rsidP="000D2FD2">
            <w:pPr>
              <w:pStyle w:val="a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+ 66,7%</w:t>
            </w:r>
          </w:p>
        </w:tc>
      </w:tr>
      <w:tr w:rsidR="000D2FD2" w:rsidRPr="002B7946" w:rsidTr="004F2913">
        <w:tc>
          <w:tcPr>
            <w:tcW w:w="3178" w:type="dxa"/>
            <w:shd w:val="clear" w:color="auto" w:fill="auto"/>
          </w:tcPr>
          <w:p w:rsidR="000D2FD2" w:rsidRPr="00483575" w:rsidRDefault="000D2FD2" w:rsidP="00ED5CDA">
            <w:pPr>
              <w:pStyle w:val="a7"/>
              <w:rPr>
                <w:bCs/>
                <w:iCs/>
              </w:rPr>
            </w:pPr>
            <w:r w:rsidRPr="00483575">
              <w:rPr>
                <w:bCs/>
                <w:iCs/>
              </w:rPr>
              <w:t xml:space="preserve">Справи </w:t>
            </w:r>
            <w:r>
              <w:rPr>
                <w:bCs/>
                <w:iCs/>
              </w:rPr>
              <w:t>у порядку виконання постанов у справах про  адміністративні правопорушення</w:t>
            </w:r>
          </w:p>
        </w:tc>
        <w:tc>
          <w:tcPr>
            <w:tcW w:w="1750" w:type="dxa"/>
            <w:vAlign w:val="center"/>
          </w:tcPr>
          <w:p w:rsidR="000D2FD2" w:rsidRDefault="000D2FD2" w:rsidP="000D2FD2">
            <w:pPr>
              <w:pStyle w:val="a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</w:t>
            </w:r>
          </w:p>
        </w:tc>
        <w:tc>
          <w:tcPr>
            <w:tcW w:w="1559" w:type="dxa"/>
            <w:vAlign w:val="center"/>
          </w:tcPr>
          <w:p w:rsidR="000D2FD2" w:rsidRDefault="000D2FD2" w:rsidP="0089169F">
            <w:pPr>
              <w:pStyle w:val="a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</w:t>
            </w:r>
          </w:p>
        </w:tc>
        <w:tc>
          <w:tcPr>
            <w:tcW w:w="3544" w:type="dxa"/>
            <w:vAlign w:val="center"/>
          </w:tcPr>
          <w:p w:rsidR="000D2FD2" w:rsidRDefault="000D2FD2" w:rsidP="000D2FD2">
            <w:pPr>
              <w:pStyle w:val="a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-17,6%</w:t>
            </w:r>
          </w:p>
        </w:tc>
      </w:tr>
    </w:tbl>
    <w:p w:rsidR="009C21EE" w:rsidRDefault="009C21EE" w:rsidP="009C21EE">
      <w:pPr>
        <w:ind w:firstLine="720"/>
        <w:jc w:val="center"/>
        <w:rPr>
          <w:b/>
          <w:i/>
          <w:u w:val="single"/>
          <w:lang w:val="uk-UA"/>
        </w:rPr>
      </w:pPr>
    </w:p>
    <w:p w:rsidR="007F344A" w:rsidRDefault="001D41F2" w:rsidP="00704DB8">
      <w:pPr>
        <w:ind w:firstLine="720"/>
        <w:jc w:val="both"/>
        <w:rPr>
          <w:lang w:val="uk-UA"/>
        </w:rPr>
      </w:pPr>
      <w:r>
        <w:rPr>
          <w:lang w:val="uk-UA"/>
        </w:rPr>
        <w:t>У 202</w:t>
      </w:r>
      <w:r w:rsidR="0092137E">
        <w:rPr>
          <w:lang w:val="uk-UA"/>
        </w:rPr>
        <w:t>5</w:t>
      </w:r>
      <w:r w:rsidR="007F344A" w:rsidRPr="00460716">
        <w:rPr>
          <w:lang w:val="uk-UA"/>
        </w:rPr>
        <w:t xml:space="preserve"> році в провадженні Дергачівського районного суду Ха</w:t>
      </w:r>
      <w:r w:rsidR="0092137E">
        <w:rPr>
          <w:lang w:val="uk-UA"/>
        </w:rPr>
        <w:t>рківської області знаходилось 118</w:t>
      </w:r>
      <w:r w:rsidR="007F344A" w:rsidRPr="00460716">
        <w:rPr>
          <w:lang w:val="uk-UA"/>
        </w:rPr>
        <w:t xml:space="preserve"> адміністративних матеріал</w:t>
      </w:r>
      <w:r w:rsidR="007F344A">
        <w:rPr>
          <w:lang w:val="uk-UA"/>
        </w:rPr>
        <w:t>ів з залишку та надійшло</w:t>
      </w:r>
      <w:r w:rsidR="007F344A" w:rsidRPr="00460716">
        <w:rPr>
          <w:lang w:val="uk-UA"/>
        </w:rPr>
        <w:t xml:space="preserve"> </w:t>
      </w:r>
      <w:r w:rsidR="0092137E">
        <w:rPr>
          <w:lang w:val="uk-UA"/>
        </w:rPr>
        <w:t>2 6112</w:t>
      </w:r>
      <w:r w:rsidR="007F344A">
        <w:rPr>
          <w:lang w:val="uk-UA"/>
        </w:rPr>
        <w:t xml:space="preserve"> </w:t>
      </w:r>
      <w:r w:rsidR="007F344A" w:rsidRPr="00460716">
        <w:rPr>
          <w:lang w:val="uk-UA"/>
        </w:rPr>
        <w:t>матеріал</w:t>
      </w:r>
      <w:r w:rsidR="007F344A">
        <w:rPr>
          <w:lang w:val="uk-UA"/>
        </w:rPr>
        <w:t>ів</w:t>
      </w:r>
      <w:r w:rsidR="007F344A" w:rsidRPr="00460716">
        <w:rPr>
          <w:lang w:val="uk-UA"/>
        </w:rPr>
        <w:t xml:space="preserve">, що </w:t>
      </w:r>
      <w:r w:rsidR="007F344A">
        <w:rPr>
          <w:lang w:val="uk-UA"/>
        </w:rPr>
        <w:t xml:space="preserve"> </w:t>
      </w:r>
      <w:r w:rsidR="007D668D">
        <w:rPr>
          <w:lang w:val="uk-UA"/>
        </w:rPr>
        <w:t xml:space="preserve">        </w:t>
      </w:r>
      <w:r w:rsidR="007F344A" w:rsidRPr="0092137E">
        <w:rPr>
          <w:lang w:val="uk-UA"/>
        </w:rPr>
        <w:t xml:space="preserve">на </w:t>
      </w:r>
      <w:r w:rsidR="0092137E" w:rsidRPr="0092137E">
        <w:rPr>
          <w:lang w:val="uk-UA"/>
        </w:rPr>
        <w:t>1,7</w:t>
      </w:r>
      <w:r w:rsidR="003F51E8" w:rsidRPr="0092137E">
        <w:rPr>
          <w:lang w:val="uk-UA"/>
        </w:rPr>
        <w:t xml:space="preserve"> %</w:t>
      </w:r>
      <w:r w:rsidR="007F344A" w:rsidRPr="0092137E">
        <w:rPr>
          <w:lang w:val="uk-UA"/>
        </w:rPr>
        <w:t xml:space="preserve"> </w:t>
      </w:r>
      <w:r w:rsidR="0092137E" w:rsidRPr="0092137E">
        <w:rPr>
          <w:lang w:val="uk-UA"/>
        </w:rPr>
        <w:t>менше</w:t>
      </w:r>
      <w:r w:rsidR="007D668D" w:rsidRPr="0092137E">
        <w:rPr>
          <w:lang w:val="uk-UA"/>
        </w:rPr>
        <w:t xml:space="preserve"> ( на </w:t>
      </w:r>
      <w:r w:rsidR="0092137E" w:rsidRPr="0092137E">
        <w:rPr>
          <w:lang w:val="uk-UA"/>
        </w:rPr>
        <w:t>46</w:t>
      </w:r>
      <w:r w:rsidRPr="0092137E">
        <w:rPr>
          <w:lang w:val="uk-UA"/>
        </w:rPr>
        <w:t xml:space="preserve"> матеріалів)</w:t>
      </w:r>
      <w:r w:rsidR="007F344A" w:rsidRPr="0092137E">
        <w:rPr>
          <w:lang w:val="uk-UA"/>
        </w:rPr>
        <w:t>, ніж у 20</w:t>
      </w:r>
      <w:r w:rsidR="0092137E" w:rsidRPr="0092137E">
        <w:rPr>
          <w:lang w:val="uk-UA"/>
        </w:rPr>
        <w:t>24</w:t>
      </w:r>
      <w:r w:rsidR="00290D32" w:rsidRPr="0092137E">
        <w:rPr>
          <w:lang w:val="uk-UA"/>
        </w:rPr>
        <w:t xml:space="preserve"> </w:t>
      </w:r>
      <w:r w:rsidR="002D4DC7" w:rsidRPr="0092137E">
        <w:rPr>
          <w:lang w:val="uk-UA"/>
        </w:rPr>
        <w:t xml:space="preserve"> </w:t>
      </w:r>
      <w:r w:rsidR="007F344A" w:rsidRPr="0092137E">
        <w:rPr>
          <w:lang w:val="uk-UA"/>
        </w:rPr>
        <w:t xml:space="preserve">році – </w:t>
      </w:r>
      <w:r w:rsidR="0092137E" w:rsidRPr="0092137E">
        <w:rPr>
          <w:lang w:val="uk-UA"/>
        </w:rPr>
        <w:t>39</w:t>
      </w:r>
      <w:r w:rsidR="007F344A" w:rsidRPr="0092137E">
        <w:rPr>
          <w:lang w:val="uk-UA"/>
        </w:rPr>
        <w:t xml:space="preserve"> матеріалів з залишку та надійшло </w:t>
      </w:r>
      <w:r w:rsidR="0092137E" w:rsidRPr="0092137E">
        <w:rPr>
          <w:lang w:val="uk-UA"/>
        </w:rPr>
        <w:t xml:space="preserve">    </w:t>
      </w:r>
      <w:r w:rsidR="0092137E">
        <w:rPr>
          <w:lang w:val="uk-UA"/>
        </w:rPr>
        <w:t xml:space="preserve"> </w:t>
      </w:r>
      <w:r w:rsidR="0092137E" w:rsidRPr="0092137E">
        <w:rPr>
          <w:lang w:val="uk-UA"/>
        </w:rPr>
        <w:t xml:space="preserve"> 2</w:t>
      </w:r>
      <w:r w:rsidR="0092137E">
        <w:rPr>
          <w:lang w:val="uk-UA"/>
        </w:rPr>
        <w:t xml:space="preserve"> 737</w:t>
      </w:r>
      <w:r w:rsidR="007F344A" w:rsidRPr="00460716">
        <w:rPr>
          <w:lang w:val="uk-UA"/>
        </w:rPr>
        <w:t xml:space="preserve"> адміністративн</w:t>
      </w:r>
      <w:r w:rsidR="007F344A">
        <w:rPr>
          <w:lang w:val="uk-UA"/>
        </w:rPr>
        <w:t>их матеріал</w:t>
      </w:r>
      <w:r w:rsidR="003F51E8">
        <w:rPr>
          <w:lang w:val="uk-UA"/>
        </w:rPr>
        <w:t>ів</w:t>
      </w:r>
      <w:r w:rsidR="007F344A">
        <w:rPr>
          <w:lang w:val="uk-UA"/>
        </w:rPr>
        <w:t>.</w:t>
      </w:r>
    </w:p>
    <w:p w:rsidR="007F344A" w:rsidRPr="009C21EE" w:rsidRDefault="007F344A" w:rsidP="00704DB8">
      <w:pPr>
        <w:pStyle w:val="21"/>
        <w:spacing w:after="0" w:line="276" w:lineRule="auto"/>
        <w:ind w:left="0" w:firstLine="708"/>
        <w:jc w:val="both"/>
        <w:rPr>
          <w:lang w:val="ru-RU"/>
        </w:rPr>
      </w:pPr>
      <w:r w:rsidRPr="009C21EE">
        <w:rPr>
          <w:lang w:val="ru-RU"/>
        </w:rPr>
        <w:t>У 20</w:t>
      </w:r>
      <w:r w:rsidR="003F51E8">
        <w:rPr>
          <w:lang w:val="ru-RU"/>
        </w:rPr>
        <w:t>2</w:t>
      </w:r>
      <w:r w:rsidR="007D64FC">
        <w:rPr>
          <w:lang w:val="ru-RU"/>
        </w:rPr>
        <w:t>5</w:t>
      </w:r>
      <w:r w:rsidRPr="009C21EE">
        <w:rPr>
          <w:lang w:val="ru-RU"/>
        </w:rPr>
        <w:t xml:space="preserve"> </w:t>
      </w:r>
      <w:proofErr w:type="spellStart"/>
      <w:r w:rsidRPr="009C21EE">
        <w:rPr>
          <w:lang w:val="ru-RU"/>
        </w:rPr>
        <w:t>році</w:t>
      </w:r>
      <w:proofErr w:type="spellEnd"/>
      <w:r w:rsidRPr="009C21EE">
        <w:rPr>
          <w:lang w:val="ru-RU"/>
        </w:rPr>
        <w:t xml:space="preserve"> </w:t>
      </w:r>
      <w:proofErr w:type="spellStart"/>
      <w:r w:rsidRPr="009C21EE">
        <w:rPr>
          <w:lang w:val="ru-RU"/>
        </w:rPr>
        <w:t>кількість</w:t>
      </w:r>
      <w:proofErr w:type="spellEnd"/>
      <w:r w:rsidRPr="009C21EE">
        <w:rPr>
          <w:lang w:val="ru-RU"/>
        </w:rPr>
        <w:t xml:space="preserve"> </w:t>
      </w:r>
      <w:proofErr w:type="spellStart"/>
      <w:r w:rsidRPr="009C21EE">
        <w:rPr>
          <w:lang w:val="ru-RU"/>
        </w:rPr>
        <w:t>розг</w:t>
      </w:r>
      <w:r>
        <w:rPr>
          <w:lang w:val="ru-RU"/>
        </w:rPr>
        <w:t>лянутих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матеріалів</w:t>
      </w:r>
      <w:proofErr w:type="spellEnd"/>
      <w:r>
        <w:rPr>
          <w:lang w:val="ru-RU"/>
        </w:rPr>
        <w:t xml:space="preserve"> становить </w:t>
      </w:r>
      <w:r w:rsidR="001D41F2">
        <w:rPr>
          <w:lang w:val="ru-RU"/>
        </w:rPr>
        <w:t xml:space="preserve"> </w:t>
      </w:r>
      <w:r w:rsidR="007D668D">
        <w:rPr>
          <w:lang w:val="ru-RU"/>
        </w:rPr>
        <w:t>2</w:t>
      </w:r>
      <w:r w:rsidR="007D64FC">
        <w:rPr>
          <w:lang w:val="ru-RU"/>
        </w:rPr>
        <w:t xml:space="preserve">594, </w:t>
      </w:r>
      <w:proofErr w:type="spellStart"/>
      <w:r w:rsidR="007D64FC">
        <w:rPr>
          <w:lang w:val="ru-RU"/>
        </w:rPr>
        <w:t>що</w:t>
      </w:r>
      <w:proofErr w:type="spellEnd"/>
      <w:r w:rsidR="007D64FC">
        <w:rPr>
          <w:lang w:val="ru-RU"/>
        </w:rPr>
        <w:t xml:space="preserve"> на 2,3</w:t>
      </w:r>
      <w:r>
        <w:rPr>
          <w:lang w:val="ru-RU"/>
        </w:rPr>
        <w:t xml:space="preserve"> %</w:t>
      </w:r>
      <w:r w:rsidR="00D13D8C">
        <w:rPr>
          <w:lang w:val="ru-RU"/>
        </w:rPr>
        <w:t xml:space="preserve"> </w:t>
      </w:r>
      <w:proofErr w:type="gramStart"/>
      <w:r w:rsidR="00D13D8C">
        <w:rPr>
          <w:lang w:val="ru-RU"/>
        </w:rPr>
        <w:t xml:space="preserve">( </w:t>
      </w:r>
      <w:proofErr w:type="gramEnd"/>
      <w:r w:rsidR="00D13D8C">
        <w:rPr>
          <w:lang w:val="ru-RU"/>
        </w:rPr>
        <w:t xml:space="preserve">на </w:t>
      </w:r>
      <w:r w:rsidR="007D64FC">
        <w:rPr>
          <w:lang w:val="ru-RU"/>
        </w:rPr>
        <w:t>62</w:t>
      </w:r>
      <w:r w:rsidR="00D13D8C">
        <w:rPr>
          <w:lang w:val="ru-RU"/>
        </w:rPr>
        <w:t xml:space="preserve"> </w:t>
      </w:r>
      <w:proofErr w:type="spellStart"/>
      <w:r w:rsidR="00D13D8C">
        <w:rPr>
          <w:lang w:val="ru-RU"/>
        </w:rPr>
        <w:t>справ</w:t>
      </w:r>
      <w:r w:rsidR="007D64FC">
        <w:rPr>
          <w:lang w:val="ru-RU"/>
        </w:rPr>
        <w:t>и</w:t>
      </w:r>
      <w:proofErr w:type="spellEnd"/>
      <w:r w:rsidR="00D13D8C">
        <w:rPr>
          <w:lang w:val="ru-RU"/>
        </w:rPr>
        <w:t xml:space="preserve">) </w:t>
      </w:r>
      <w:proofErr w:type="spellStart"/>
      <w:r w:rsidR="007D64FC">
        <w:rPr>
          <w:lang w:val="ru-RU"/>
        </w:rPr>
        <w:t>менше</w:t>
      </w:r>
      <w:proofErr w:type="spellEnd"/>
      <w:r>
        <w:rPr>
          <w:lang w:val="ru-RU"/>
        </w:rPr>
        <w:t xml:space="preserve">,  </w:t>
      </w:r>
      <w:proofErr w:type="spellStart"/>
      <w:r>
        <w:rPr>
          <w:lang w:val="ru-RU"/>
        </w:rPr>
        <w:t>ніж</w:t>
      </w:r>
      <w:proofErr w:type="spellEnd"/>
      <w:r>
        <w:rPr>
          <w:lang w:val="ru-RU"/>
        </w:rPr>
        <w:t xml:space="preserve"> </w:t>
      </w:r>
      <w:r w:rsidR="00D13D8C">
        <w:rPr>
          <w:lang w:val="ru-RU"/>
        </w:rPr>
        <w:t xml:space="preserve"> </w:t>
      </w:r>
      <w:r>
        <w:rPr>
          <w:lang w:val="ru-RU"/>
        </w:rPr>
        <w:t>у  202</w:t>
      </w:r>
      <w:r w:rsidR="0092137E">
        <w:rPr>
          <w:lang w:val="ru-RU"/>
        </w:rPr>
        <w:t>4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році</w:t>
      </w:r>
      <w:proofErr w:type="spellEnd"/>
      <w:r>
        <w:rPr>
          <w:lang w:val="ru-RU"/>
        </w:rPr>
        <w:t xml:space="preserve"> – </w:t>
      </w:r>
      <w:r w:rsidR="0092137E">
        <w:rPr>
          <w:lang w:val="ru-RU"/>
        </w:rPr>
        <w:t>2656</w:t>
      </w:r>
      <w:r w:rsidRPr="009C21EE">
        <w:rPr>
          <w:lang w:val="ru-RU"/>
        </w:rPr>
        <w:t xml:space="preserve"> </w:t>
      </w:r>
      <w:proofErr w:type="spellStart"/>
      <w:r w:rsidRPr="009C21EE">
        <w:rPr>
          <w:lang w:val="ru-RU"/>
        </w:rPr>
        <w:t>матеріал</w:t>
      </w:r>
      <w:r w:rsidR="001D41F2">
        <w:rPr>
          <w:lang w:val="ru-RU"/>
        </w:rPr>
        <w:t>ів</w:t>
      </w:r>
      <w:proofErr w:type="spellEnd"/>
      <w:r w:rsidRPr="009C21EE">
        <w:rPr>
          <w:lang w:val="ru-RU"/>
        </w:rPr>
        <w:t xml:space="preserve">. </w:t>
      </w:r>
    </w:p>
    <w:p w:rsidR="009C21EE" w:rsidRDefault="007F344A" w:rsidP="00704DB8">
      <w:pPr>
        <w:pStyle w:val="21"/>
        <w:spacing w:after="0" w:line="276" w:lineRule="auto"/>
        <w:ind w:firstLine="425"/>
        <w:jc w:val="both"/>
        <w:rPr>
          <w:noProof/>
          <w:lang w:val="ru-RU" w:eastAsia="ru-RU"/>
        </w:rPr>
      </w:pPr>
      <w:proofErr w:type="spellStart"/>
      <w:r>
        <w:rPr>
          <w:lang w:val="ru-RU"/>
        </w:rPr>
        <w:t>Залишок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кінець</w:t>
      </w:r>
      <w:proofErr w:type="spellEnd"/>
      <w:r>
        <w:rPr>
          <w:lang w:val="ru-RU"/>
        </w:rPr>
        <w:t xml:space="preserve"> 202</w:t>
      </w:r>
      <w:r w:rsidR="007D64FC">
        <w:rPr>
          <w:lang w:val="ru-RU"/>
        </w:rPr>
        <w:t>5</w:t>
      </w:r>
      <w:r w:rsidRPr="009C21EE">
        <w:rPr>
          <w:lang w:val="ru-RU"/>
        </w:rPr>
        <w:t xml:space="preserve"> року </w:t>
      </w:r>
      <w:proofErr w:type="spellStart"/>
      <w:r w:rsidRPr="009C21EE">
        <w:rPr>
          <w:lang w:val="ru-RU"/>
        </w:rPr>
        <w:t>склав</w:t>
      </w:r>
      <w:proofErr w:type="spellEnd"/>
      <w:r w:rsidRPr="009C21EE">
        <w:rPr>
          <w:lang w:val="ru-RU"/>
        </w:rPr>
        <w:t xml:space="preserve"> </w:t>
      </w:r>
      <w:r w:rsidR="007D668D">
        <w:rPr>
          <w:lang w:val="ru-RU"/>
        </w:rPr>
        <w:t>1</w:t>
      </w:r>
      <w:r w:rsidR="007D64FC">
        <w:rPr>
          <w:lang w:val="ru-RU"/>
        </w:rPr>
        <w:t>36</w:t>
      </w:r>
      <w:r w:rsidRPr="009C21EE">
        <w:rPr>
          <w:lang w:val="ru-RU"/>
        </w:rPr>
        <w:t xml:space="preserve"> </w:t>
      </w:r>
      <w:proofErr w:type="spellStart"/>
      <w:proofErr w:type="gramStart"/>
      <w:r w:rsidRPr="009C21EE">
        <w:rPr>
          <w:lang w:val="ru-RU"/>
        </w:rPr>
        <w:t>матер</w:t>
      </w:r>
      <w:proofErr w:type="gramEnd"/>
      <w:r w:rsidRPr="009C21EE">
        <w:rPr>
          <w:lang w:val="ru-RU"/>
        </w:rPr>
        <w:t>іалів</w:t>
      </w:r>
      <w:proofErr w:type="spellEnd"/>
      <w:r w:rsidRPr="009C21EE">
        <w:rPr>
          <w:lang w:val="ru-RU"/>
        </w:rPr>
        <w:t xml:space="preserve">, </w:t>
      </w:r>
      <w:proofErr w:type="spellStart"/>
      <w:r w:rsidRPr="009C21EE">
        <w:rPr>
          <w:lang w:val="ru-RU"/>
        </w:rPr>
        <w:t>що</w:t>
      </w:r>
      <w:proofErr w:type="spellEnd"/>
      <w:r w:rsidRPr="009C21EE">
        <w:rPr>
          <w:lang w:val="ru-RU"/>
        </w:rPr>
        <w:t xml:space="preserve"> на </w:t>
      </w:r>
      <w:r w:rsidR="007D64FC">
        <w:rPr>
          <w:lang w:val="ru-RU"/>
        </w:rPr>
        <w:t>16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матеріал</w:t>
      </w:r>
      <w:r w:rsidR="00704DB8">
        <w:rPr>
          <w:lang w:val="ru-RU"/>
        </w:rPr>
        <w:t>ів</w:t>
      </w:r>
      <w:proofErr w:type="spellEnd"/>
      <w:r w:rsidRPr="009C21EE">
        <w:rPr>
          <w:lang w:val="ru-RU"/>
        </w:rPr>
        <w:t xml:space="preserve"> </w:t>
      </w:r>
      <w:proofErr w:type="spellStart"/>
      <w:r w:rsidR="00704DB8">
        <w:rPr>
          <w:lang w:val="ru-RU"/>
        </w:rPr>
        <w:t>більше</w:t>
      </w:r>
      <w:proofErr w:type="spellEnd"/>
      <w:r w:rsidRPr="009C21EE">
        <w:rPr>
          <w:lang w:val="ru-RU"/>
        </w:rPr>
        <w:t xml:space="preserve">, </w:t>
      </w:r>
      <w:proofErr w:type="spellStart"/>
      <w:r w:rsidRPr="009C21EE">
        <w:rPr>
          <w:lang w:val="ru-RU"/>
        </w:rPr>
        <w:t>ніж</w:t>
      </w:r>
      <w:proofErr w:type="spellEnd"/>
      <w:r w:rsidRPr="009C21EE">
        <w:rPr>
          <w:lang w:val="ru-RU"/>
        </w:rPr>
        <w:t xml:space="preserve"> у 20</w:t>
      </w:r>
      <w:r>
        <w:rPr>
          <w:lang w:val="ru-RU"/>
        </w:rPr>
        <w:t>2</w:t>
      </w:r>
      <w:r w:rsidR="007D64FC">
        <w:rPr>
          <w:lang w:val="ru-RU"/>
        </w:rPr>
        <w:t>4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році</w:t>
      </w:r>
      <w:proofErr w:type="spellEnd"/>
      <w:r>
        <w:rPr>
          <w:lang w:val="ru-RU"/>
        </w:rPr>
        <w:t xml:space="preserve"> – </w:t>
      </w:r>
      <w:r w:rsidR="007D64FC">
        <w:rPr>
          <w:lang w:val="ru-RU"/>
        </w:rPr>
        <w:t>120</w:t>
      </w:r>
      <w:r w:rsidR="003F51E8">
        <w:rPr>
          <w:lang w:val="ru-RU"/>
        </w:rPr>
        <w:t xml:space="preserve"> </w:t>
      </w:r>
      <w:proofErr w:type="spellStart"/>
      <w:r w:rsidR="003F51E8">
        <w:rPr>
          <w:lang w:val="ru-RU"/>
        </w:rPr>
        <w:t>матеріалі</w:t>
      </w:r>
      <w:r w:rsidR="003F51E8">
        <w:rPr>
          <w:noProof/>
          <w:lang w:val="ru-RU" w:eastAsia="ru-RU"/>
        </w:rPr>
        <w:t>в</w:t>
      </w:r>
      <w:proofErr w:type="spellEnd"/>
      <w:r w:rsidR="003F51E8">
        <w:rPr>
          <w:noProof/>
          <w:lang w:val="ru-RU" w:eastAsia="ru-RU"/>
        </w:rPr>
        <w:t>.</w:t>
      </w:r>
    </w:p>
    <w:p w:rsidR="003F51E8" w:rsidRDefault="003F51E8" w:rsidP="003F51E8">
      <w:pPr>
        <w:pStyle w:val="21"/>
        <w:spacing w:after="0" w:line="276" w:lineRule="auto"/>
        <w:ind w:firstLine="425"/>
        <w:rPr>
          <w:lang w:val="ru-RU"/>
        </w:rPr>
      </w:pPr>
    </w:p>
    <w:p w:rsidR="003F51E8" w:rsidRDefault="009C21EE" w:rsidP="00D1046D">
      <w:pPr>
        <w:pStyle w:val="3"/>
        <w:spacing w:line="276" w:lineRule="auto"/>
        <w:ind w:firstLine="425"/>
        <w:jc w:val="both"/>
        <w:rPr>
          <w:sz w:val="24"/>
          <w:szCs w:val="24"/>
          <w:lang w:val="ru-RU"/>
        </w:rPr>
      </w:pPr>
      <w:proofErr w:type="spellStart"/>
      <w:r w:rsidRPr="00D1046D">
        <w:rPr>
          <w:sz w:val="24"/>
          <w:szCs w:val="24"/>
          <w:lang w:val="ru-RU"/>
        </w:rPr>
        <w:t>Найбільш</w:t>
      </w:r>
      <w:proofErr w:type="spellEnd"/>
      <w:r w:rsidRPr="00D1046D">
        <w:rPr>
          <w:sz w:val="24"/>
          <w:szCs w:val="24"/>
          <w:lang w:val="ru-RU"/>
        </w:rPr>
        <w:t xml:space="preserve"> </w:t>
      </w:r>
      <w:proofErr w:type="spellStart"/>
      <w:r w:rsidRPr="00D1046D">
        <w:rPr>
          <w:sz w:val="24"/>
          <w:szCs w:val="24"/>
          <w:lang w:val="ru-RU"/>
        </w:rPr>
        <w:t>поширеною</w:t>
      </w:r>
      <w:proofErr w:type="spellEnd"/>
      <w:r w:rsidRPr="00D1046D">
        <w:rPr>
          <w:sz w:val="24"/>
          <w:szCs w:val="24"/>
          <w:lang w:val="ru-RU"/>
        </w:rPr>
        <w:t xml:space="preserve"> </w:t>
      </w:r>
      <w:proofErr w:type="spellStart"/>
      <w:r w:rsidRPr="00D1046D">
        <w:rPr>
          <w:sz w:val="24"/>
          <w:szCs w:val="24"/>
          <w:lang w:val="ru-RU"/>
        </w:rPr>
        <w:t>категорією</w:t>
      </w:r>
      <w:proofErr w:type="spellEnd"/>
      <w:r w:rsidRPr="00D1046D">
        <w:rPr>
          <w:sz w:val="24"/>
          <w:szCs w:val="24"/>
          <w:lang w:val="ru-RU"/>
        </w:rPr>
        <w:t xml:space="preserve"> </w:t>
      </w:r>
      <w:proofErr w:type="spellStart"/>
      <w:r w:rsidRPr="00D1046D">
        <w:rPr>
          <w:sz w:val="24"/>
          <w:szCs w:val="24"/>
          <w:lang w:val="ru-RU"/>
        </w:rPr>
        <w:t>матеріалів</w:t>
      </w:r>
      <w:proofErr w:type="spellEnd"/>
      <w:r w:rsidRPr="00D1046D">
        <w:rPr>
          <w:sz w:val="24"/>
          <w:szCs w:val="24"/>
          <w:lang w:val="ru-RU"/>
        </w:rPr>
        <w:t xml:space="preserve"> про </w:t>
      </w:r>
      <w:proofErr w:type="spellStart"/>
      <w:r w:rsidRPr="00D1046D">
        <w:rPr>
          <w:sz w:val="24"/>
          <w:szCs w:val="24"/>
          <w:lang w:val="ru-RU"/>
        </w:rPr>
        <w:t>адміністративні</w:t>
      </w:r>
      <w:proofErr w:type="spellEnd"/>
      <w:r w:rsidRPr="00D1046D">
        <w:rPr>
          <w:sz w:val="24"/>
          <w:szCs w:val="24"/>
          <w:lang w:val="ru-RU"/>
        </w:rPr>
        <w:t xml:space="preserve"> </w:t>
      </w:r>
      <w:proofErr w:type="spellStart"/>
      <w:r w:rsidRPr="00D1046D">
        <w:rPr>
          <w:sz w:val="24"/>
          <w:szCs w:val="24"/>
          <w:lang w:val="ru-RU"/>
        </w:rPr>
        <w:t>правопорушення</w:t>
      </w:r>
      <w:proofErr w:type="spellEnd"/>
      <w:r w:rsidRPr="00D1046D">
        <w:rPr>
          <w:sz w:val="24"/>
          <w:szCs w:val="24"/>
          <w:lang w:val="ru-RU"/>
        </w:rPr>
        <w:t xml:space="preserve">, </w:t>
      </w:r>
      <w:proofErr w:type="spellStart"/>
      <w:r w:rsidRPr="00D1046D">
        <w:rPr>
          <w:sz w:val="24"/>
          <w:szCs w:val="24"/>
          <w:lang w:val="ru-RU"/>
        </w:rPr>
        <w:t>що</w:t>
      </w:r>
      <w:proofErr w:type="spellEnd"/>
      <w:r w:rsidRPr="00D1046D">
        <w:rPr>
          <w:sz w:val="24"/>
          <w:szCs w:val="24"/>
          <w:lang w:val="ru-RU"/>
        </w:rPr>
        <w:t xml:space="preserve"> </w:t>
      </w:r>
      <w:proofErr w:type="spellStart"/>
      <w:r w:rsidRPr="00D1046D">
        <w:rPr>
          <w:sz w:val="24"/>
          <w:szCs w:val="24"/>
          <w:lang w:val="ru-RU"/>
        </w:rPr>
        <w:t>перебували</w:t>
      </w:r>
      <w:proofErr w:type="spellEnd"/>
      <w:r w:rsidRPr="00D1046D">
        <w:rPr>
          <w:sz w:val="24"/>
          <w:szCs w:val="24"/>
          <w:lang w:val="ru-RU"/>
        </w:rPr>
        <w:t xml:space="preserve"> у </w:t>
      </w:r>
      <w:proofErr w:type="spellStart"/>
      <w:r w:rsidRPr="00D1046D">
        <w:rPr>
          <w:sz w:val="24"/>
          <w:szCs w:val="24"/>
          <w:lang w:val="ru-RU"/>
        </w:rPr>
        <w:t>провадженні</w:t>
      </w:r>
      <w:proofErr w:type="spellEnd"/>
      <w:r w:rsidRPr="00D1046D">
        <w:rPr>
          <w:sz w:val="24"/>
          <w:szCs w:val="24"/>
          <w:lang w:val="ru-RU"/>
        </w:rPr>
        <w:t xml:space="preserve"> районного суду у  20</w:t>
      </w:r>
      <w:r w:rsidR="00FF6EB1">
        <w:rPr>
          <w:sz w:val="24"/>
          <w:szCs w:val="24"/>
          <w:lang w:val="ru-RU"/>
        </w:rPr>
        <w:t>2</w:t>
      </w:r>
      <w:r w:rsidR="007D64FC">
        <w:rPr>
          <w:sz w:val="24"/>
          <w:szCs w:val="24"/>
          <w:lang w:val="ru-RU"/>
        </w:rPr>
        <w:t>5</w:t>
      </w:r>
      <w:r w:rsidRPr="00D1046D">
        <w:rPr>
          <w:sz w:val="24"/>
          <w:szCs w:val="24"/>
          <w:lang w:val="ru-RU"/>
        </w:rPr>
        <w:t xml:space="preserve"> </w:t>
      </w:r>
      <w:proofErr w:type="spellStart"/>
      <w:r w:rsidRPr="00D1046D">
        <w:rPr>
          <w:sz w:val="24"/>
          <w:szCs w:val="24"/>
          <w:lang w:val="ru-RU"/>
        </w:rPr>
        <w:t>році</w:t>
      </w:r>
      <w:proofErr w:type="spellEnd"/>
      <w:r w:rsidRPr="00D1046D">
        <w:rPr>
          <w:sz w:val="24"/>
          <w:szCs w:val="24"/>
          <w:lang w:val="ru-RU"/>
        </w:rPr>
        <w:t xml:space="preserve">, </w:t>
      </w:r>
      <w:proofErr w:type="spellStart"/>
      <w:r w:rsidRPr="00D1046D">
        <w:rPr>
          <w:sz w:val="24"/>
          <w:szCs w:val="24"/>
          <w:lang w:val="ru-RU"/>
        </w:rPr>
        <w:t>є</w:t>
      </w:r>
      <w:proofErr w:type="spellEnd"/>
      <w:r w:rsidRPr="00D1046D">
        <w:rPr>
          <w:sz w:val="24"/>
          <w:szCs w:val="24"/>
          <w:lang w:val="ru-RU"/>
        </w:rPr>
        <w:t xml:space="preserve"> </w:t>
      </w:r>
      <w:proofErr w:type="spellStart"/>
      <w:r w:rsidRPr="00D1046D">
        <w:rPr>
          <w:sz w:val="24"/>
          <w:szCs w:val="24"/>
          <w:lang w:val="ru-RU"/>
        </w:rPr>
        <w:t>матеріали</w:t>
      </w:r>
      <w:proofErr w:type="spellEnd"/>
      <w:r w:rsidRPr="00D1046D">
        <w:rPr>
          <w:sz w:val="24"/>
          <w:szCs w:val="24"/>
          <w:lang w:val="ru-RU"/>
        </w:rPr>
        <w:t xml:space="preserve"> </w:t>
      </w:r>
      <w:proofErr w:type="spellStart"/>
      <w:r w:rsidRPr="00D1046D">
        <w:rPr>
          <w:sz w:val="24"/>
          <w:szCs w:val="24"/>
          <w:lang w:val="ru-RU"/>
        </w:rPr>
        <w:t>складенні</w:t>
      </w:r>
      <w:proofErr w:type="spellEnd"/>
      <w:r w:rsidRPr="00D1046D">
        <w:rPr>
          <w:sz w:val="24"/>
          <w:szCs w:val="24"/>
          <w:lang w:val="ru-RU"/>
        </w:rPr>
        <w:t xml:space="preserve"> за </w:t>
      </w:r>
      <w:proofErr w:type="spellStart"/>
      <w:r w:rsidRPr="00D1046D">
        <w:rPr>
          <w:sz w:val="24"/>
          <w:szCs w:val="24"/>
          <w:lang w:val="ru-RU"/>
        </w:rPr>
        <w:t>статтею</w:t>
      </w:r>
      <w:proofErr w:type="spellEnd"/>
      <w:r w:rsidR="003F51E8">
        <w:rPr>
          <w:sz w:val="24"/>
          <w:szCs w:val="24"/>
          <w:lang w:val="ru-RU"/>
        </w:rPr>
        <w:t xml:space="preserve"> </w:t>
      </w:r>
      <w:r w:rsidR="003F51E8" w:rsidRPr="00B613D4">
        <w:rPr>
          <w:sz w:val="24"/>
          <w:szCs w:val="24"/>
          <w:lang w:val="ru-RU"/>
        </w:rPr>
        <w:t>172-20</w:t>
      </w:r>
      <w:r w:rsidR="00FF6EB1" w:rsidRPr="00B613D4">
        <w:rPr>
          <w:sz w:val="24"/>
          <w:szCs w:val="24"/>
          <w:lang w:val="ru-RU"/>
        </w:rPr>
        <w:t xml:space="preserve"> </w:t>
      </w:r>
      <w:proofErr w:type="spellStart"/>
      <w:r w:rsidR="00FF6EB1" w:rsidRPr="00B613D4">
        <w:rPr>
          <w:sz w:val="24"/>
          <w:szCs w:val="24"/>
          <w:lang w:val="ru-RU"/>
        </w:rPr>
        <w:t>КУпАП</w:t>
      </w:r>
      <w:proofErr w:type="spellEnd"/>
      <w:r w:rsidR="00FF6EB1" w:rsidRPr="00B613D4">
        <w:rPr>
          <w:sz w:val="24"/>
          <w:szCs w:val="24"/>
          <w:lang w:val="ru-RU"/>
        </w:rPr>
        <w:t xml:space="preserve"> (</w:t>
      </w:r>
      <w:proofErr w:type="spellStart"/>
      <w:r w:rsidR="003F51E8" w:rsidRPr="00B613D4">
        <w:rPr>
          <w:sz w:val="24"/>
          <w:szCs w:val="24"/>
          <w:lang w:val="ru-RU"/>
        </w:rPr>
        <w:t>Розпивання</w:t>
      </w:r>
      <w:proofErr w:type="spellEnd"/>
      <w:r w:rsidR="003F51E8" w:rsidRPr="00B613D4">
        <w:rPr>
          <w:sz w:val="24"/>
          <w:szCs w:val="24"/>
          <w:lang w:val="ru-RU"/>
        </w:rPr>
        <w:t xml:space="preserve"> пива, </w:t>
      </w:r>
      <w:proofErr w:type="spellStart"/>
      <w:r w:rsidR="003F51E8" w:rsidRPr="00B613D4">
        <w:rPr>
          <w:sz w:val="24"/>
          <w:szCs w:val="24"/>
          <w:lang w:val="ru-RU"/>
        </w:rPr>
        <w:t>алкогольних</w:t>
      </w:r>
      <w:proofErr w:type="spellEnd"/>
      <w:r w:rsidR="003F51E8" w:rsidRPr="00B613D4">
        <w:rPr>
          <w:sz w:val="24"/>
          <w:szCs w:val="24"/>
          <w:lang w:val="ru-RU"/>
        </w:rPr>
        <w:t xml:space="preserve">, </w:t>
      </w:r>
      <w:proofErr w:type="spellStart"/>
      <w:r w:rsidR="003F51E8" w:rsidRPr="00B613D4">
        <w:rPr>
          <w:sz w:val="24"/>
          <w:szCs w:val="24"/>
          <w:lang w:val="ru-RU"/>
        </w:rPr>
        <w:t>слабоалкогольних</w:t>
      </w:r>
      <w:proofErr w:type="spellEnd"/>
      <w:r w:rsidR="003F51E8" w:rsidRPr="00B613D4">
        <w:rPr>
          <w:sz w:val="24"/>
          <w:szCs w:val="24"/>
          <w:lang w:val="ru-RU"/>
        </w:rPr>
        <w:t xml:space="preserve"> </w:t>
      </w:r>
      <w:proofErr w:type="spellStart"/>
      <w:r w:rsidR="003F51E8" w:rsidRPr="00B613D4">
        <w:rPr>
          <w:sz w:val="24"/>
          <w:szCs w:val="24"/>
          <w:lang w:val="ru-RU"/>
        </w:rPr>
        <w:t>напоїв</w:t>
      </w:r>
      <w:proofErr w:type="spellEnd"/>
      <w:r w:rsidR="003F51E8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="003F51E8">
        <w:rPr>
          <w:sz w:val="24"/>
          <w:szCs w:val="24"/>
          <w:lang w:val="ru-RU"/>
        </w:rPr>
        <w:t>в</w:t>
      </w:r>
      <w:proofErr w:type="gramEnd"/>
      <w:r w:rsidR="003F51E8">
        <w:rPr>
          <w:sz w:val="24"/>
          <w:szCs w:val="24"/>
          <w:lang w:val="ru-RU"/>
        </w:rPr>
        <w:t>ійськовослужбовцями</w:t>
      </w:r>
      <w:proofErr w:type="spellEnd"/>
      <w:r w:rsidR="00FF6EB1">
        <w:rPr>
          <w:sz w:val="24"/>
          <w:szCs w:val="24"/>
          <w:lang w:val="ru-RU"/>
        </w:rPr>
        <w:t xml:space="preserve">) – </w:t>
      </w:r>
      <w:r w:rsidR="00B613D4">
        <w:rPr>
          <w:sz w:val="24"/>
          <w:szCs w:val="24"/>
          <w:lang w:val="ru-RU"/>
        </w:rPr>
        <w:t>1 318</w:t>
      </w:r>
      <w:r w:rsidR="00FF6EB1">
        <w:rPr>
          <w:sz w:val="24"/>
          <w:szCs w:val="24"/>
          <w:lang w:val="ru-RU"/>
        </w:rPr>
        <w:t xml:space="preserve"> </w:t>
      </w:r>
      <w:proofErr w:type="spellStart"/>
      <w:r w:rsidR="00FF6EB1">
        <w:rPr>
          <w:sz w:val="24"/>
          <w:szCs w:val="24"/>
          <w:lang w:val="ru-RU"/>
        </w:rPr>
        <w:t>матеріал</w:t>
      </w:r>
      <w:r w:rsidR="00704DB8">
        <w:rPr>
          <w:sz w:val="24"/>
          <w:szCs w:val="24"/>
          <w:lang w:val="ru-RU"/>
        </w:rPr>
        <w:t>ів</w:t>
      </w:r>
      <w:proofErr w:type="spellEnd"/>
      <w:r w:rsidR="003F51E8">
        <w:rPr>
          <w:sz w:val="24"/>
          <w:szCs w:val="24"/>
          <w:lang w:val="ru-RU"/>
        </w:rPr>
        <w:t>.</w:t>
      </w:r>
    </w:p>
    <w:p w:rsidR="009C21EE" w:rsidRPr="009C21EE" w:rsidRDefault="009C21EE" w:rsidP="009C21EE">
      <w:pPr>
        <w:pStyle w:val="3"/>
        <w:rPr>
          <w:b/>
          <w:i/>
          <w:lang w:val="ru-RU"/>
        </w:rPr>
      </w:pPr>
    </w:p>
    <w:p w:rsidR="009C21EE" w:rsidRDefault="009C21EE" w:rsidP="00167913">
      <w:pPr>
        <w:pStyle w:val="21"/>
        <w:spacing w:after="0" w:line="276" w:lineRule="auto"/>
        <w:jc w:val="both"/>
        <w:rPr>
          <w:lang w:val="ru-RU"/>
        </w:rPr>
      </w:pPr>
      <w:proofErr w:type="spellStart"/>
      <w:r w:rsidRPr="0070695D">
        <w:rPr>
          <w:b/>
          <w:i/>
          <w:u w:val="single"/>
          <w:lang w:val="ru-RU"/>
        </w:rPr>
        <w:t>Середньомісячне</w:t>
      </w:r>
      <w:proofErr w:type="spellEnd"/>
      <w:r w:rsidRPr="0070695D">
        <w:rPr>
          <w:b/>
          <w:i/>
          <w:u w:val="single"/>
          <w:lang w:val="ru-RU"/>
        </w:rPr>
        <w:t xml:space="preserve"> </w:t>
      </w:r>
      <w:proofErr w:type="spellStart"/>
      <w:r w:rsidRPr="0070695D">
        <w:rPr>
          <w:b/>
          <w:i/>
          <w:u w:val="single"/>
          <w:lang w:val="ru-RU"/>
        </w:rPr>
        <w:t>надходження</w:t>
      </w:r>
      <w:proofErr w:type="spellEnd"/>
      <w:r w:rsidRPr="0070695D">
        <w:rPr>
          <w:b/>
          <w:i/>
          <w:u w:val="single"/>
          <w:lang w:val="ru-RU"/>
        </w:rPr>
        <w:t xml:space="preserve"> справ та </w:t>
      </w:r>
      <w:proofErr w:type="spellStart"/>
      <w:proofErr w:type="gramStart"/>
      <w:r w:rsidRPr="0070695D">
        <w:rPr>
          <w:b/>
          <w:i/>
          <w:u w:val="single"/>
          <w:lang w:val="ru-RU"/>
        </w:rPr>
        <w:t>матер</w:t>
      </w:r>
      <w:proofErr w:type="gramEnd"/>
      <w:r w:rsidRPr="0070695D">
        <w:rPr>
          <w:b/>
          <w:i/>
          <w:u w:val="single"/>
          <w:lang w:val="ru-RU"/>
        </w:rPr>
        <w:t>іалів</w:t>
      </w:r>
      <w:proofErr w:type="spellEnd"/>
      <w:r w:rsidRPr="0070695D">
        <w:rPr>
          <w:b/>
          <w:i/>
          <w:u w:val="single"/>
          <w:lang w:val="ru-RU"/>
        </w:rPr>
        <w:t xml:space="preserve"> на одного </w:t>
      </w:r>
      <w:proofErr w:type="spellStart"/>
      <w:r w:rsidRPr="0070695D">
        <w:rPr>
          <w:b/>
          <w:i/>
          <w:u w:val="single"/>
          <w:lang w:val="ru-RU"/>
        </w:rPr>
        <w:t>суддю</w:t>
      </w:r>
      <w:proofErr w:type="spellEnd"/>
      <w:r w:rsidRPr="0070695D">
        <w:rPr>
          <w:lang w:val="ru-RU"/>
        </w:rPr>
        <w:t xml:space="preserve"> (за </w:t>
      </w:r>
      <w:proofErr w:type="spellStart"/>
      <w:r w:rsidRPr="0070695D">
        <w:rPr>
          <w:lang w:val="ru-RU"/>
        </w:rPr>
        <w:t>штатним</w:t>
      </w:r>
      <w:proofErr w:type="spellEnd"/>
      <w:r w:rsidRPr="0070695D">
        <w:rPr>
          <w:lang w:val="ru-RU"/>
        </w:rPr>
        <w:t xml:space="preserve"> </w:t>
      </w:r>
      <w:proofErr w:type="spellStart"/>
      <w:r w:rsidRPr="0070695D">
        <w:rPr>
          <w:lang w:val="ru-RU"/>
        </w:rPr>
        <w:t>розписом</w:t>
      </w:r>
      <w:proofErr w:type="spellEnd"/>
      <w:r w:rsidRPr="0070695D">
        <w:rPr>
          <w:lang w:val="ru-RU"/>
        </w:rPr>
        <w:t xml:space="preserve"> 10 </w:t>
      </w:r>
      <w:proofErr w:type="spellStart"/>
      <w:r w:rsidRPr="0070695D">
        <w:rPr>
          <w:lang w:val="ru-RU"/>
        </w:rPr>
        <w:t>с</w:t>
      </w:r>
      <w:r w:rsidR="0070695D" w:rsidRPr="0070695D">
        <w:rPr>
          <w:lang w:val="ru-RU"/>
        </w:rPr>
        <w:t>уддів</w:t>
      </w:r>
      <w:proofErr w:type="spellEnd"/>
      <w:r w:rsidR="00F76C19">
        <w:rPr>
          <w:lang w:val="ru-RU"/>
        </w:rPr>
        <w:t xml:space="preserve">, </w:t>
      </w:r>
      <w:proofErr w:type="spellStart"/>
      <w:r w:rsidR="00F76C19">
        <w:rPr>
          <w:lang w:val="ru-RU"/>
        </w:rPr>
        <w:t>фактично</w:t>
      </w:r>
      <w:proofErr w:type="spellEnd"/>
      <w:r w:rsidR="00F76C19">
        <w:rPr>
          <w:lang w:val="ru-RU"/>
        </w:rPr>
        <w:t xml:space="preserve"> </w:t>
      </w:r>
      <w:proofErr w:type="spellStart"/>
      <w:r w:rsidR="00F76C19">
        <w:rPr>
          <w:lang w:val="ru-RU"/>
        </w:rPr>
        <w:t>працювало</w:t>
      </w:r>
      <w:proofErr w:type="spellEnd"/>
      <w:r w:rsidR="00F76C19">
        <w:rPr>
          <w:lang w:val="ru-RU"/>
        </w:rPr>
        <w:t xml:space="preserve"> 7 </w:t>
      </w:r>
      <w:proofErr w:type="spellStart"/>
      <w:r w:rsidR="00F76C19">
        <w:rPr>
          <w:lang w:val="ru-RU"/>
        </w:rPr>
        <w:t>суддів</w:t>
      </w:r>
      <w:proofErr w:type="spellEnd"/>
      <w:r w:rsidR="0070695D" w:rsidRPr="0070695D">
        <w:rPr>
          <w:lang w:val="ru-RU"/>
        </w:rPr>
        <w:t>) у 202</w:t>
      </w:r>
      <w:r w:rsidR="00B613D4">
        <w:rPr>
          <w:lang w:val="ru-RU"/>
        </w:rPr>
        <w:t>5</w:t>
      </w:r>
      <w:r w:rsidR="00CD7874">
        <w:rPr>
          <w:lang w:val="ru-RU"/>
        </w:rPr>
        <w:t xml:space="preserve"> </w:t>
      </w:r>
      <w:proofErr w:type="spellStart"/>
      <w:r w:rsidR="00CD7874">
        <w:rPr>
          <w:lang w:val="ru-RU"/>
        </w:rPr>
        <w:t>році</w:t>
      </w:r>
      <w:proofErr w:type="spellEnd"/>
      <w:r w:rsidR="00CD7874">
        <w:rPr>
          <w:lang w:val="ru-RU"/>
        </w:rPr>
        <w:t xml:space="preserve"> </w:t>
      </w:r>
      <w:proofErr w:type="spellStart"/>
      <w:r w:rsidR="00CD7874" w:rsidRPr="00E743FC">
        <w:rPr>
          <w:lang w:val="ru-RU"/>
        </w:rPr>
        <w:t>складає</w:t>
      </w:r>
      <w:proofErr w:type="spellEnd"/>
      <w:r w:rsidR="00CD7874" w:rsidRPr="00E743FC">
        <w:rPr>
          <w:lang w:val="ru-RU"/>
        </w:rPr>
        <w:t xml:space="preserve"> </w:t>
      </w:r>
      <w:r w:rsidR="00AD15DC">
        <w:rPr>
          <w:lang w:val="ru-RU"/>
        </w:rPr>
        <w:t>1343</w:t>
      </w:r>
      <w:r w:rsidR="00E743FC" w:rsidRPr="00E743FC">
        <w:rPr>
          <w:lang w:val="ru-RU"/>
        </w:rPr>
        <w:t xml:space="preserve"> </w:t>
      </w:r>
      <w:r w:rsidRPr="00E743FC">
        <w:rPr>
          <w:lang w:val="ru-RU"/>
        </w:rPr>
        <w:t xml:space="preserve"> спр</w:t>
      </w:r>
      <w:r w:rsidR="00502FAB" w:rsidRPr="00E743FC">
        <w:rPr>
          <w:lang w:val="ru-RU"/>
        </w:rPr>
        <w:t>ав</w:t>
      </w:r>
      <w:r w:rsidR="00502FAB" w:rsidRPr="00E86A36">
        <w:rPr>
          <w:lang w:val="ru-RU"/>
        </w:rPr>
        <w:t xml:space="preserve"> та </w:t>
      </w:r>
      <w:proofErr w:type="spellStart"/>
      <w:r w:rsidR="00502FAB" w:rsidRPr="00E86A36">
        <w:rPr>
          <w:lang w:val="ru-RU"/>
        </w:rPr>
        <w:t>матеріалів</w:t>
      </w:r>
      <w:proofErr w:type="spellEnd"/>
      <w:r w:rsidR="00502FAB" w:rsidRPr="00E86A36">
        <w:rPr>
          <w:lang w:val="ru-RU"/>
        </w:rPr>
        <w:t>, а в 202</w:t>
      </w:r>
      <w:r w:rsidR="00B613D4">
        <w:rPr>
          <w:lang w:val="ru-RU"/>
        </w:rPr>
        <w:t>4</w:t>
      </w:r>
      <w:r w:rsidR="0070695D" w:rsidRPr="00E86A36">
        <w:rPr>
          <w:lang w:val="ru-RU"/>
        </w:rPr>
        <w:t xml:space="preserve">  - </w:t>
      </w:r>
      <w:r w:rsidR="00EF091B">
        <w:rPr>
          <w:lang w:val="ru-RU"/>
        </w:rPr>
        <w:t>1</w:t>
      </w:r>
      <w:r w:rsidR="00AD15DC">
        <w:rPr>
          <w:lang w:val="ru-RU"/>
        </w:rPr>
        <w:t>739</w:t>
      </w:r>
      <w:r w:rsidRPr="00E86A36">
        <w:rPr>
          <w:lang w:val="ru-RU"/>
        </w:rPr>
        <w:t>.</w:t>
      </w:r>
    </w:p>
    <w:p w:rsidR="00F76C19" w:rsidRPr="007D2C64" w:rsidRDefault="00F76C19" w:rsidP="00F76C19">
      <w:pPr>
        <w:pStyle w:val="21"/>
        <w:spacing w:after="0" w:line="276" w:lineRule="auto"/>
        <w:ind w:firstLine="425"/>
        <w:jc w:val="both"/>
        <w:rPr>
          <w:lang w:val="ru-RU"/>
        </w:rPr>
      </w:pPr>
      <w:proofErr w:type="spellStart"/>
      <w:r>
        <w:rPr>
          <w:rFonts w:eastAsia="Calibri"/>
          <w:bdr w:val="none" w:sz="0" w:space="0" w:color="auto" w:frame="1"/>
          <w:lang w:val="ru-RU" w:eastAsia="uk-UA"/>
        </w:rPr>
        <w:t>Фактична</w:t>
      </w:r>
      <w:proofErr w:type="spellEnd"/>
      <w:r w:rsidRPr="007D2C64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 w:rsidRPr="007D2C64">
        <w:rPr>
          <w:rFonts w:eastAsia="Calibri"/>
          <w:bdr w:val="none" w:sz="0" w:space="0" w:color="auto" w:frame="1"/>
          <w:lang w:val="ru-RU" w:eastAsia="uk-UA"/>
        </w:rPr>
        <w:t>чисе</w:t>
      </w:r>
      <w:r w:rsidR="00B613D4">
        <w:rPr>
          <w:rFonts w:eastAsia="Calibri"/>
          <w:bdr w:val="none" w:sz="0" w:space="0" w:color="auto" w:frame="1"/>
          <w:lang w:val="ru-RU" w:eastAsia="uk-UA"/>
        </w:rPr>
        <w:t>льність</w:t>
      </w:r>
      <w:proofErr w:type="spellEnd"/>
      <w:r w:rsidR="00B613D4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 w:rsidR="00B613D4">
        <w:rPr>
          <w:rFonts w:eastAsia="Calibri"/>
          <w:bdr w:val="none" w:sz="0" w:space="0" w:color="auto" w:frame="1"/>
          <w:lang w:val="ru-RU" w:eastAsia="uk-UA"/>
        </w:rPr>
        <w:t>працюючих</w:t>
      </w:r>
      <w:proofErr w:type="spellEnd"/>
      <w:r w:rsidR="00B613D4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 w:rsidR="00B613D4">
        <w:rPr>
          <w:rFonts w:eastAsia="Calibri"/>
          <w:bdr w:val="none" w:sz="0" w:space="0" w:color="auto" w:frame="1"/>
          <w:lang w:val="ru-RU" w:eastAsia="uk-UA"/>
        </w:rPr>
        <w:t>суддів</w:t>
      </w:r>
      <w:proofErr w:type="spellEnd"/>
      <w:r w:rsidR="00B613D4">
        <w:rPr>
          <w:rFonts w:eastAsia="Calibri"/>
          <w:bdr w:val="none" w:sz="0" w:space="0" w:color="auto" w:frame="1"/>
          <w:lang w:val="ru-RU" w:eastAsia="uk-UA"/>
        </w:rPr>
        <w:t xml:space="preserve"> за 2025</w:t>
      </w:r>
      <w:r w:rsidRPr="007D2C64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proofErr w:type="gramStart"/>
      <w:r w:rsidRPr="007D2C64">
        <w:rPr>
          <w:rFonts w:eastAsia="Calibri"/>
          <w:bdr w:val="none" w:sz="0" w:space="0" w:color="auto" w:frame="1"/>
          <w:lang w:val="ru-RU" w:eastAsia="uk-UA"/>
        </w:rPr>
        <w:t>р</w:t>
      </w:r>
      <w:proofErr w:type="gramEnd"/>
      <w:r w:rsidRPr="007D2C64">
        <w:rPr>
          <w:rFonts w:eastAsia="Calibri"/>
          <w:bdr w:val="none" w:sz="0" w:space="0" w:color="auto" w:frame="1"/>
          <w:lang w:val="ru-RU" w:eastAsia="uk-UA"/>
        </w:rPr>
        <w:t>ік</w:t>
      </w:r>
      <w:proofErr w:type="spellEnd"/>
      <w:r>
        <w:rPr>
          <w:rFonts w:eastAsia="Calibri"/>
          <w:bdr w:val="none" w:sz="0" w:space="0" w:color="auto" w:frame="1"/>
          <w:lang w:val="ru-RU" w:eastAsia="uk-UA"/>
        </w:rPr>
        <w:t xml:space="preserve"> становить 7 </w:t>
      </w:r>
      <w:proofErr w:type="spellStart"/>
      <w:r>
        <w:rPr>
          <w:rFonts w:eastAsia="Calibri"/>
          <w:bdr w:val="none" w:sz="0" w:space="0" w:color="auto" w:frame="1"/>
          <w:lang w:val="ru-RU" w:eastAsia="uk-UA"/>
        </w:rPr>
        <w:t>суддів</w:t>
      </w:r>
      <w:proofErr w:type="spellEnd"/>
      <w:r>
        <w:rPr>
          <w:rFonts w:eastAsia="Calibri"/>
          <w:bdr w:val="none" w:sz="0" w:space="0" w:color="auto" w:frame="1"/>
          <w:lang w:val="ru-RU" w:eastAsia="uk-UA"/>
        </w:rPr>
        <w:t xml:space="preserve">, а </w:t>
      </w:r>
      <w:proofErr w:type="spellStart"/>
      <w:r>
        <w:rPr>
          <w:rFonts w:eastAsia="Calibri"/>
          <w:bdr w:val="none" w:sz="0" w:space="0" w:color="auto" w:frame="1"/>
          <w:lang w:val="ru-RU" w:eastAsia="uk-UA"/>
        </w:rPr>
        <w:t>саме</w:t>
      </w:r>
      <w:proofErr w:type="spellEnd"/>
      <w:r>
        <w:rPr>
          <w:rFonts w:eastAsia="Calibri"/>
          <w:bdr w:val="none" w:sz="0" w:space="0" w:color="auto" w:frame="1"/>
          <w:lang w:val="ru-RU" w:eastAsia="uk-UA"/>
        </w:rPr>
        <w:t>:</w:t>
      </w:r>
    </w:p>
    <w:p w:rsidR="00F76C19" w:rsidRDefault="00B613D4" w:rsidP="007D2C64">
      <w:pPr>
        <w:pStyle w:val="21"/>
        <w:spacing w:after="0" w:line="276" w:lineRule="auto"/>
        <w:ind w:firstLine="425"/>
        <w:jc w:val="both"/>
        <w:rPr>
          <w:rFonts w:eastAsia="Calibri"/>
          <w:bdr w:val="none" w:sz="0" w:space="0" w:color="auto" w:frame="1"/>
          <w:lang w:val="ru-RU" w:eastAsia="uk-UA"/>
        </w:rPr>
      </w:pPr>
      <w:r>
        <w:rPr>
          <w:rFonts w:eastAsia="Calibri"/>
          <w:bdr w:val="none" w:sz="0" w:space="0" w:color="auto" w:frame="1"/>
          <w:lang w:val="ru-RU" w:eastAsia="uk-UA"/>
        </w:rPr>
        <w:lastRenderedPageBreak/>
        <w:t>09</w:t>
      </w:r>
      <w:r w:rsidR="007D2C64" w:rsidRPr="007D2C64">
        <w:rPr>
          <w:rFonts w:eastAsia="Calibri"/>
          <w:bdr w:val="none" w:sz="0" w:space="0" w:color="auto" w:frame="1"/>
          <w:lang w:val="ru-RU" w:eastAsia="uk-UA"/>
        </w:rPr>
        <w:t>.0</w:t>
      </w:r>
      <w:r>
        <w:rPr>
          <w:rFonts w:eastAsia="Calibri"/>
          <w:bdr w:val="none" w:sz="0" w:space="0" w:color="auto" w:frame="1"/>
          <w:lang w:val="ru-RU" w:eastAsia="uk-UA"/>
        </w:rPr>
        <w:t>6.2025</w:t>
      </w:r>
      <w:r w:rsidR="007D2C64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 w:rsidR="007D2C64" w:rsidRPr="007D2C64">
        <w:rPr>
          <w:rFonts w:eastAsia="Calibri"/>
          <w:bdr w:val="none" w:sz="0" w:space="0" w:color="auto" w:frame="1"/>
          <w:lang w:val="ru-RU" w:eastAsia="uk-UA"/>
        </w:rPr>
        <w:t>зарах</w:t>
      </w:r>
      <w:r w:rsidR="007D2C64">
        <w:rPr>
          <w:rFonts w:eastAsia="Calibri"/>
          <w:bdr w:val="none" w:sz="0" w:space="0" w:color="auto" w:frame="1"/>
          <w:lang w:val="ru-RU" w:eastAsia="uk-UA"/>
        </w:rPr>
        <w:t>овано</w:t>
      </w:r>
      <w:proofErr w:type="spellEnd"/>
      <w:r w:rsidR="007D2C64" w:rsidRPr="007D2C64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gramStart"/>
      <w:r w:rsidR="007D2C64" w:rsidRPr="007D2C64">
        <w:rPr>
          <w:rFonts w:eastAsia="Calibri"/>
          <w:bdr w:val="none" w:sz="0" w:space="0" w:color="auto" w:frame="1"/>
          <w:lang w:val="ru-RU" w:eastAsia="uk-UA"/>
        </w:rPr>
        <w:t>до</w:t>
      </w:r>
      <w:proofErr w:type="gramEnd"/>
      <w:r w:rsidR="007D2C64" w:rsidRPr="007D2C64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gramStart"/>
      <w:r w:rsidR="007D2C64" w:rsidRPr="007D2C64">
        <w:rPr>
          <w:rFonts w:eastAsia="Calibri"/>
          <w:bdr w:val="none" w:sz="0" w:space="0" w:color="auto" w:frame="1"/>
          <w:lang w:val="ru-RU" w:eastAsia="uk-UA"/>
        </w:rPr>
        <w:t>штату</w:t>
      </w:r>
      <w:proofErr w:type="gramEnd"/>
      <w:r w:rsidR="007D2C64" w:rsidRPr="007D2C64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 w:rsidR="007D2C64" w:rsidRPr="007D2C64">
        <w:rPr>
          <w:rFonts w:eastAsia="Calibri"/>
          <w:bdr w:val="none" w:sz="0" w:space="0" w:color="auto" w:frame="1"/>
          <w:lang w:val="ru-RU" w:eastAsia="uk-UA"/>
        </w:rPr>
        <w:t>судд</w:t>
      </w:r>
      <w:r w:rsidR="007D2C64">
        <w:rPr>
          <w:rFonts w:eastAsia="Calibri"/>
          <w:bdr w:val="none" w:sz="0" w:space="0" w:color="auto" w:frame="1"/>
          <w:lang w:val="ru-RU" w:eastAsia="uk-UA"/>
        </w:rPr>
        <w:t>ю</w:t>
      </w:r>
      <w:proofErr w:type="spellEnd"/>
      <w:r w:rsidR="007D2C64" w:rsidRPr="007D2C64">
        <w:rPr>
          <w:rFonts w:eastAsia="Calibri"/>
          <w:bdr w:val="none" w:sz="0" w:space="0" w:color="auto" w:frame="1"/>
          <w:lang w:val="ru-RU" w:eastAsia="uk-UA"/>
        </w:rPr>
        <w:t xml:space="preserve"> </w:t>
      </w:r>
      <w:r>
        <w:rPr>
          <w:rFonts w:eastAsia="Calibri"/>
          <w:bdr w:val="none" w:sz="0" w:space="0" w:color="auto" w:frame="1"/>
          <w:lang w:val="ru-RU" w:eastAsia="uk-UA"/>
        </w:rPr>
        <w:t>Коваленко Н.В.</w:t>
      </w:r>
      <w:r w:rsidR="007D2C64" w:rsidRPr="007D2C64">
        <w:rPr>
          <w:rFonts w:eastAsia="Calibri"/>
          <w:bdr w:val="none" w:sz="0" w:space="0" w:color="auto" w:frame="1"/>
          <w:lang w:val="ru-RU" w:eastAsia="uk-UA"/>
        </w:rPr>
        <w:t xml:space="preserve"> </w:t>
      </w:r>
    </w:p>
    <w:p w:rsidR="00F76C19" w:rsidRDefault="00B40907" w:rsidP="007D2C64">
      <w:pPr>
        <w:pStyle w:val="21"/>
        <w:spacing w:after="0" w:line="276" w:lineRule="auto"/>
        <w:ind w:firstLine="425"/>
        <w:jc w:val="both"/>
        <w:rPr>
          <w:rFonts w:eastAsia="Calibri"/>
          <w:bdr w:val="none" w:sz="0" w:space="0" w:color="auto" w:frame="1"/>
          <w:lang w:val="ru-RU" w:eastAsia="uk-UA"/>
        </w:rPr>
      </w:pPr>
      <w:r>
        <w:rPr>
          <w:rFonts w:eastAsia="Calibri"/>
          <w:bdr w:val="none" w:sz="0" w:space="0" w:color="auto" w:frame="1"/>
          <w:lang w:val="ru-RU" w:eastAsia="uk-UA"/>
        </w:rPr>
        <w:t>07</w:t>
      </w:r>
      <w:r w:rsidR="00B613D4">
        <w:rPr>
          <w:rFonts w:eastAsia="Calibri"/>
          <w:bdr w:val="none" w:sz="0" w:space="0" w:color="auto" w:frame="1"/>
          <w:lang w:val="ru-RU" w:eastAsia="uk-UA"/>
        </w:rPr>
        <w:t>.07</w:t>
      </w:r>
      <w:r w:rsidR="007D2C64">
        <w:rPr>
          <w:rFonts w:eastAsia="Calibri"/>
          <w:bdr w:val="none" w:sz="0" w:space="0" w:color="auto" w:frame="1"/>
          <w:lang w:val="ru-RU" w:eastAsia="uk-UA"/>
        </w:rPr>
        <w:t>.202</w:t>
      </w:r>
      <w:r w:rsidR="00B613D4">
        <w:rPr>
          <w:rFonts w:eastAsia="Calibri"/>
          <w:bdr w:val="none" w:sz="0" w:space="0" w:color="auto" w:frame="1"/>
          <w:lang w:val="ru-RU" w:eastAsia="uk-UA"/>
        </w:rPr>
        <w:t>5</w:t>
      </w:r>
      <w:r w:rsidR="007D2C64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 w:rsidR="007D2C64" w:rsidRPr="007D2C64">
        <w:rPr>
          <w:rFonts w:eastAsia="Calibri"/>
          <w:bdr w:val="none" w:sz="0" w:space="0" w:color="auto" w:frame="1"/>
          <w:lang w:val="ru-RU" w:eastAsia="uk-UA"/>
        </w:rPr>
        <w:t>відрах</w:t>
      </w:r>
      <w:r w:rsidR="007D2C64">
        <w:rPr>
          <w:rFonts w:eastAsia="Calibri"/>
          <w:bdr w:val="none" w:sz="0" w:space="0" w:color="auto" w:frame="1"/>
          <w:lang w:val="ru-RU" w:eastAsia="uk-UA"/>
        </w:rPr>
        <w:t>о</w:t>
      </w:r>
      <w:r w:rsidR="007D2C64" w:rsidRPr="007D2C64">
        <w:rPr>
          <w:rFonts w:eastAsia="Calibri"/>
          <w:bdr w:val="none" w:sz="0" w:space="0" w:color="auto" w:frame="1"/>
          <w:lang w:val="ru-RU" w:eastAsia="uk-UA"/>
        </w:rPr>
        <w:t>ван</w:t>
      </w:r>
      <w:r w:rsidR="007D2C64">
        <w:rPr>
          <w:rFonts w:eastAsia="Calibri"/>
          <w:bdr w:val="none" w:sz="0" w:space="0" w:color="auto" w:frame="1"/>
          <w:lang w:val="ru-RU" w:eastAsia="uk-UA"/>
        </w:rPr>
        <w:t>о</w:t>
      </w:r>
      <w:proofErr w:type="spellEnd"/>
      <w:r w:rsidR="007D2C64" w:rsidRPr="007D2C64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 w:rsidR="007D2C64" w:rsidRPr="007D2C64">
        <w:rPr>
          <w:rFonts w:eastAsia="Calibri"/>
          <w:bdr w:val="none" w:sz="0" w:space="0" w:color="auto" w:frame="1"/>
          <w:lang w:val="ru-RU" w:eastAsia="uk-UA"/>
        </w:rPr>
        <w:t>зі</w:t>
      </w:r>
      <w:proofErr w:type="spellEnd"/>
      <w:r w:rsidR="007D2C64" w:rsidRPr="007D2C64">
        <w:rPr>
          <w:rFonts w:eastAsia="Calibri"/>
          <w:bdr w:val="none" w:sz="0" w:space="0" w:color="auto" w:frame="1"/>
          <w:lang w:val="ru-RU" w:eastAsia="uk-UA"/>
        </w:rPr>
        <w:t xml:space="preserve"> штату  голов</w:t>
      </w:r>
      <w:r w:rsidR="007D2C64">
        <w:rPr>
          <w:rFonts w:eastAsia="Calibri"/>
          <w:bdr w:val="none" w:sz="0" w:space="0" w:color="auto" w:frame="1"/>
          <w:lang w:val="ru-RU" w:eastAsia="uk-UA"/>
        </w:rPr>
        <w:t>у</w:t>
      </w:r>
      <w:r w:rsidR="007D2C64" w:rsidRPr="007D2C64">
        <w:rPr>
          <w:rFonts w:eastAsia="Calibri"/>
          <w:bdr w:val="none" w:sz="0" w:space="0" w:color="auto" w:frame="1"/>
          <w:lang w:val="ru-RU" w:eastAsia="uk-UA"/>
        </w:rPr>
        <w:t xml:space="preserve"> суду</w:t>
      </w:r>
      <w:r w:rsidR="007D2C64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 w:rsidR="00B613D4">
        <w:rPr>
          <w:rFonts w:eastAsia="Calibri"/>
          <w:bdr w:val="none" w:sz="0" w:space="0" w:color="auto" w:frame="1"/>
          <w:lang w:val="ru-RU" w:eastAsia="uk-UA"/>
        </w:rPr>
        <w:t>Жорняка</w:t>
      </w:r>
      <w:proofErr w:type="spellEnd"/>
      <w:r w:rsidR="00B613D4">
        <w:rPr>
          <w:rFonts w:eastAsia="Calibri"/>
          <w:bdr w:val="none" w:sz="0" w:space="0" w:color="auto" w:frame="1"/>
          <w:lang w:val="ru-RU" w:eastAsia="uk-UA"/>
        </w:rPr>
        <w:t xml:space="preserve"> О.М.,</w:t>
      </w:r>
      <w:r w:rsidR="007D2C64" w:rsidRPr="007D2C64">
        <w:rPr>
          <w:rFonts w:eastAsia="Calibri"/>
          <w:bdr w:val="none" w:sz="0" w:space="0" w:color="auto" w:frame="1"/>
          <w:lang w:val="ru-RU" w:eastAsia="uk-UA"/>
        </w:rPr>
        <w:t xml:space="preserve"> </w:t>
      </w:r>
    </w:p>
    <w:p w:rsidR="007D2C64" w:rsidRDefault="007D2C64" w:rsidP="007D2C64">
      <w:pPr>
        <w:pStyle w:val="21"/>
        <w:spacing w:after="0" w:line="276" w:lineRule="auto"/>
        <w:ind w:firstLine="425"/>
        <w:jc w:val="both"/>
        <w:rPr>
          <w:rFonts w:eastAsia="Calibri"/>
          <w:bdr w:val="none" w:sz="0" w:space="0" w:color="auto" w:frame="1"/>
          <w:lang w:val="ru-RU" w:eastAsia="uk-UA"/>
        </w:rPr>
      </w:pPr>
      <w:proofErr w:type="spellStart"/>
      <w:r w:rsidRPr="007D2C64">
        <w:rPr>
          <w:rFonts w:eastAsia="Calibri"/>
          <w:bdr w:val="none" w:sz="0" w:space="0" w:color="auto" w:frame="1"/>
          <w:lang w:val="ru-RU" w:eastAsia="uk-UA"/>
        </w:rPr>
        <w:t>судд</w:t>
      </w:r>
      <w:r>
        <w:rPr>
          <w:rFonts w:eastAsia="Calibri"/>
          <w:bdr w:val="none" w:sz="0" w:space="0" w:color="auto" w:frame="1"/>
          <w:lang w:val="ru-RU" w:eastAsia="uk-UA"/>
        </w:rPr>
        <w:t>я</w:t>
      </w:r>
      <w:proofErr w:type="spellEnd"/>
      <w:r w:rsidR="00820631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 w:rsidR="00820631">
        <w:rPr>
          <w:rFonts w:eastAsia="Calibri"/>
          <w:bdr w:val="none" w:sz="0" w:space="0" w:color="auto" w:frame="1"/>
          <w:lang w:val="ru-RU" w:eastAsia="uk-UA"/>
        </w:rPr>
        <w:t>Шабас</w:t>
      </w:r>
      <w:proofErr w:type="spellEnd"/>
      <w:r w:rsidR="00820631">
        <w:rPr>
          <w:rFonts w:eastAsia="Calibri"/>
          <w:bdr w:val="none" w:sz="0" w:space="0" w:color="auto" w:frame="1"/>
          <w:lang w:val="ru-RU" w:eastAsia="uk-UA"/>
        </w:rPr>
        <w:t xml:space="preserve"> О.С. (</w:t>
      </w:r>
      <w:proofErr w:type="spellStart"/>
      <w:proofErr w:type="gramStart"/>
      <w:r w:rsidR="00820631">
        <w:rPr>
          <w:rFonts w:eastAsia="Calibri"/>
          <w:bdr w:val="none" w:sz="0" w:space="0" w:color="auto" w:frame="1"/>
          <w:lang w:val="ru-RU" w:eastAsia="uk-UA"/>
        </w:rPr>
        <w:t>була</w:t>
      </w:r>
      <w:proofErr w:type="spellEnd"/>
      <w:r w:rsidR="00820631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 w:rsidRPr="007D2C64">
        <w:rPr>
          <w:rFonts w:eastAsia="Calibri"/>
          <w:bdr w:val="none" w:sz="0" w:space="0" w:color="auto" w:frame="1"/>
          <w:lang w:val="ru-RU" w:eastAsia="uk-UA"/>
        </w:rPr>
        <w:t>в</w:t>
      </w:r>
      <w:proofErr w:type="gramEnd"/>
      <w:r w:rsidRPr="007D2C64">
        <w:rPr>
          <w:rFonts w:eastAsia="Calibri"/>
          <w:bdr w:val="none" w:sz="0" w:space="0" w:color="auto" w:frame="1"/>
          <w:lang w:val="ru-RU" w:eastAsia="uk-UA"/>
        </w:rPr>
        <w:t>ідряджена</w:t>
      </w:r>
      <w:proofErr w:type="spellEnd"/>
      <w:r w:rsidRPr="007D2C64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>
        <w:rPr>
          <w:rFonts w:eastAsia="Calibri"/>
          <w:bdr w:val="none" w:sz="0" w:space="0" w:color="auto" w:frame="1"/>
          <w:lang w:val="ru-RU" w:eastAsia="uk-UA"/>
        </w:rPr>
        <w:t>із</w:t>
      </w:r>
      <w:proofErr w:type="spellEnd"/>
      <w:r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>
        <w:rPr>
          <w:rFonts w:eastAsia="Calibri"/>
          <w:bdr w:val="none" w:sz="0" w:space="0" w:color="auto" w:frame="1"/>
          <w:lang w:val="ru-RU" w:eastAsia="uk-UA"/>
        </w:rPr>
        <w:t>Золочівського</w:t>
      </w:r>
      <w:proofErr w:type="spellEnd"/>
      <w:r>
        <w:rPr>
          <w:rFonts w:eastAsia="Calibri"/>
          <w:bdr w:val="none" w:sz="0" w:space="0" w:color="auto" w:frame="1"/>
          <w:lang w:val="ru-RU" w:eastAsia="uk-UA"/>
        </w:rPr>
        <w:t xml:space="preserve"> районного суду </w:t>
      </w:r>
      <w:proofErr w:type="spellStart"/>
      <w:r>
        <w:rPr>
          <w:rFonts w:eastAsia="Calibri"/>
          <w:bdr w:val="none" w:sz="0" w:space="0" w:color="auto" w:frame="1"/>
          <w:lang w:val="ru-RU" w:eastAsia="uk-UA"/>
        </w:rPr>
        <w:t>Харківської</w:t>
      </w:r>
      <w:proofErr w:type="spellEnd"/>
      <w:r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>
        <w:rPr>
          <w:rFonts w:eastAsia="Calibri"/>
          <w:bdr w:val="none" w:sz="0" w:space="0" w:color="auto" w:frame="1"/>
          <w:lang w:val="ru-RU" w:eastAsia="uk-UA"/>
        </w:rPr>
        <w:t>області</w:t>
      </w:r>
      <w:proofErr w:type="spellEnd"/>
      <w:r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 w:rsidRPr="007D2C64">
        <w:rPr>
          <w:rFonts w:eastAsia="Calibri"/>
          <w:bdr w:val="none" w:sz="0" w:space="0" w:color="auto" w:frame="1"/>
          <w:lang w:val="ru-RU" w:eastAsia="uk-UA"/>
        </w:rPr>
        <w:t>з</w:t>
      </w:r>
      <w:proofErr w:type="spellEnd"/>
      <w:r w:rsidRPr="007D2C64">
        <w:rPr>
          <w:rFonts w:eastAsia="Calibri"/>
          <w:bdr w:val="none" w:sz="0" w:space="0" w:color="auto" w:frame="1"/>
          <w:lang w:val="ru-RU" w:eastAsia="uk-UA"/>
        </w:rPr>
        <w:t xml:space="preserve"> 01.01.2024 та </w:t>
      </w:r>
      <w:proofErr w:type="spellStart"/>
      <w:r w:rsidRPr="007D2C64">
        <w:rPr>
          <w:rFonts w:eastAsia="Calibri"/>
          <w:bdr w:val="none" w:sz="0" w:space="0" w:color="auto" w:frame="1"/>
          <w:lang w:val="ru-RU" w:eastAsia="uk-UA"/>
        </w:rPr>
        <w:t>зарахована</w:t>
      </w:r>
      <w:proofErr w:type="spellEnd"/>
      <w:r w:rsidRPr="007D2C64">
        <w:rPr>
          <w:rFonts w:eastAsia="Calibri"/>
          <w:bdr w:val="none" w:sz="0" w:space="0" w:color="auto" w:frame="1"/>
          <w:lang w:val="ru-RU" w:eastAsia="uk-UA"/>
        </w:rPr>
        <w:t xml:space="preserve"> до штату 02.01.2024)</w:t>
      </w:r>
      <w:r w:rsidR="00820631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 w:rsidR="00820631">
        <w:rPr>
          <w:rFonts w:eastAsia="Calibri"/>
          <w:bdr w:val="none" w:sz="0" w:space="0" w:color="auto" w:frame="1"/>
          <w:lang w:val="ru-RU" w:eastAsia="uk-UA"/>
        </w:rPr>
        <w:t>перебувала</w:t>
      </w:r>
      <w:proofErr w:type="spellEnd"/>
      <w:r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 w:rsidR="00820631">
        <w:rPr>
          <w:rFonts w:eastAsia="Calibri"/>
          <w:bdr w:val="none" w:sz="0" w:space="0" w:color="auto" w:frame="1"/>
          <w:lang w:val="ru-RU" w:eastAsia="uk-UA"/>
        </w:rPr>
        <w:t>з</w:t>
      </w:r>
      <w:proofErr w:type="spellEnd"/>
      <w:r w:rsidR="00820631">
        <w:rPr>
          <w:rFonts w:eastAsia="Calibri"/>
          <w:bdr w:val="none" w:sz="0" w:space="0" w:color="auto" w:frame="1"/>
          <w:lang w:val="ru-RU" w:eastAsia="uk-UA"/>
        </w:rPr>
        <w:t xml:space="preserve"> 12.10.2024 по 11.04.2025 </w:t>
      </w:r>
      <w:r w:rsidRPr="007D2C64">
        <w:rPr>
          <w:rFonts w:eastAsia="Calibri"/>
          <w:bdr w:val="none" w:sz="0" w:space="0" w:color="auto" w:frame="1"/>
          <w:lang w:val="ru-RU" w:eastAsia="uk-UA"/>
        </w:rPr>
        <w:t xml:space="preserve">у </w:t>
      </w:r>
      <w:proofErr w:type="spellStart"/>
      <w:r w:rsidRPr="007D2C64">
        <w:rPr>
          <w:rFonts w:eastAsia="Calibri"/>
          <w:bdr w:val="none" w:sz="0" w:space="0" w:color="auto" w:frame="1"/>
          <w:lang w:val="ru-RU" w:eastAsia="uk-UA"/>
        </w:rPr>
        <w:t>відпустці</w:t>
      </w:r>
      <w:proofErr w:type="spellEnd"/>
      <w:r w:rsidRPr="007D2C64">
        <w:rPr>
          <w:rFonts w:eastAsia="Calibri"/>
          <w:bdr w:val="none" w:sz="0" w:space="0" w:color="auto" w:frame="1"/>
          <w:lang w:val="ru-RU" w:eastAsia="uk-UA"/>
        </w:rPr>
        <w:t xml:space="preserve"> без </w:t>
      </w:r>
      <w:proofErr w:type="spellStart"/>
      <w:r w:rsidRPr="007D2C64">
        <w:rPr>
          <w:rFonts w:eastAsia="Calibri"/>
          <w:bdr w:val="none" w:sz="0" w:space="0" w:color="auto" w:frame="1"/>
          <w:lang w:val="ru-RU" w:eastAsia="uk-UA"/>
        </w:rPr>
        <w:t>збереження</w:t>
      </w:r>
      <w:proofErr w:type="spellEnd"/>
      <w:r w:rsidRPr="007D2C64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 w:rsidRPr="007D2C64">
        <w:rPr>
          <w:rFonts w:eastAsia="Calibri"/>
          <w:bdr w:val="none" w:sz="0" w:space="0" w:color="auto" w:frame="1"/>
          <w:lang w:val="ru-RU" w:eastAsia="uk-UA"/>
        </w:rPr>
        <w:t>заробітної</w:t>
      </w:r>
      <w:proofErr w:type="spellEnd"/>
      <w:r w:rsidRPr="007D2C64">
        <w:rPr>
          <w:rFonts w:eastAsia="Calibri"/>
          <w:bdr w:val="none" w:sz="0" w:space="0" w:color="auto" w:frame="1"/>
          <w:lang w:val="ru-RU" w:eastAsia="uk-UA"/>
        </w:rPr>
        <w:t xml:space="preserve"> плати у </w:t>
      </w:r>
      <w:proofErr w:type="spellStart"/>
      <w:r w:rsidRPr="007D2C64">
        <w:rPr>
          <w:rFonts w:eastAsia="Calibri"/>
          <w:bdr w:val="none" w:sz="0" w:space="0" w:color="auto" w:frame="1"/>
          <w:lang w:val="ru-RU" w:eastAsia="uk-UA"/>
        </w:rPr>
        <w:t>зв’язку</w:t>
      </w:r>
      <w:proofErr w:type="spellEnd"/>
      <w:r w:rsidRPr="007D2C64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 w:rsidRPr="007D2C64">
        <w:rPr>
          <w:rFonts w:eastAsia="Calibri"/>
          <w:bdr w:val="none" w:sz="0" w:space="0" w:color="auto" w:frame="1"/>
          <w:lang w:val="ru-RU" w:eastAsia="uk-UA"/>
        </w:rPr>
        <w:t>з</w:t>
      </w:r>
      <w:proofErr w:type="spellEnd"/>
      <w:r w:rsidRPr="007D2C64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 w:rsidRPr="007D2C64">
        <w:rPr>
          <w:rFonts w:eastAsia="Calibri"/>
          <w:bdr w:val="none" w:sz="0" w:space="0" w:color="auto" w:frame="1"/>
          <w:lang w:val="ru-RU" w:eastAsia="uk-UA"/>
        </w:rPr>
        <w:t>медичними</w:t>
      </w:r>
      <w:proofErr w:type="spellEnd"/>
      <w:r w:rsidRPr="007D2C64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 w:rsidRPr="007D2C64">
        <w:rPr>
          <w:rFonts w:eastAsia="Calibri"/>
          <w:bdr w:val="none" w:sz="0" w:space="0" w:color="auto" w:frame="1"/>
          <w:lang w:val="ru-RU" w:eastAsia="uk-UA"/>
        </w:rPr>
        <w:t>показниками</w:t>
      </w:r>
      <w:proofErr w:type="spellEnd"/>
      <w:r w:rsidRPr="007D2C64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 w:rsidRPr="007D2C64">
        <w:rPr>
          <w:rFonts w:eastAsia="Calibri"/>
          <w:bdr w:val="none" w:sz="0" w:space="0" w:color="auto" w:frame="1"/>
          <w:lang w:val="ru-RU" w:eastAsia="uk-UA"/>
        </w:rPr>
        <w:t>дитини</w:t>
      </w:r>
      <w:proofErr w:type="spellEnd"/>
      <w:r w:rsidRPr="007D2C64">
        <w:rPr>
          <w:rFonts w:eastAsia="Calibri"/>
          <w:bdr w:val="none" w:sz="0" w:space="0" w:color="auto" w:frame="1"/>
          <w:lang w:val="ru-RU" w:eastAsia="uk-UA"/>
        </w:rPr>
        <w:t xml:space="preserve">, яка </w:t>
      </w:r>
      <w:proofErr w:type="spellStart"/>
      <w:r w:rsidRPr="007D2C64">
        <w:rPr>
          <w:rFonts w:eastAsia="Calibri"/>
          <w:bdr w:val="none" w:sz="0" w:space="0" w:color="auto" w:frame="1"/>
          <w:lang w:val="ru-RU" w:eastAsia="uk-UA"/>
        </w:rPr>
        <w:t>потребує</w:t>
      </w:r>
      <w:proofErr w:type="spellEnd"/>
      <w:r w:rsidRPr="007D2C64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 w:rsidRPr="007D2C64">
        <w:rPr>
          <w:rFonts w:eastAsia="Calibri"/>
          <w:bdr w:val="none" w:sz="0" w:space="0" w:color="auto" w:frame="1"/>
          <w:lang w:val="ru-RU" w:eastAsia="uk-UA"/>
        </w:rPr>
        <w:t>домашнього</w:t>
      </w:r>
      <w:proofErr w:type="spellEnd"/>
      <w:r w:rsidRPr="007D2C64">
        <w:rPr>
          <w:rFonts w:eastAsia="Calibri"/>
          <w:bdr w:val="none" w:sz="0" w:space="0" w:color="auto" w:frame="1"/>
          <w:lang w:val="ru-RU" w:eastAsia="uk-UA"/>
        </w:rPr>
        <w:t xml:space="preserve"> догляду, </w:t>
      </w:r>
      <w:r w:rsidR="00820631">
        <w:rPr>
          <w:rFonts w:eastAsia="Calibri"/>
          <w:bdr w:val="none" w:sz="0" w:space="0" w:color="auto" w:frame="1"/>
          <w:lang w:val="ru-RU" w:eastAsia="uk-UA"/>
        </w:rPr>
        <w:t xml:space="preserve"> та </w:t>
      </w:r>
      <w:proofErr w:type="spellStart"/>
      <w:r w:rsidR="00820631">
        <w:rPr>
          <w:rFonts w:eastAsia="Calibri"/>
          <w:bdr w:val="none" w:sz="0" w:space="0" w:color="auto" w:frame="1"/>
          <w:lang w:val="ru-RU" w:eastAsia="uk-UA"/>
        </w:rPr>
        <w:t>відрахована</w:t>
      </w:r>
      <w:proofErr w:type="spellEnd"/>
      <w:r w:rsidR="00820631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 w:rsidR="00820631">
        <w:rPr>
          <w:rFonts w:eastAsia="Calibri"/>
          <w:bdr w:val="none" w:sz="0" w:space="0" w:color="auto" w:frame="1"/>
          <w:lang w:val="ru-RU" w:eastAsia="uk-UA"/>
        </w:rPr>
        <w:t>зі</w:t>
      </w:r>
      <w:proofErr w:type="spellEnd"/>
      <w:r w:rsidR="00820631">
        <w:rPr>
          <w:rFonts w:eastAsia="Calibri"/>
          <w:bdr w:val="none" w:sz="0" w:space="0" w:color="auto" w:frame="1"/>
          <w:lang w:val="ru-RU" w:eastAsia="uk-UA"/>
        </w:rPr>
        <w:t xml:space="preserve"> штату суду 11.04.2025 у </w:t>
      </w:r>
      <w:proofErr w:type="spellStart"/>
      <w:r w:rsidR="00820631">
        <w:rPr>
          <w:rFonts w:eastAsia="Calibri"/>
          <w:bdr w:val="none" w:sz="0" w:space="0" w:color="auto" w:frame="1"/>
          <w:lang w:val="ru-RU" w:eastAsia="uk-UA"/>
        </w:rPr>
        <w:t>зв'язку</w:t>
      </w:r>
      <w:proofErr w:type="spellEnd"/>
      <w:r w:rsidR="00820631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 w:rsidR="00820631">
        <w:rPr>
          <w:rFonts w:eastAsia="Calibri"/>
          <w:bdr w:val="none" w:sz="0" w:space="0" w:color="auto" w:frame="1"/>
          <w:lang w:val="ru-RU" w:eastAsia="uk-UA"/>
        </w:rPr>
        <w:t>із</w:t>
      </w:r>
      <w:proofErr w:type="spellEnd"/>
      <w:r w:rsidR="00820631">
        <w:rPr>
          <w:rFonts w:eastAsia="Calibri"/>
          <w:bdr w:val="none" w:sz="0" w:space="0" w:color="auto" w:frame="1"/>
          <w:lang w:val="ru-RU" w:eastAsia="uk-UA"/>
        </w:rPr>
        <w:t xml:space="preserve"> </w:t>
      </w:r>
      <w:proofErr w:type="spellStart"/>
      <w:r w:rsidR="00820631">
        <w:rPr>
          <w:rFonts w:eastAsia="Calibri"/>
          <w:bdr w:val="none" w:sz="0" w:space="0" w:color="auto" w:frame="1"/>
          <w:lang w:val="ru-RU" w:eastAsia="uk-UA"/>
        </w:rPr>
        <w:t>закінченням</w:t>
      </w:r>
      <w:proofErr w:type="spellEnd"/>
      <w:r w:rsidR="00820631">
        <w:rPr>
          <w:rFonts w:eastAsia="Calibri"/>
          <w:bdr w:val="none" w:sz="0" w:space="0" w:color="auto" w:frame="1"/>
          <w:lang w:val="ru-RU" w:eastAsia="uk-UA"/>
        </w:rPr>
        <w:t xml:space="preserve"> строку </w:t>
      </w:r>
      <w:proofErr w:type="spellStart"/>
      <w:r w:rsidR="00820631">
        <w:rPr>
          <w:rFonts w:eastAsia="Calibri"/>
          <w:bdr w:val="none" w:sz="0" w:space="0" w:color="auto" w:frame="1"/>
          <w:lang w:val="ru-RU" w:eastAsia="uk-UA"/>
        </w:rPr>
        <w:t>відрядження</w:t>
      </w:r>
      <w:proofErr w:type="spellEnd"/>
      <w:r w:rsidR="00820631">
        <w:rPr>
          <w:rFonts w:eastAsia="Calibri"/>
          <w:bdr w:val="none" w:sz="0" w:space="0" w:color="auto" w:frame="1"/>
          <w:lang w:val="ru-RU" w:eastAsia="uk-UA"/>
        </w:rPr>
        <w:t xml:space="preserve"> 01.01.2025.</w:t>
      </w:r>
    </w:p>
    <w:p w:rsidR="00820631" w:rsidRDefault="00820631" w:rsidP="007D2C64">
      <w:pPr>
        <w:pStyle w:val="21"/>
        <w:spacing w:after="0" w:line="276" w:lineRule="auto"/>
        <w:jc w:val="both"/>
        <w:rPr>
          <w:lang w:val="ru-RU"/>
        </w:rPr>
      </w:pPr>
    </w:p>
    <w:p w:rsidR="00E743FC" w:rsidRDefault="00704DB8" w:rsidP="00E743FC">
      <w:pPr>
        <w:pStyle w:val="21"/>
        <w:spacing w:after="0" w:line="276" w:lineRule="auto"/>
        <w:ind w:firstLine="425"/>
        <w:jc w:val="both"/>
        <w:rPr>
          <w:lang w:val="ru-RU"/>
        </w:rPr>
      </w:pPr>
      <w:proofErr w:type="spellStart"/>
      <w:r w:rsidRPr="00E743FC">
        <w:rPr>
          <w:lang w:val="ru-RU"/>
        </w:rPr>
        <w:t>Крім</w:t>
      </w:r>
      <w:proofErr w:type="spellEnd"/>
      <w:r w:rsidRPr="00E743FC">
        <w:rPr>
          <w:lang w:val="ru-RU"/>
        </w:rPr>
        <w:t xml:space="preserve"> того, </w:t>
      </w:r>
      <w:proofErr w:type="gramStart"/>
      <w:r w:rsidR="00E743FC" w:rsidRPr="00E745CB">
        <w:rPr>
          <w:bCs/>
          <w:iCs/>
          <w:lang w:val="uk-UA"/>
        </w:rPr>
        <w:t>р</w:t>
      </w:r>
      <w:proofErr w:type="gramEnd"/>
      <w:r w:rsidR="00E743FC" w:rsidRPr="00E745CB">
        <w:rPr>
          <w:bCs/>
          <w:iCs/>
          <w:lang w:val="uk-UA"/>
        </w:rPr>
        <w:t xml:space="preserve">ішенням Вищої ради правосуддя від 20 квітня 2023 року № 399/0/15-23 «Про зміну територіальної підсудності судових справ окремих судів Харківської області» змінено територіальну підсудність судових справ </w:t>
      </w:r>
      <w:proofErr w:type="spellStart"/>
      <w:r w:rsidR="00E743FC" w:rsidRPr="00E745CB">
        <w:rPr>
          <w:bCs/>
          <w:iCs/>
          <w:lang w:val="uk-UA"/>
        </w:rPr>
        <w:t>Золочівського</w:t>
      </w:r>
      <w:proofErr w:type="spellEnd"/>
      <w:r w:rsidR="00E743FC" w:rsidRPr="00E745CB">
        <w:rPr>
          <w:bCs/>
          <w:iCs/>
          <w:lang w:val="uk-UA"/>
        </w:rPr>
        <w:t xml:space="preserve"> районного суду Харківської області </w:t>
      </w:r>
      <w:proofErr w:type="spellStart"/>
      <w:r w:rsidR="00E743FC" w:rsidRPr="00E745CB">
        <w:rPr>
          <w:bCs/>
          <w:iCs/>
          <w:lang w:val="uk-UA"/>
        </w:rPr>
        <w:t>Дергачівському</w:t>
      </w:r>
      <w:proofErr w:type="spellEnd"/>
      <w:r w:rsidR="00E743FC" w:rsidRPr="00E745CB">
        <w:rPr>
          <w:bCs/>
          <w:iCs/>
          <w:lang w:val="uk-UA"/>
        </w:rPr>
        <w:t xml:space="preserve"> районному суду Харківської області з 01 травня 2023 року. Станом </w:t>
      </w:r>
      <w:r w:rsidR="00E743FC">
        <w:rPr>
          <w:bCs/>
          <w:iCs/>
          <w:lang w:val="uk-UA"/>
        </w:rPr>
        <w:t>на 31</w:t>
      </w:r>
      <w:r w:rsidR="00E743FC" w:rsidRPr="00E745CB">
        <w:rPr>
          <w:bCs/>
          <w:iCs/>
          <w:lang w:val="uk-UA"/>
        </w:rPr>
        <w:t>.</w:t>
      </w:r>
      <w:r w:rsidR="007D2C64">
        <w:rPr>
          <w:bCs/>
          <w:iCs/>
          <w:lang w:val="uk-UA"/>
        </w:rPr>
        <w:t>12</w:t>
      </w:r>
      <w:r w:rsidR="00E743FC" w:rsidRPr="00E745CB">
        <w:rPr>
          <w:bCs/>
          <w:iCs/>
          <w:lang w:val="uk-UA"/>
        </w:rPr>
        <w:t xml:space="preserve">.2024 Дергачівський районний суд Харківської області продовжує виконувати підсудність </w:t>
      </w:r>
      <w:proofErr w:type="spellStart"/>
      <w:r w:rsidR="00E743FC" w:rsidRPr="00E745CB">
        <w:rPr>
          <w:bCs/>
          <w:iCs/>
          <w:lang w:val="uk-UA"/>
        </w:rPr>
        <w:t>Золочівського</w:t>
      </w:r>
      <w:proofErr w:type="spellEnd"/>
      <w:r w:rsidR="00E743FC" w:rsidRPr="00E745CB">
        <w:rPr>
          <w:bCs/>
          <w:iCs/>
          <w:lang w:val="uk-UA"/>
        </w:rPr>
        <w:t xml:space="preserve"> районного суду Харківської області.</w:t>
      </w:r>
    </w:p>
    <w:p w:rsidR="009C21EE" w:rsidRPr="0070695D" w:rsidRDefault="009C21EE" w:rsidP="00167913">
      <w:pPr>
        <w:pStyle w:val="21"/>
        <w:spacing w:after="0" w:line="276" w:lineRule="auto"/>
        <w:jc w:val="both"/>
        <w:rPr>
          <w:lang w:val="ru-RU"/>
        </w:rPr>
      </w:pPr>
    </w:p>
    <w:p w:rsidR="009C21EE" w:rsidRPr="00670490" w:rsidRDefault="00670490" w:rsidP="00E743FC">
      <w:pPr>
        <w:pStyle w:val="21"/>
        <w:spacing w:after="0" w:line="276" w:lineRule="auto"/>
        <w:ind w:firstLine="425"/>
        <w:jc w:val="both"/>
        <w:rPr>
          <w:lang w:val="ru-RU"/>
        </w:rPr>
      </w:pPr>
      <w:r w:rsidRPr="00670490">
        <w:rPr>
          <w:lang w:val="ru-RU"/>
        </w:rPr>
        <w:t>У 202</w:t>
      </w:r>
      <w:r w:rsidR="00B40907">
        <w:rPr>
          <w:lang w:val="ru-RU"/>
        </w:rPr>
        <w:t>5</w:t>
      </w:r>
      <w:r w:rsidR="009C21EE" w:rsidRPr="00670490">
        <w:rPr>
          <w:lang w:val="ru-RU"/>
        </w:rPr>
        <w:t xml:space="preserve"> </w:t>
      </w:r>
      <w:proofErr w:type="spellStart"/>
      <w:r w:rsidR="009C21EE" w:rsidRPr="00670490">
        <w:rPr>
          <w:lang w:val="ru-RU"/>
        </w:rPr>
        <w:t>році</w:t>
      </w:r>
      <w:proofErr w:type="spellEnd"/>
      <w:r w:rsidR="009C21EE" w:rsidRPr="00670490">
        <w:rPr>
          <w:lang w:val="ru-RU"/>
        </w:rPr>
        <w:t xml:space="preserve"> </w:t>
      </w:r>
      <w:proofErr w:type="spellStart"/>
      <w:r w:rsidR="009C21EE" w:rsidRPr="00670490">
        <w:rPr>
          <w:lang w:val="ru-RU"/>
        </w:rPr>
        <w:t>відсоток</w:t>
      </w:r>
      <w:proofErr w:type="spellEnd"/>
      <w:r w:rsidR="009C21EE" w:rsidRPr="00670490">
        <w:rPr>
          <w:lang w:val="ru-RU"/>
        </w:rPr>
        <w:t xml:space="preserve"> </w:t>
      </w:r>
      <w:proofErr w:type="spellStart"/>
      <w:r w:rsidR="009C21EE" w:rsidRPr="00670490">
        <w:rPr>
          <w:lang w:val="ru-RU"/>
        </w:rPr>
        <w:t>розгляду</w:t>
      </w:r>
      <w:proofErr w:type="spellEnd"/>
      <w:r w:rsidR="009C21EE" w:rsidRPr="00670490">
        <w:rPr>
          <w:lang w:val="ru-RU"/>
        </w:rPr>
        <w:t xml:space="preserve"> </w:t>
      </w:r>
      <w:r w:rsidR="00795229">
        <w:rPr>
          <w:lang w:val="ru-RU"/>
        </w:rPr>
        <w:t>сп</w:t>
      </w:r>
      <w:r w:rsidR="001463DE">
        <w:rPr>
          <w:lang w:val="ru-RU"/>
        </w:rPr>
        <w:t xml:space="preserve">рав </w:t>
      </w:r>
      <w:proofErr w:type="spellStart"/>
      <w:proofErr w:type="gramStart"/>
      <w:r w:rsidR="001463DE">
        <w:rPr>
          <w:lang w:val="ru-RU"/>
        </w:rPr>
        <w:t>вс</w:t>
      </w:r>
      <w:proofErr w:type="gramEnd"/>
      <w:r w:rsidR="001463DE">
        <w:rPr>
          <w:lang w:val="ru-RU"/>
        </w:rPr>
        <w:t>іх</w:t>
      </w:r>
      <w:proofErr w:type="spellEnd"/>
      <w:r w:rsidR="001463DE">
        <w:rPr>
          <w:lang w:val="ru-RU"/>
        </w:rPr>
        <w:t xml:space="preserve"> </w:t>
      </w:r>
      <w:proofErr w:type="spellStart"/>
      <w:r w:rsidR="001463DE">
        <w:rPr>
          <w:lang w:val="ru-RU"/>
        </w:rPr>
        <w:t>категорій</w:t>
      </w:r>
      <w:proofErr w:type="spellEnd"/>
      <w:r w:rsidR="00820631">
        <w:rPr>
          <w:lang w:val="ru-RU"/>
        </w:rPr>
        <w:t xml:space="preserve">, </w:t>
      </w:r>
      <w:proofErr w:type="spellStart"/>
      <w:r w:rsidR="00820631">
        <w:rPr>
          <w:lang w:val="ru-RU"/>
        </w:rPr>
        <w:t>відповідно</w:t>
      </w:r>
      <w:proofErr w:type="spellEnd"/>
      <w:r w:rsidR="00820631">
        <w:rPr>
          <w:lang w:val="ru-RU"/>
        </w:rPr>
        <w:t xml:space="preserve"> до </w:t>
      </w:r>
      <w:proofErr w:type="spellStart"/>
      <w:r w:rsidR="00820631">
        <w:rPr>
          <w:lang w:val="ru-RU"/>
        </w:rPr>
        <w:t>форми</w:t>
      </w:r>
      <w:proofErr w:type="spellEnd"/>
      <w:r w:rsidR="00820631">
        <w:rPr>
          <w:lang w:val="ru-RU"/>
        </w:rPr>
        <w:t xml:space="preserve"> </w:t>
      </w:r>
      <w:proofErr w:type="spellStart"/>
      <w:r w:rsidR="00820631">
        <w:rPr>
          <w:lang w:val="ru-RU"/>
        </w:rPr>
        <w:t>звіту</w:t>
      </w:r>
      <w:proofErr w:type="spellEnd"/>
      <w:r w:rsidR="00820631">
        <w:rPr>
          <w:lang w:val="ru-RU"/>
        </w:rPr>
        <w:t xml:space="preserve"> 1-МЗС за 2025 </w:t>
      </w:r>
      <w:proofErr w:type="spellStart"/>
      <w:r w:rsidR="00820631">
        <w:rPr>
          <w:lang w:val="ru-RU"/>
        </w:rPr>
        <w:t>рік</w:t>
      </w:r>
      <w:proofErr w:type="spellEnd"/>
      <w:r w:rsidR="00820631">
        <w:rPr>
          <w:lang w:val="ru-RU"/>
        </w:rPr>
        <w:t>,</w:t>
      </w:r>
      <w:r w:rsidR="001463DE">
        <w:rPr>
          <w:lang w:val="ru-RU"/>
        </w:rPr>
        <w:t xml:space="preserve"> становить </w:t>
      </w:r>
      <w:r w:rsidR="00445E00">
        <w:rPr>
          <w:lang w:val="ru-RU"/>
        </w:rPr>
        <w:t>9</w:t>
      </w:r>
      <w:r w:rsidR="00B40907">
        <w:rPr>
          <w:lang w:val="ru-RU"/>
        </w:rPr>
        <w:t>9</w:t>
      </w:r>
      <w:r w:rsidR="00445E00">
        <w:rPr>
          <w:lang w:val="ru-RU"/>
        </w:rPr>
        <w:t>,</w:t>
      </w:r>
      <w:r w:rsidR="00B40907">
        <w:rPr>
          <w:lang w:val="ru-RU"/>
        </w:rPr>
        <w:t>7</w:t>
      </w:r>
      <w:r w:rsidR="009C21EE" w:rsidRPr="00670490">
        <w:rPr>
          <w:lang w:val="ru-RU"/>
        </w:rPr>
        <w:t xml:space="preserve"> %.</w:t>
      </w:r>
    </w:p>
    <w:p w:rsidR="009C21EE" w:rsidRPr="00670490" w:rsidRDefault="009C21EE" w:rsidP="00167913">
      <w:pPr>
        <w:pStyle w:val="21"/>
        <w:spacing w:after="0" w:line="276" w:lineRule="auto"/>
        <w:jc w:val="both"/>
        <w:rPr>
          <w:lang w:val="ru-RU"/>
        </w:rPr>
      </w:pPr>
      <w:proofErr w:type="spellStart"/>
      <w:proofErr w:type="gramStart"/>
      <w:r w:rsidRPr="00670490">
        <w:rPr>
          <w:lang w:val="ru-RU"/>
        </w:rPr>
        <w:t>Середня</w:t>
      </w:r>
      <w:proofErr w:type="spellEnd"/>
      <w:r w:rsidRPr="00670490">
        <w:rPr>
          <w:lang w:val="ru-RU"/>
        </w:rPr>
        <w:t xml:space="preserve"> </w:t>
      </w:r>
      <w:proofErr w:type="spellStart"/>
      <w:r w:rsidRPr="00670490">
        <w:rPr>
          <w:lang w:val="ru-RU"/>
        </w:rPr>
        <w:t>к</w:t>
      </w:r>
      <w:proofErr w:type="gramEnd"/>
      <w:r w:rsidRPr="00670490">
        <w:rPr>
          <w:lang w:val="ru-RU"/>
        </w:rPr>
        <w:t>ількість</w:t>
      </w:r>
      <w:proofErr w:type="spellEnd"/>
      <w:r w:rsidRPr="00670490">
        <w:rPr>
          <w:lang w:val="ru-RU"/>
        </w:rPr>
        <w:t xml:space="preserve"> </w:t>
      </w:r>
      <w:proofErr w:type="spellStart"/>
      <w:r w:rsidRPr="00670490">
        <w:rPr>
          <w:lang w:val="ru-RU"/>
        </w:rPr>
        <w:t>розглянутих</w:t>
      </w:r>
      <w:proofErr w:type="spellEnd"/>
      <w:r w:rsidRPr="00670490">
        <w:rPr>
          <w:lang w:val="ru-RU"/>
        </w:rPr>
        <w:t xml:space="preserve"> справ на 1 </w:t>
      </w:r>
      <w:proofErr w:type="spellStart"/>
      <w:r w:rsidRPr="00670490">
        <w:rPr>
          <w:lang w:val="ru-RU"/>
        </w:rPr>
        <w:t>суддю</w:t>
      </w:r>
      <w:proofErr w:type="spellEnd"/>
      <w:r w:rsidRPr="00670490">
        <w:rPr>
          <w:lang w:val="ru-RU"/>
        </w:rPr>
        <w:t xml:space="preserve"> у 20</w:t>
      </w:r>
      <w:r w:rsidR="001463DE">
        <w:rPr>
          <w:lang w:val="ru-RU"/>
        </w:rPr>
        <w:t>2</w:t>
      </w:r>
      <w:r w:rsidR="00B40907">
        <w:rPr>
          <w:lang w:val="ru-RU"/>
        </w:rPr>
        <w:t>5</w:t>
      </w:r>
      <w:r w:rsidRPr="00670490">
        <w:rPr>
          <w:lang w:val="ru-RU"/>
        </w:rPr>
        <w:t xml:space="preserve"> </w:t>
      </w:r>
      <w:proofErr w:type="spellStart"/>
      <w:r w:rsidRPr="00670490">
        <w:rPr>
          <w:lang w:val="ru-RU"/>
        </w:rPr>
        <w:t>році</w:t>
      </w:r>
      <w:proofErr w:type="spellEnd"/>
      <w:r w:rsidRPr="00670490">
        <w:rPr>
          <w:lang w:val="ru-RU"/>
        </w:rPr>
        <w:t xml:space="preserve"> </w:t>
      </w:r>
      <w:proofErr w:type="spellStart"/>
      <w:r w:rsidRPr="00670490">
        <w:rPr>
          <w:lang w:val="ru-RU"/>
        </w:rPr>
        <w:t>складає</w:t>
      </w:r>
      <w:proofErr w:type="spellEnd"/>
      <w:r w:rsidRPr="00670490">
        <w:rPr>
          <w:lang w:val="ru-RU"/>
        </w:rPr>
        <w:t xml:space="preserve"> </w:t>
      </w:r>
      <w:r w:rsidR="00445E00">
        <w:rPr>
          <w:lang w:val="ru-RU"/>
        </w:rPr>
        <w:t>1</w:t>
      </w:r>
      <w:r w:rsidR="00B40907">
        <w:rPr>
          <w:lang w:val="ru-RU"/>
        </w:rPr>
        <w:t>172</w:t>
      </w:r>
      <w:r w:rsidRPr="00670490">
        <w:rPr>
          <w:lang w:val="ru-RU"/>
        </w:rPr>
        <w:t>.</w:t>
      </w:r>
    </w:p>
    <w:p w:rsidR="009C21EE" w:rsidRPr="00670490" w:rsidRDefault="009C21EE" w:rsidP="00167913">
      <w:pPr>
        <w:pStyle w:val="21"/>
        <w:spacing w:after="0" w:line="276" w:lineRule="auto"/>
        <w:jc w:val="both"/>
        <w:rPr>
          <w:lang w:val="ru-RU"/>
        </w:rPr>
      </w:pPr>
      <w:proofErr w:type="spellStart"/>
      <w:proofErr w:type="gramStart"/>
      <w:r w:rsidRPr="00670490">
        <w:rPr>
          <w:lang w:val="ru-RU"/>
        </w:rPr>
        <w:t>Середня</w:t>
      </w:r>
      <w:proofErr w:type="spellEnd"/>
      <w:r w:rsidRPr="00670490">
        <w:rPr>
          <w:lang w:val="ru-RU"/>
        </w:rPr>
        <w:t xml:space="preserve"> </w:t>
      </w:r>
      <w:proofErr w:type="spellStart"/>
      <w:r w:rsidRPr="00670490">
        <w:rPr>
          <w:lang w:val="ru-RU"/>
        </w:rPr>
        <w:t>к</w:t>
      </w:r>
      <w:proofErr w:type="gramEnd"/>
      <w:r w:rsidRPr="00670490">
        <w:rPr>
          <w:lang w:val="ru-RU"/>
        </w:rPr>
        <w:t>ількість</w:t>
      </w:r>
      <w:proofErr w:type="spellEnd"/>
      <w:r w:rsidRPr="00670490">
        <w:rPr>
          <w:lang w:val="ru-RU"/>
        </w:rPr>
        <w:t xml:space="preserve"> справ та </w:t>
      </w:r>
      <w:proofErr w:type="spellStart"/>
      <w:r w:rsidRPr="00670490">
        <w:rPr>
          <w:lang w:val="ru-RU"/>
        </w:rPr>
        <w:t>матеріалів</w:t>
      </w:r>
      <w:proofErr w:type="spellEnd"/>
      <w:r w:rsidRPr="00670490">
        <w:rPr>
          <w:lang w:val="ru-RU"/>
        </w:rPr>
        <w:t xml:space="preserve">, </w:t>
      </w:r>
      <w:proofErr w:type="spellStart"/>
      <w:r w:rsidRPr="00670490">
        <w:rPr>
          <w:lang w:val="ru-RU"/>
        </w:rPr>
        <w:t>що</w:t>
      </w:r>
      <w:proofErr w:type="spellEnd"/>
      <w:r w:rsidRPr="00670490">
        <w:rPr>
          <w:lang w:val="ru-RU"/>
        </w:rPr>
        <w:t xml:space="preserve"> </w:t>
      </w:r>
      <w:proofErr w:type="spellStart"/>
      <w:r w:rsidRPr="00670490">
        <w:rPr>
          <w:lang w:val="ru-RU"/>
        </w:rPr>
        <w:t>перебували</w:t>
      </w:r>
      <w:proofErr w:type="spellEnd"/>
      <w:r w:rsidRPr="00670490">
        <w:rPr>
          <w:lang w:val="ru-RU"/>
        </w:rPr>
        <w:t xml:space="preserve"> на </w:t>
      </w:r>
      <w:proofErr w:type="spellStart"/>
      <w:r w:rsidRPr="00670490">
        <w:rPr>
          <w:lang w:val="ru-RU"/>
        </w:rPr>
        <w:t>розгляді</w:t>
      </w:r>
      <w:proofErr w:type="spellEnd"/>
      <w:r w:rsidRPr="00670490">
        <w:rPr>
          <w:lang w:val="ru-RU"/>
        </w:rPr>
        <w:t xml:space="preserve"> у 20</w:t>
      </w:r>
      <w:r w:rsidR="00670490" w:rsidRPr="00670490">
        <w:rPr>
          <w:lang w:val="ru-RU"/>
        </w:rPr>
        <w:t>2</w:t>
      </w:r>
      <w:r w:rsidR="00445E00">
        <w:rPr>
          <w:lang w:val="ru-RU"/>
        </w:rPr>
        <w:t>4</w:t>
      </w:r>
      <w:r w:rsidRPr="00670490">
        <w:rPr>
          <w:lang w:val="ru-RU"/>
        </w:rPr>
        <w:t xml:space="preserve"> </w:t>
      </w:r>
      <w:proofErr w:type="spellStart"/>
      <w:r w:rsidRPr="00670490">
        <w:rPr>
          <w:lang w:val="ru-RU"/>
        </w:rPr>
        <w:t>році</w:t>
      </w:r>
      <w:proofErr w:type="spellEnd"/>
      <w:r w:rsidRPr="00670490">
        <w:rPr>
          <w:lang w:val="ru-RU"/>
        </w:rPr>
        <w:t xml:space="preserve"> </w:t>
      </w:r>
      <w:proofErr w:type="spellStart"/>
      <w:r w:rsidRPr="00670490">
        <w:rPr>
          <w:lang w:val="ru-RU"/>
        </w:rPr>
        <w:t>з</w:t>
      </w:r>
      <w:proofErr w:type="spellEnd"/>
      <w:r w:rsidR="00163D3F">
        <w:rPr>
          <w:lang w:val="ru-RU"/>
        </w:rPr>
        <w:t xml:space="preserve"> </w:t>
      </w:r>
      <w:proofErr w:type="spellStart"/>
      <w:r w:rsidR="00163D3F">
        <w:rPr>
          <w:lang w:val="ru-RU"/>
        </w:rPr>
        <w:t>р</w:t>
      </w:r>
      <w:r w:rsidR="001463DE">
        <w:rPr>
          <w:lang w:val="ru-RU"/>
        </w:rPr>
        <w:t>о</w:t>
      </w:r>
      <w:r w:rsidR="00B40907">
        <w:rPr>
          <w:lang w:val="ru-RU"/>
        </w:rPr>
        <w:t>зрахунку</w:t>
      </w:r>
      <w:proofErr w:type="spellEnd"/>
      <w:r w:rsidR="00B40907">
        <w:rPr>
          <w:lang w:val="ru-RU"/>
        </w:rPr>
        <w:t xml:space="preserve"> на 1 </w:t>
      </w:r>
      <w:proofErr w:type="spellStart"/>
      <w:r w:rsidR="00B40907">
        <w:rPr>
          <w:lang w:val="ru-RU"/>
        </w:rPr>
        <w:t>суддю</w:t>
      </w:r>
      <w:proofErr w:type="spellEnd"/>
      <w:r w:rsidR="00B40907">
        <w:rPr>
          <w:lang w:val="ru-RU"/>
        </w:rPr>
        <w:t xml:space="preserve"> </w:t>
      </w:r>
      <w:proofErr w:type="spellStart"/>
      <w:r w:rsidR="00B40907">
        <w:rPr>
          <w:lang w:val="ru-RU"/>
        </w:rPr>
        <w:t>складає</w:t>
      </w:r>
      <w:proofErr w:type="spellEnd"/>
      <w:r w:rsidR="00B40907">
        <w:rPr>
          <w:lang w:val="ru-RU"/>
        </w:rPr>
        <w:t xml:space="preserve"> 1288</w:t>
      </w:r>
      <w:r w:rsidR="00AD15DC">
        <w:rPr>
          <w:lang w:val="ru-RU"/>
        </w:rPr>
        <w:t>.</w:t>
      </w:r>
      <w:r w:rsidRPr="00670490">
        <w:rPr>
          <w:lang w:val="ru-RU"/>
        </w:rPr>
        <w:t xml:space="preserve"> </w:t>
      </w:r>
    </w:p>
    <w:p w:rsidR="009C21EE" w:rsidRPr="00541A8D" w:rsidRDefault="009C21EE" w:rsidP="00541A8D">
      <w:pPr>
        <w:pStyle w:val="21"/>
        <w:spacing w:after="0" w:line="276" w:lineRule="auto"/>
        <w:rPr>
          <w:highlight w:val="yellow"/>
          <w:lang w:val="ru-RU"/>
        </w:rPr>
      </w:pPr>
    </w:p>
    <w:p w:rsidR="009C21EE" w:rsidRPr="00C00384" w:rsidRDefault="009C21EE" w:rsidP="00B7502A">
      <w:pPr>
        <w:pStyle w:val="21"/>
        <w:spacing w:after="0" w:line="276" w:lineRule="auto"/>
        <w:jc w:val="both"/>
        <w:rPr>
          <w:lang w:val="ru-RU"/>
        </w:rPr>
      </w:pPr>
      <w:proofErr w:type="spellStart"/>
      <w:r w:rsidRPr="00C00384">
        <w:rPr>
          <w:b/>
          <w:u w:val="single"/>
          <w:lang w:val="ru-RU"/>
        </w:rPr>
        <w:t>Чисельність</w:t>
      </w:r>
      <w:proofErr w:type="spellEnd"/>
      <w:r w:rsidRPr="00C00384">
        <w:rPr>
          <w:b/>
          <w:u w:val="single"/>
          <w:lang w:val="ru-RU"/>
        </w:rPr>
        <w:t xml:space="preserve"> </w:t>
      </w:r>
      <w:proofErr w:type="spellStart"/>
      <w:r w:rsidRPr="00C00384">
        <w:rPr>
          <w:b/>
          <w:u w:val="single"/>
          <w:lang w:val="ru-RU"/>
        </w:rPr>
        <w:t>населення</w:t>
      </w:r>
      <w:proofErr w:type="spellEnd"/>
      <w:r w:rsidRPr="00C00384">
        <w:rPr>
          <w:b/>
          <w:u w:val="single"/>
          <w:lang w:val="ru-RU"/>
        </w:rPr>
        <w:t xml:space="preserve"> по </w:t>
      </w:r>
      <w:proofErr w:type="spellStart"/>
      <w:r w:rsidR="00B7502A">
        <w:rPr>
          <w:b/>
          <w:u w:val="single"/>
          <w:lang w:val="ru-RU"/>
        </w:rPr>
        <w:t>Харківсь</w:t>
      </w:r>
      <w:r w:rsidRPr="00C00384">
        <w:rPr>
          <w:b/>
          <w:u w:val="single"/>
          <w:lang w:val="ru-RU"/>
        </w:rPr>
        <w:t>кому</w:t>
      </w:r>
      <w:proofErr w:type="spellEnd"/>
      <w:r w:rsidRPr="00C00384">
        <w:rPr>
          <w:b/>
          <w:u w:val="single"/>
          <w:lang w:val="ru-RU"/>
        </w:rPr>
        <w:t xml:space="preserve"> району </w:t>
      </w:r>
      <w:proofErr w:type="spellStart"/>
      <w:r w:rsidRPr="00C00384">
        <w:rPr>
          <w:b/>
          <w:u w:val="single"/>
          <w:lang w:val="ru-RU"/>
        </w:rPr>
        <w:t>Харківської</w:t>
      </w:r>
      <w:proofErr w:type="spellEnd"/>
      <w:r w:rsidRPr="00C00384">
        <w:rPr>
          <w:b/>
          <w:u w:val="single"/>
          <w:lang w:val="ru-RU"/>
        </w:rPr>
        <w:t xml:space="preserve"> </w:t>
      </w:r>
      <w:proofErr w:type="spellStart"/>
      <w:r w:rsidRPr="00C00384">
        <w:rPr>
          <w:b/>
          <w:u w:val="single"/>
          <w:lang w:val="ru-RU"/>
        </w:rPr>
        <w:t>області</w:t>
      </w:r>
      <w:proofErr w:type="spellEnd"/>
      <w:r w:rsidR="00B7502A">
        <w:rPr>
          <w:b/>
          <w:u w:val="single"/>
          <w:lang w:val="ru-RU"/>
        </w:rPr>
        <w:t xml:space="preserve"> (</w:t>
      </w:r>
      <w:proofErr w:type="spellStart"/>
      <w:r w:rsidR="00B7502A">
        <w:rPr>
          <w:b/>
          <w:u w:val="single"/>
          <w:lang w:val="ru-RU"/>
        </w:rPr>
        <w:t>територіальна</w:t>
      </w:r>
      <w:proofErr w:type="spellEnd"/>
      <w:r w:rsidR="00B7502A">
        <w:rPr>
          <w:b/>
          <w:u w:val="single"/>
          <w:lang w:val="ru-RU"/>
        </w:rPr>
        <w:t xml:space="preserve"> </w:t>
      </w:r>
      <w:proofErr w:type="spellStart"/>
      <w:proofErr w:type="gramStart"/>
      <w:r w:rsidR="00B7502A">
        <w:rPr>
          <w:b/>
          <w:u w:val="single"/>
          <w:lang w:val="ru-RU"/>
        </w:rPr>
        <w:t>п</w:t>
      </w:r>
      <w:proofErr w:type="gramEnd"/>
      <w:r w:rsidR="00B7502A">
        <w:rPr>
          <w:b/>
          <w:u w:val="single"/>
          <w:lang w:val="ru-RU"/>
        </w:rPr>
        <w:t>ідсудність</w:t>
      </w:r>
      <w:proofErr w:type="spellEnd"/>
      <w:r w:rsidR="00B7502A">
        <w:rPr>
          <w:b/>
          <w:u w:val="single"/>
          <w:lang w:val="ru-RU"/>
        </w:rPr>
        <w:t xml:space="preserve"> Дергачівського районного суду </w:t>
      </w:r>
      <w:proofErr w:type="spellStart"/>
      <w:r w:rsidR="00B7502A">
        <w:rPr>
          <w:b/>
          <w:u w:val="single"/>
          <w:lang w:val="ru-RU"/>
        </w:rPr>
        <w:t>Харківської</w:t>
      </w:r>
      <w:proofErr w:type="spellEnd"/>
      <w:r w:rsidR="00B7502A">
        <w:rPr>
          <w:b/>
          <w:u w:val="single"/>
          <w:lang w:val="ru-RU"/>
        </w:rPr>
        <w:t xml:space="preserve"> </w:t>
      </w:r>
      <w:proofErr w:type="spellStart"/>
      <w:r w:rsidR="00B7502A">
        <w:rPr>
          <w:b/>
          <w:u w:val="single"/>
          <w:lang w:val="ru-RU"/>
        </w:rPr>
        <w:t>області</w:t>
      </w:r>
      <w:proofErr w:type="spellEnd"/>
      <w:r w:rsidR="00B7502A">
        <w:rPr>
          <w:b/>
          <w:u w:val="single"/>
          <w:lang w:val="ru-RU"/>
        </w:rPr>
        <w:t>)</w:t>
      </w:r>
      <w:r w:rsidR="00E74673" w:rsidRPr="00C00384">
        <w:rPr>
          <w:lang w:val="ru-RU"/>
        </w:rPr>
        <w:t xml:space="preserve"> на 01.01</w:t>
      </w:r>
      <w:r w:rsidR="00424975" w:rsidRPr="00C00384">
        <w:rPr>
          <w:lang w:val="ru-RU"/>
        </w:rPr>
        <w:t>.202</w:t>
      </w:r>
      <w:r w:rsidR="00C00384" w:rsidRPr="00C00384">
        <w:rPr>
          <w:lang w:val="ru-RU"/>
        </w:rPr>
        <w:t>2</w:t>
      </w:r>
      <w:r w:rsidR="00B7502A">
        <w:rPr>
          <w:lang w:val="ru-RU"/>
        </w:rPr>
        <w:t xml:space="preserve">, </w:t>
      </w:r>
      <w:proofErr w:type="spellStart"/>
      <w:r w:rsidR="00B7502A">
        <w:rPr>
          <w:lang w:val="ru-RU"/>
        </w:rPr>
        <w:t>відповідно</w:t>
      </w:r>
      <w:proofErr w:type="spellEnd"/>
      <w:r w:rsidR="00B7502A">
        <w:rPr>
          <w:lang w:val="ru-RU"/>
        </w:rPr>
        <w:t xml:space="preserve"> до </w:t>
      </w:r>
      <w:proofErr w:type="spellStart"/>
      <w:r w:rsidR="00B7502A">
        <w:rPr>
          <w:lang w:val="ru-RU"/>
        </w:rPr>
        <w:t>інформації</w:t>
      </w:r>
      <w:proofErr w:type="spellEnd"/>
      <w:r w:rsidR="00B7502A">
        <w:rPr>
          <w:lang w:val="ru-RU"/>
        </w:rPr>
        <w:t xml:space="preserve"> </w:t>
      </w:r>
      <w:proofErr w:type="spellStart"/>
      <w:r w:rsidR="00B7502A">
        <w:rPr>
          <w:lang w:val="ru-RU"/>
        </w:rPr>
        <w:t>з</w:t>
      </w:r>
      <w:proofErr w:type="spellEnd"/>
      <w:r w:rsidR="00B7502A">
        <w:rPr>
          <w:lang w:val="ru-RU"/>
        </w:rPr>
        <w:t xml:space="preserve"> сайту</w:t>
      </w:r>
      <w:r w:rsidRPr="00C00384">
        <w:rPr>
          <w:lang w:val="ru-RU"/>
        </w:rPr>
        <w:t xml:space="preserve"> головного </w:t>
      </w:r>
      <w:proofErr w:type="spellStart"/>
      <w:r w:rsidRPr="00C00384">
        <w:rPr>
          <w:lang w:val="ru-RU"/>
        </w:rPr>
        <w:t>управління</w:t>
      </w:r>
      <w:proofErr w:type="spellEnd"/>
      <w:r w:rsidRPr="00C00384">
        <w:rPr>
          <w:lang w:val="ru-RU"/>
        </w:rPr>
        <w:t xml:space="preserve"> статистики </w:t>
      </w:r>
      <w:proofErr w:type="spellStart"/>
      <w:r w:rsidRPr="00C00384">
        <w:rPr>
          <w:lang w:val="ru-RU"/>
        </w:rPr>
        <w:t>Харківської</w:t>
      </w:r>
      <w:proofErr w:type="spellEnd"/>
      <w:r w:rsidRPr="00C00384">
        <w:rPr>
          <w:lang w:val="ru-RU"/>
        </w:rPr>
        <w:t xml:space="preserve"> </w:t>
      </w:r>
      <w:proofErr w:type="spellStart"/>
      <w:r w:rsidRPr="00C00384">
        <w:rPr>
          <w:lang w:val="ru-RU"/>
        </w:rPr>
        <w:t>області</w:t>
      </w:r>
      <w:proofErr w:type="spellEnd"/>
      <w:r w:rsidR="00C6766E">
        <w:rPr>
          <w:lang w:val="ru-RU"/>
        </w:rPr>
        <w:t xml:space="preserve"> </w:t>
      </w:r>
      <w:r w:rsidR="00B7502A">
        <w:rPr>
          <w:lang w:val="ru-RU"/>
        </w:rPr>
        <w:t xml:space="preserve">та </w:t>
      </w:r>
      <w:proofErr w:type="spellStart"/>
      <w:r w:rsidR="00B7502A">
        <w:rPr>
          <w:lang w:val="ru-RU"/>
        </w:rPr>
        <w:t>довідок</w:t>
      </w:r>
      <w:proofErr w:type="spellEnd"/>
      <w:r w:rsidR="00B7502A">
        <w:rPr>
          <w:lang w:val="ru-RU"/>
        </w:rPr>
        <w:t xml:space="preserve"> </w:t>
      </w:r>
      <w:proofErr w:type="spellStart"/>
      <w:r w:rsidR="00B7502A">
        <w:rPr>
          <w:lang w:val="ru-RU"/>
        </w:rPr>
        <w:t>Дергачівської</w:t>
      </w:r>
      <w:proofErr w:type="spellEnd"/>
      <w:r w:rsidR="00B7502A">
        <w:rPr>
          <w:lang w:val="ru-RU"/>
        </w:rPr>
        <w:t xml:space="preserve"> </w:t>
      </w:r>
      <w:proofErr w:type="spellStart"/>
      <w:r w:rsidR="00B7502A">
        <w:rPr>
          <w:lang w:val="ru-RU"/>
        </w:rPr>
        <w:t>міської</w:t>
      </w:r>
      <w:proofErr w:type="spellEnd"/>
      <w:r w:rsidR="00B7502A">
        <w:rPr>
          <w:lang w:val="ru-RU"/>
        </w:rPr>
        <w:t xml:space="preserve"> ради </w:t>
      </w:r>
      <w:proofErr w:type="spellStart"/>
      <w:r w:rsidR="00B7502A">
        <w:rPr>
          <w:lang w:val="ru-RU"/>
        </w:rPr>
        <w:t>Харківського</w:t>
      </w:r>
      <w:proofErr w:type="spellEnd"/>
      <w:r w:rsidR="00B7502A">
        <w:rPr>
          <w:lang w:val="ru-RU"/>
        </w:rPr>
        <w:t xml:space="preserve"> району </w:t>
      </w:r>
      <w:proofErr w:type="spellStart"/>
      <w:r w:rsidR="00B7502A">
        <w:rPr>
          <w:lang w:val="ru-RU"/>
        </w:rPr>
        <w:t>Харківської</w:t>
      </w:r>
      <w:proofErr w:type="spellEnd"/>
      <w:r w:rsidR="00B7502A">
        <w:rPr>
          <w:lang w:val="ru-RU"/>
        </w:rPr>
        <w:t xml:space="preserve"> </w:t>
      </w:r>
      <w:proofErr w:type="spellStart"/>
      <w:r w:rsidR="00B7502A">
        <w:rPr>
          <w:lang w:val="ru-RU"/>
        </w:rPr>
        <w:t>області</w:t>
      </w:r>
      <w:proofErr w:type="spellEnd"/>
      <w:r w:rsidR="00B7502A">
        <w:rPr>
          <w:lang w:val="ru-RU"/>
        </w:rPr>
        <w:t xml:space="preserve">, </w:t>
      </w:r>
      <w:proofErr w:type="spellStart"/>
      <w:r w:rsidR="00B7502A">
        <w:rPr>
          <w:lang w:val="ru-RU"/>
        </w:rPr>
        <w:t>Малоданицівської</w:t>
      </w:r>
      <w:proofErr w:type="spellEnd"/>
      <w:r w:rsidR="00B7502A">
        <w:rPr>
          <w:lang w:val="ru-RU"/>
        </w:rPr>
        <w:t xml:space="preserve"> </w:t>
      </w:r>
      <w:proofErr w:type="spellStart"/>
      <w:r w:rsidR="00B7502A">
        <w:rPr>
          <w:lang w:val="ru-RU"/>
        </w:rPr>
        <w:t>селищної</w:t>
      </w:r>
      <w:proofErr w:type="spellEnd"/>
      <w:r w:rsidR="00B7502A">
        <w:rPr>
          <w:lang w:val="ru-RU"/>
        </w:rPr>
        <w:t xml:space="preserve">  ТГ </w:t>
      </w:r>
      <w:proofErr w:type="spellStart"/>
      <w:r w:rsidR="00B7502A">
        <w:rPr>
          <w:lang w:val="ru-RU"/>
        </w:rPr>
        <w:t>Харківського</w:t>
      </w:r>
      <w:proofErr w:type="spellEnd"/>
      <w:r w:rsidR="00B7502A">
        <w:rPr>
          <w:lang w:val="ru-RU"/>
        </w:rPr>
        <w:t xml:space="preserve"> району </w:t>
      </w:r>
      <w:proofErr w:type="spellStart"/>
      <w:r w:rsidR="00B7502A">
        <w:rPr>
          <w:lang w:val="ru-RU"/>
        </w:rPr>
        <w:t>Харківської</w:t>
      </w:r>
      <w:proofErr w:type="spellEnd"/>
      <w:r w:rsidR="00B7502A">
        <w:rPr>
          <w:lang w:val="ru-RU"/>
        </w:rPr>
        <w:t xml:space="preserve"> </w:t>
      </w:r>
      <w:proofErr w:type="spellStart"/>
      <w:r w:rsidR="00B7502A">
        <w:rPr>
          <w:lang w:val="ru-RU"/>
        </w:rPr>
        <w:t>області</w:t>
      </w:r>
      <w:proofErr w:type="spellEnd"/>
      <w:r w:rsidR="00B7502A">
        <w:rPr>
          <w:lang w:val="ru-RU"/>
        </w:rPr>
        <w:t xml:space="preserve">, </w:t>
      </w:r>
      <w:proofErr w:type="spellStart"/>
      <w:r w:rsidR="00B7502A">
        <w:rPr>
          <w:lang w:val="ru-RU"/>
        </w:rPr>
        <w:t>Солоницівської</w:t>
      </w:r>
      <w:proofErr w:type="spellEnd"/>
      <w:r w:rsidR="00B7502A">
        <w:rPr>
          <w:lang w:val="ru-RU"/>
        </w:rPr>
        <w:t xml:space="preserve">  </w:t>
      </w:r>
      <w:proofErr w:type="spellStart"/>
      <w:r w:rsidR="00B7502A">
        <w:rPr>
          <w:lang w:val="ru-RU"/>
        </w:rPr>
        <w:t>селищної</w:t>
      </w:r>
      <w:proofErr w:type="spellEnd"/>
      <w:r w:rsidR="00B7502A">
        <w:rPr>
          <w:lang w:val="ru-RU"/>
        </w:rPr>
        <w:t xml:space="preserve"> ради </w:t>
      </w:r>
      <w:proofErr w:type="spellStart"/>
      <w:r w:rsidR="00B7502A">
        <w:rPr>
          <w:lang w:val="ru-RU"/>
        </w:rPr>
        <w:t>Харківського</w:t>
      </w:r>
      <w:proofErr w:type="spellEnd"/>
      <w:r w:rsidR="00B7502A">
        <w:rPr>
          <w:lang w:val="ru-RU"/>
        </w:rPr>
        <w:t xml:space="preserve"> району </w:t>
      </w:r>
      <w:proofErr w:type="spellStart"/>
      <w:r w:rsidR="00B7502A">
        <w:rPr>
          <w:lang w:val="ru-RU"/>
        </w:rPr>
        <w:t>Харківської</w:t>
      </w:r>
      <w:proofErr w:type="spellEnd"/>
      <w:r w:rsidR="00B7502A">
        <w:rPr>
          <w:lang w:val="ru-RU"/>
        </w:rPr>
        <w:t xml:space="preserve"> </w:t>
      </w:r>
      <w:proofErr w:type="spellStart"/>
      <w:r w:rsidR="00B7502A">
        <w:rPr>
          <w:lang w:val="ru-RU"/>
        </w:rPr>
        <w:t>області</w:t>
      </w:r>
      <w:proofErr w:type="spellEnd"/>
      <w:r w:rsidR="00B7502A">
        <w:rPr>
          <w:lang w:val="ru-RU"/>
        </w:rPr>
        <w:t xml:space="preserve"> </w:t>
      </w:r>
      <w:proofErr w:type="spellStart"/>
      <w:r w:rsidRPr="00C00384">
        <w:rPr>
          <w:lang w:val="ru-RU"/>
        </w:rPr>
        <w:t>є</w:t>
      </w:r>
      <w:proofErr w:type="spellEnd"/>
      <w:r w:rsidRPr="00C00384">
        <w:rPr>
          <w:lang w:val="ru-RU"/>
        </w:rPr>
        <w:t xml:space="preserve"> </w:t>
      </w:r>
      <w:proofErr w:type="gramStart"/>
      <w:r w:rsidRPr="00C00384">
        <w:rPr>
          <w:lang w:val="ru-RU"/>
        </w:rPr>
        <w:t>такою</w:t>
      </w:r>
      <w:proofErr w:type="gramEnd"/>
      <w:r w:rsidRPr="00C00384">
        <w:rPr>
          <w:lang w:val="ru-RU"/>
        </w:rPr>
        <w:t>:</w:t>
      </w:r>
      <w:r w:rsidR="008D00A9">
        <w:rPr>
          <w:lang w:val="ru-RU"/>
        </w:rPr>
        <w:t xml:space="preserve"> </w:t>
      </w:r>
      <w:proofErr w:type="spellStart"/>
      <w:r w:rsidR="008D00A9">
        <w:rPr>
          <w:lang w:val="ru-RU"/>
        </w:rPr>
        <w:t>постійне</w:t>
      </w:r>
      <w:proofErr w:type="spellEnd"/>
      <w:r w:rsidR="008D00A9">
        <w:rPr>
          <w:lang w:val="ru-RU"/>
        </w:rPr>
        <w:t xml:space="preserve"> </w:t>
      </w:r>
      <w:proofErr w:type="spellStart"/>
      <w:r w:rsidR="008D00A9">
        <w:rPr>
          <w:lang w:val="ru-RU"/>
        </w:rPr>
        <w:t>населення</w:t>
      </w:r>
      <w:proofErr w:type="spellEnd"/>
      <w:r w:rsidR="008D00A9">
        <w:rPr>
          <w:lang w:val="ru-RU"/>
        </w:rPr>
        <w:t xml:space="preserve"> </w:t>
      </w:r>
      <w:proofErr w:type="spellStart"/>
      <w:r w:rsidR="008D00A9">
        <w:rPr>
          <w:lang w:val="ru-RU"/>
        </w:rPr>
        <w:t>колишнього</w:t>
      </w:r>
      <w:proofErr w:type="spellEnd"/>
      <w:r w:rsidR="008D00A9">
        <w:rPr>
          <w:lang w:val="ru-RU"/>
        </w:rPr>
        <w:t xml:space="preserve"> Дергачівського району </w:t>
      </w:r>
      <w:proofErr w:type="spellStart"/>
      <w:r w:rsidR="008D00A9">
        <w:rPr>
          <w:lang w:val="ru-RU"/>
        </w:rPr>
        <w:t>складає</w:t>
      </w:r>
      <w:proofErr w:type="spellEnd"/>
      <w:r w:rsidR="008D00A9">
        <w:rPr>
          <w:lang w:val="ru-RU"/>
        </w:rPr>
        <w:t xml:space="preserve">  91 171 </w:t>
      </w:r>
      <w:proofErr w:type="spellStart"/>
      <w:r w:rsidR="008D00A9">
        <w:rPr>
          <w:lang w:val="ru-RU"/>
        </w:rPr>
        <w:t>осіб</w:t>
      </w:r>
      <w:proofErr w:type="spellEnd"/>
      <w:r w:rsidR="008D00A9">
        <w:rPr>
          <w:lang w:val="ru-RU"/>
        </w:rPr>
        <w:t>.</w:t>
      </w:r>
    </w:p>
    <w:p w:rsidR="00670490" w:rsidRDefault="003E7D26" w:rsidP="008D00A9">
      <w:pPr>
        <w:pStyle w:val="21"/>
        <w:spacing w:after="0" w:line="276" w:lineRule="auto"/>
        <w:ind w:firstLine="425"/>
        <w:jc w:val="both"/>
        <w:rPr>
          <w:lang w:val="uk-UA"/>
        </w:rPr>
      </w:pPr>
      <w:r w:rsidRPr="003E7D26">
        <w:rPr>
          <w:lang w:val="uk-UA"/>
        </w:rPr>
        <w:t xml:space="preserve">Крім того, </w:t>
      </w:r>
      <w:r>
        <w:rPr>
          <w:lang w:val="uk-UA"/>
        </w:rPr>
        <w:t xml:space="preserve">Дергачівський районний суд Харківської області, у зв’язку зі зміною територіальної підсудності </w:t>
      </w:r>
      <w:proofErr w:type="spellStart"/>
      <w:r>
        <w:rPr>
          <w:lang w:val="uk-UA"/>
        </w:rPr>
        <w:t>Золочівського</w:t>
      </w:r>
      <w:proofErr w:type="spellEnd"/>
      <w:r>
        <w:rPr>
          <w:lang w:val="uk-UA"/>
        </w:rPr>
        <w:t xml:space="preserve"> районного суду Харківської області, з 01.05.2023 року обслуговує територію </w:t>
      </w:r>
      <w:proofErr w:type="spellStart"/>
      <w:r>
        <w:rPr>
          <w:lang w:val="uk-UA"/>
        </w:rPr>
        <w:t>Золочівської</w:t>
      </w:r>
      <w:proofErr w:type="spellEnd"/>
      <w:r>
        <w:rPr>
          <w:lang w:val="uk-UA"/>
        </w:rPr>
        <w:t xml:space="preserve"> селищної громади, з кількістю населення на 01.01.2022</w:t>
      </w:r>
      <w:r w:rsidR="008D00A9">
        <w:rPr>
          <w:lang w:val="uk-UA"/>
        </w:rPr>
        <w:t>,</w:t>
      </w:r>
      <w:r>
        <w:rPr>
          <w:lang w:val="uk-UA"/>
        </w:rPr>
        <w:t xml:space="preserve"> відповідно до інформації з сайту громади</w:t>
      </w:r>
      <w:r w:rsidR="008D00A9">
        <w:rPr>
          <w:lang w:val="uk-UA"/>
        </w:rPr>
        <w:t>, складає</w:t>
      </w:r>
      <w:r>
        <w:rPr>
          <w:lang w:val="uk-UA"/>
        </w:rPr>
        <w:t xml:space="preserve"> 24 776 осіб.  </w:t>
      </w:r>
    </w:p>
    <w:p w:rsidR="003E7D26" w:rsidRDefault="003E7D26" w:rsidP="003E7D26">
      <w:pPr>
        <w:pStyle w:val="21"/>
        <w:spacing w:after="0" w:line="276" w:lineRule="auto"/>
        <w:ind w:firstLine="425"/>
        <w:rPr>
          <w:b/>
          <w:lang w:val="uk-UA"/>
        </w:rPr>
      </w:pPr>
    </w:p>
    <w:p w:rsidR="003E7D26" w:rsidRPr="003E7D26" w:rsidRDefault="003E7D26" w:rsidP="003E7D26">
      <w:pPr>
        <w:pStyle w:val="21"/>
        <w:spacing w:after="0" w:line="276" w:lineRule="auto"/>
        <w:ind w:firstLine="425"/>
        <w:rPr>
          <w:b/>
          <w:lang w:val="uk-UA"/>
        </w:rPr>
      </w:pPr>
      <w:r w:rsidRPr="003E7D26">
        <w:rPr>
          <w:b/>
          <w:lang w:val="uk-UA"/>
        </w:rPr>
        <w:t xml:space="preserve">Таким чином, загальна чисельність населення, на яку поширюється територіальна підсудність Дергачівського районного суду Харківської області </w:t>
      </w:r>
      <w:r w:rsidR="008D00A9">
        <w:rPr>
          <w:b/>
          <w:lang w:val="uk-UA"/>
        </w:rPr>
        <w:t xml:space="preserve"> -</w:t>
      </w:r>
      <w:r w:rsidRPr="003E7D26">
        <w:rPr>
          <w:b/>
          <w:lang w:val="uk-UA"/>
        </w:rPr>
        <w:t xml:space="preserve"> 115 947 осіб. </w:t>
      </w:r>
    </w:p>
    <w:p w:rsidR="003E7D26" w:rsidRPr="003E7D26" w:rsidRDefault="003E7D26" w:rsidP="00541A8D">
      <w:pPr>
        <w:pStyle w:val="21"/>
        <w:spacing w:after="0" w:line="276" w:lineRule="auto"/>
        <w:rPr>
          <w:lang w:val="uk-UA"/>
        </w:rPr>
      </w:pPr>
    </w:p>
    <w:p w:rsidR="009C21EE" w:rsidRPr="00ED206A" w:rsidRDefault="009C21EE" w:rsidP="00A85A34">
      <w:pPr>
        <w:pStyle w:val="21"/>
        <w:spacing w:after="0" w:line="276" w:lineRule="auto"/>
        <w:ind w:firstLine="425"/>
        <w:jc w:val="both"/>
        <w:rPr>
          <w:lang w:val="uk-UA"/>
        </w:rPr>
      </w:pPr>
      <w:r w:rsidRPr="00A85A34">
        <w:rPr>
          <w:lang w:val="uk-UA"/>
        </w:rPr>
        <w:t xml:space="preserve">Результати проведеного огляду роботи суду обговорено на оперативній нараді Дергачівського районного суду Харківської області, де голова суду зазначив, що незважаючи на </w:t>
      </w:r>
      <w:r w:rsidR="003E20C9">
        <w:rPr>
          <w:lang w:val="uk-UA"/>
        </w:rPr>
        <w:t>не</w:t>
      </w:r>
      <w:r w:rsidR="00A45EE4">
        <w:rPr>
          <w:lang w:val="uk-UA"/>
        </w:rPr>
        <w:t xml:space="preserve">суттєве </w:t>
      </w:r>
      <w:r w:rsidR="003E20C9">
        <w:rPr>
          <w:lang w:val="uk-UA"/>
        </w:rPr>
        <w:t>зменшення загального</w:t>
      </w:r>
      <w:r w:rsidR="001F1E6C">
        <w:rPr>
          <w:lang w:val="uk-UA"/>
        </w:rPr>
        <w:t xml:space="preserve"> </w:t>
      </w:r>
      <w:r w:rsidR="003E20C9">
        <w:rPr>
          <w:lang w:val="uk-UA"/>
        </w:rPr>
        <w:t xml:space="preserve">показника </w:t>
      </w:r>
      <w:r w:rsidRPr="00A85A34">
        <w:rPr>
          <w:lang w:val="uk-UA"/>
        </w:rPr>
        <w:t>надходження кількості справ</w:t>
      </w:r>
      <w:r w:rsidR="003E20C9">
        <w:rPr>
          <w:lang w:val="uk-UA"/>
        </w:rPr>
        <w:t>, по більшості категорій справ простежується збільшення показників надходження</w:t>
      </w:r>
      <w:r w:rsidRPr="00A85A34">
        <w:rPr>
          <w:lang w:val="uk-UA"/>
        </w:rPr>
        <w:t xml:space="preserve"> </w:t>
      </w:r>
      <w:r w:rsidR="003E20C9">
        <w:rPr>
          <w:lang w:val="uk-UA"/>
        </w:rPr>
        <w:t>та розгляду справ</w:t>
      </w:r>
      <w:r w:rsidRPr="00A85A34">
        <w:rPr>
          <w:lang w:val="uk-UA"/>
        </w:rPr>
        <w:t xml:space="preserve">  </w:t>
      </w:r>
      <w:r w:rsidR="00A85A34">
        <w:rPr>
          <w:lang w:val="uk-UA"/>
        </w:rPr>
        <w:t xml:space="preserve">у </w:t>
      </w:r>
      <w:r w:rsidR="00387785">
        <w:rPr>
          <w:lang w:val="uk-UA"/>
        </w:rPr>
        <w:t xml:space="preserve"> </w:t>
      </w:r>
      <w:r w:rsidR="00A85A34">
        <w:rPr>
          <w:lang w:val="uk-UA"/>
        </w:rPr>
        <w:t>202</w:t>
      </w:r>
      <w:r w:rsidR="00F93AF5">
        <w:rPr>
          <w:lang w:val="uk-UA"/>
        </w:rPr>
        <w:t>5</w:t>
      </w:r>
      <w:r w:rsidRPr="00A85A34">
        <w:rPr>
          <w:lang w:val="uk-UA"/>
        </w:rPr>
        <w:t xml:space="preserve"> році</w:t>
      </w:r>
      <w:r w:rsidR="003E20C9">
        <w:rPr>
          <w:lang w:val="uk-UA"/>
        </w:rPr>
        <w:t>.</w:t>
      </w:r>
      <w:r w:rsidRPr="00A85A34">
        <w:rPr>
          <w:lang w:val="uk-UA"/>
        </w:rPr>
        <w:t xml:space="preserve">  </w:t>
      </w:r>
      <w:r w:rsidR="003E20C9">
        <w:rPr>
          <w:lang w:val="uk-UA"/>
        </w:rPr>
        <w:t>Р</w:t>
      </w:r>
      <w:r w:rsidRPr="00A85A34">
        <w:rPr>
          <w:lang w:val="uk-UA"/>
        </w:rPr>
        <w:t xml:space="preserve">обота суддів відзначається злагодженістю та професіоналізмом. </w:t>
      </w:r>
      <w:r w:rsidRPr="00ED206A">
        <w:rPr>
          <w:bCs/>
          <w:iCs/>
          <w:lang w:val="uk-UA"/>
        </w:rPr>
        <w:t>Також н</w:t>
      </w:r>
      <w:r w:rsidRPr="00ED206A">
        <w:rPr>
          <w:lang w:val="uk-UA"/>
        </w:rPr>
        <w:t>аголошено на необхідності покращення показників роботи суду,  недопущенні помилок в застосуванні чинного законодавства, та підвищення професіонального рівня суддів та працівників апарату суду.</w:t>
      </w:r>
    </w:p>
    <w:p w:rsidR="005F422D" w:rsidRDefault="00F97C0D" w:rsidP="00541A8D">
      <w:pPr>
        <w:spacing w:line="276" w:lineRule="auto"/>
        <w:ind w:firstLine="720"/>
        <w:jc w:val="both"/>
        <w:rPr>
          <w:lang w:val="uk-UA"/>
        </w:rPr>
      </w:pPr>
      <w:r w:rsidRPr="00A85A34">
        <w:rPr>
          <w:lang w:val="uk-UA"/>
        </w:rPr>
        <w:t xml:space="preserve">  </w:t>
      </w:r>
      <w:r w:rsidR="0038674E" w:rsidRPr="00A85A34">
        <w:rPr>
          <w:lang w:val="uk-UA"/>
        </w:rPr>
        <w:t xml:space="preserve"> </w:t>
      </w:r>
    </w:p>
    <w:p w:rsidR="009C21EE" w:rsidRDefault="009C21EE" w:rsidP="00541A8D">
      <w:pPr>
        <w:spacing w:line="276" w:lineRule="auto"/>
        <w:rPr>
          <w:bCs/>
          <w:lang w:val="ru-RU"/>
        </w:rPr>
      </w:pPr>
      <w:proofErr w:type="spellStart"/>
      <w:r w:rsidRPr="00A85A34">
        <w:rPr>
          <w:bCs/>
          <w:lang w:val="ru-RU"/>
        </w:rPr>
        <w:t>Керівник</w:t>
      </w:r>
      <w:proofErr w:type="spellEnd"/>
      <w:r w:rsidRPr="00A85A34">
        <w:rPr>
          <w:bCs/>
          <w:lang w:val="ru-RU"/>
        </w:rPr>
        <w:t xml:space="preserve">  апарату </w:t>
      </w:r>
      <w:r w:rsidRPr="00A85A34">
        <w:rPr>
          <w:bCs/>
          <w:lang w:val="ru-RU"/>
        </w:rPr>
        <w:tab/>
      </w:r>
      <w:r w:rsidRPr="00A85A34">
        <w:rPr>
          <w:bCs/>
          <w:lang w:val="ru-RU"/>
        </w:rPr>
        <w:tab/>
      </w:r>
      <w:r w:rsidRPr="00A85A34">
        <w:rPr>
          <w:bCs/>
          <w:lang w:val="ru-RU"/>
        </w:rPr>
        <w:tab/>
      </w:r>
      <w:r w:rsidRPr="00A85A34">
        <w:rPr>
          <w:bCs/>
          <w:lang w:val="ru-RU"/>
        </w:rPr>
        <w:tab/>
      </w:r>
      <w:r w:rsidRPr="00A85A34">
        <w:rPr>
          <w:bCs/>
          <w:lang w:val="ru-RU"/>
        </w:rPr>
        <w:tab/>
      </w:r>
      <w:r w:rsidRPr="00A85A34">
        <w:rPr>
          <w:bCs/>
          <w:lang w:val="ru-RU"/>
        </w:rPr>
        <w:tab/>
      </w:r>
      <w:r w:rsidRPr="00A85A34">
        <w:rPr>
          <w:bCs/>
          <w:lang w:val="ru-RU"/>
        </w:rPr>
        <w:tab/>
      </w:r>
      <w:r w:rsidRPr="00A85A34">
        <w:rPr>
          <w:bCs/>
          <w:lang w:val="ru-RU"/>
        </w:rPr>
        <w:tab/>
        <w:t xml:space="preserve">             </w:t>
      </w:r>
      <w:r w:rsidR="00163D3F">
        <w:rPr>
          <w:bCs/>
          <w:lang w:val="ru-RU"/>
        </w:rPr>
        <w:t>Анна ДУМНОВА</w:t>
      </w:r>
    </w:p>
    <w:p w:rsidR="0047557A" w:rsidRDefault="0047557A" w:rsidP="00541A8D">
      <w:pPr>
        <w:spacing w:line="276" w:lineRule="auto"/>
        <w:rPr>
          <w:bCs/>
          <w:lang w:val="ru-RU"/>
        </w:rPr>
      </w:pPr>
    </w:p>
    <w:p w:rsidR="0047557A" w:rsidRDefault="0047557A" w:rsidP="00541A8D">
      <w:pPr>
        <w:spacing w:line="276" w:lineRule="auto"/>
        <w:rPr>
          <w:bCs/>
          <w:sz w:val="20"/>
          <w:szCs w:val="20"/>
          <w:lang w:val="ru-RU"/>
        </w:rPr>
      </w:pPr>
      <w:r w:rsidRPr="0047557A">
        <w:rPr>
          <w:bCs/>
          <w:sz w:val="20"/>
          <w:szCs w:val="20"/>
          <w:lang w:val="ru-RU"/>
        </w:rPr>
        <w:t>(05763) 3-02-62</w:t>
      </w:r>
    </w:p>
    <w:p w:rsidR="003B7098" w:rsidRDefault="003B7098" w:rsidP="00541A8D">
      <w:pPr>
        <w:spacing w:line="276" w:lineRule="auto"/>
        <w:rPr>
          <w:bCs/>
          <w:sz w:val="20"/>
          <w:szCs w:val="20"/>
          <w:lang w:val="ru-RU"/>
        </w:rPr>
      </w:pPr>
    </w:p>
    <w:sectPr w:rsidR="003B7098" w:rsidSect="003E7D26">
      <w:pgSz w:w="11906" w:h="16838"/>
      <w:pgMar w:top="709" w:right="566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020"/>
    <w:multiLevelType w:val="hybridMultilevel"/>
    <w:tmpl w:val="FA6812F8"/>
    <w:lvl w:ilvl="0" w:tplc="DCFC41C8"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261242"/>
    <w:multiLevelType w:val="hybridMultilevel"/>
    <w:tmpl w:val="DE9C8C92"/>
    <w:lvl w:ilvl="0" w:tplc="8FB451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D4EC5"/>
    <w:multiLevelType w:val="hybridMultilevel"/>
    <w:tmpl w:val="949812B4"/>
    <w:lvl w:ilvl="0" w:tplc="3F1C84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77507"/>
    <w:multiLevelType w:val="hybridMultilevel"/>
    <w:tmpl w:val="8AF41B0E"/>
    <w:lvl w:ilvl="0" w:tplc="72FEF2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C3642"/>
    <w:multiLevelType w:val="hybridMultilevel"/>
    <w:tmpl w:val="CE84491C"/>
    <w:lvl w:ilvl="0" w:tplc="99BE986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7BB097F"/>
    <w:multiLevelType w:val="hybridMultilevel"/>
    <w:tmpl w:val="BB30AB16"/>
    <w:lvl w:ilvl="0" w:tplc="0E902FD8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9F1AE7"/>
    <w:multiLevelType w:val="hybridMultilevel"/>
    <w:tmpl w:val="2FCE6B30"/>
    <w:lvl w:ilvl="0" w:tplc="F9D030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A0AE8"/>
    <w:multiLevelType w:val="hybridMultilevel"/>
    <w:tmpl w:val="8C34526C"/>
    <w:lvl w:ilvl="0" w:tplc="E4008A5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D827E1"/>
    <w:multiLevelType w:val="hybridMultilevel"/>
    <w:tmpl w:val="CDD61720"/>
    <w:lvl w:ilvl="0" w:tplc="69F6676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CD51B2"/>
    <w:multiLevelType w:val="hybridMultilevel"/>
    <w:tmpl w:val="516036D8"/>
    <w:lvl w:ilvl="0" w:tplc="F8A445DA">
      <w:numFmt w:val="bullet"/>
      <w:lvlText w:val="-"/>
      <w:lvlJc w:val="left"/>
      <w:pPr>
        <w:ind w:left="11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0">
    <w:nsid w:val="2C5627BD"/>
    <w:multiLevelType w:val="hybridMultilevel"/>
    <w:tmpl w:val="4B6A9DB2"/>
    <w:lvl w:ilvl="0" w:tplc="5F141FF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4144E6"/>
    <w:multiLevelType w:val="hybridMultilevel"/>
    <w:tmpl w:val="0CFEBD02"/>
    <w:lvl w:ilvl="0" w:tplc="34309C70">
      <w:start w:val="15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2C574E1"/>
    <w:multiLevelType w:val="hybridMultilevel"/>
    <w:tmpl w:val="917E13AA"/>
    <w:lvl w:ilvl="0" w:tplc="7444BD2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5E3096"/>
    <w:multiLevelType w:val="hybridMultilevel"/>
    <w:tmpl w:val="F4A0455E"/>
    <w:lvl w:ilvl="0" w:tplc="EB4A0FE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6B5C81"/>
    <w:multiLevelType w:val="hybridMultilevel"/>
    <w:tmpl w:val="5582C790"/>
    <w:lvl w:ilvl="0" w:tplc="766A51CC">
      <w:start w:val="1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43926E15"/>
    <w:multiLevelType w:val="hybridMultilevel"/>
    <w:tmpl w:val="FE14EB9E"/>
    <w:lvl w:ilvl="0" w:tplc="B9FA28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74827"/>
    <w:multiLevelType w:val="hybridMultilevel"/>
    <w:tmpl w:val="87E293C4"/>
    <w:lvl w:ilvl="0" w:tplc="8620DC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AA2544"/>
    <w:multiLevelType w:val="hybridMultilevel"/>
    <w:tmpl w:val="90266A74"/>
    <w:lvl w:ilvl="0" w:tplc="E236D1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AE0234"/>
    <w:multiLevelType w:val="hybridMultilevel"/>
    <w:tmpl w:val="CC70814A"/>
    <w:lvl w:ilvl="0" w:tplc="B448E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E6498D"/>
    <w:multiLevelType w:val="hybridMultilevel"/>
    <w:tmpl w:val="20220D9A"/>
    <w:lvl w:ilvl="0" w:tplc="682E2F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C2A0A"/>
    <w:multiLevelType w:val="hybridMultilevel"/>
    <w:tmpl w:val="9B069BF2"/>
    <w:lvl w:ilvl="0" w:tplc="73F631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F30DEE"/>
    <w:multiLevelType w:val="hybridMultilevel"/>
    <w:tmpl w:val="ACC6CAC8"/>
    <w:lvl w:ilvl="0" w:tplc="15B2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3D1979"/>
    <w:multiLevelType w:val="hybridMultilevel"/>
    <w:tmpl w:val="D4BE0320"/>
    <w:lvl w:ilvl="0" w:tplc="B0DA52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5"/>
  </w:num>
  <w:num w:numId="5">
    <w:abstractNumId w:val="22"/>
  </w:num>
  <w:num w:numId="6">
    <w:abstractNumId w:val="8"/>
  </w:num>
  <w:num w:numId="7">
    <w:abstractNumId w:val="15"/>
  </w:num>
  <w:num w:numId="8">
    <w:abstractNumId w:val="16"/>
  </w:num>
  <w:num w:numId="9">
    <w:abstractNumId w:val="10"/>
  </w:num>
  <w:num w:numId="10">
    <w:abstractNumId w:val="18"/>
  </w:num>
  <w:num w:numId="11">
    <w:abstractNumId w:val="0"/>
  </w:num>
  <w:num w:numId="12">
    <w:abstractNumId w:val="2"/>
  </w:num>
  <w:num w:numId="13">
    <w:abstractNumId w:val="20"/>
  </w:num>
  <w:num w:numId="14">
    <w:abstractNumId w:val="19"/>
  </w:num>
  <w:num w:numId="15">
    <w:abstractNumId w:val="14"/>
  </w:num>
  <w:num w:numId="16">
    <w:abstractNumId w:val="11"/>
  </w:num>
  <w:num w:numId="17">
    <w:abstractNumId w:val="13"/>
  </w:num>
  <w:num w:numId="18">
    <w:abstractNumId w:val="9"/>
  </w:num>
  <w:num w:numId="19">
    <w:abstractNumId w:val="7"/>
  </w:num>
  <w:num w:numId="20">
    <w:abstractNumId w:val="17"/>
  </w:num>
  <w:num w:numId="21">
    <w:abstractNumId w:val="1"/>
  </w:num>
  <w:num w:numId="22">
    <w:abstractNumId w:val="6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768F0"/>
    <w:rsid w:val="00000207"/>
    <w:rsid w:val="000003E2"/>
    <w:rsid w:val="00000A36"/>
    <w:rsid w:val="000012E3"/>
    <w:rsid w:val="000019D1"/>
    <w:rsid w:val="00001AC6"/>
    <w:rsid w:val="000023AE"/>
    <w:rsid w:val="00002436"/>
    <w:rsid w:val="00002442"/>
    <w:rsid w:val="00002451"/>
    <w:rsid w:val="0000320A"/>
    <w:rsid w:val="000039A4"/>
    <w:rsid w:val="00003ACA"/>
    <w:rsid w:val="00004025"/>
    <w:rsid w:val="00004381"/>
    <w:rsid w:val="00004F84"/>
    <w:rsid w:val="000057D3"/>
    <w:rsid w:val="00006272"/>
    <w:rsid w:val="00006E56"/>
    <w:rsid w:val="00006F17"/>
    <w:rsid w:val="0000776A"/>
    <w:rsid w:val="00007FBE"/>
    <w:rsid w:val="0001015C"/>
    <w:rsid w:val="00010799"/>
    <w:rsid w:val="0001131A"/>
    <w:rsid w:val="00011751"/>
    <w:rsid w:val="00011F04"/>
    <w:rsid w:val="00011F43"/>
    <w:rsid w:val="00012924"/>
    <w:rsid w:val="000129AC"/>
    <w:rsid w:val="000134CA"/>
    <w:rsid w:val="000139A5"/>
    <w:rsid w:val="00013B7A"/>
    <w:rsid w:val="00014233"/>
    <w:rsid w:val="000142ED"/>
    <w:rsid w:val="00014613"/>
    <w:rsid w:val="00014B44"/>
    <w:rsid w:val="00014D09"/>
    <w:rsid w:val="00016316"/>
    <w:rsid w:val="000163B1"/>
    <w:rsid w:val="000166BF"/>
    <w:rsid w:val="000169CC"/>
    <w:rsid w:val="0001752A"/>
    <w:rsid w:val="00017961"/>
    <w:rsid w:val="00017D99"/>
    <w:rsid w:val="00021560"/>
    <w:rsid w:val="000234E3"/>
    <w:rsid w:val="00023605"/>
    <w:rsid w:val="00023C1B"/>
    <w:rsid w:val="00023EB3"/>
    <w:rsid w:val="00024036"/>
    <w:rsid w:val="00024BA1"/>
    <w:rsid w:val="00025F2E"/>
    <w:rsid w:val="000261E0"/>
    <w:rsid w:val="00026210"/>
    <w:rsid w:val="00026ED7"/>
    <w:rsid w:val="000271D4"/>
    <w:rsid w:val="000277E3"/>
    <w:rsid w:val="00027946"/>
    <w:rsid w:val="00030173"/>
    <w:rsid w:val="000306EE"/>
    <w:rsid w:val="0003081D"/>
    <w:rsid w:val="000309E5"/>
    <w:rsid w:val="00030F4B"/>
    <w:rsid w:val="0003174C"/>
    <w:rsid w:val="0003203C"/>
    <w:rsid w:val="0003260A"/>
    <w:rsid w:val="00032DE5"/>
    <w:rsid w:val="00033181"/>
    <w:rsid w:val="00033A09"/>
    <w:rsid w:val="000341EA"/>
    <w:rsid w:val="000347E0"/>
    <w:rsid w:val="0003561F"/>
    <w:rsid w:val="000359D1"/>
    <w:rsid w:val="00035AE2"/>
    <w:rsid w:val="0003693F"/>
    <w:rsid w:val="00036CF3"/>
    <w:rsid w:val="00036D2E"/>
    <w:rsid w:val="00037314"/>
    <w:rsid w:val="0003747A"/>
    <w:rsid w:val="000406A8"/>
    <w:rsid w:val="000410A6"/>
    <w:rsid w:val="00041316"/>
    <w:rsid w:val="00041ACC"/>
    <w:rsid w:val="000420AF"/>
    <w:rsid w:val="00042B46"/>
    <w:rsid w:val="00043CE8"/>
    <w:rsid w:val="000441DC"/>
    <w:rsid w:val="000446A5"/>
    <w:rsid w:val="0004499A"/>
    <w:rsid w:val="000449DA"/>
    <w:rsid w:val="00045645"/>
    <w:rsid w:val="0004575B"/>
    <w:rsid w:val="00045A90"/>
    <w:rsid w:val="0004605E"/>
    <w:rsid w:val="0004700B"/>
    <w:rsid w:val="0004772E"/>
    <w:rsid w:val="000477C5"/>
    <w:rsid w:val="00047FE8"/>
    <w:rsid w:val="000505F5"/>
    <w:rsid w:val="00051133"/>
    <w:rsid w:val="00051399"/>
    <w:rsid w:val="00051CDF"/>
    <w:rsid w:val="00051DE6"/>
    <w:rsid w:val="00051FFF"/>
    <w:rsid w:val="0005218F"/>
    <w:rsid w:val="000523AA"/>
    <w:rsid w:val="0005320C"/>
    <w:rsid w:val="00053586"/>
    <w:rsid w:val="00054AD7"/>
    <w:rsid w:val="00054CEF"/>
    <w:rsid w:val="00054D7E"/>
    <w:rsid w:val="00054DC7"/>
    <w:rsid w:val="0005549C"/>
    <w:rsid w:val="00055FBD"/>
    <w:rsid w:val="00056172"/>
    <w:rsid w:val="00056576"/>
    <w:rsid w:val="00056725"/>
    <w:rsid w:val="00056CF9"/>
    <w:rsid w:val="00056DB7"/>
    <w:rsid w:val="00057685"/>
    <w:rsid w:val="00057BA1"/>
    <w:rsid w:val="000605C8"/>
    <w:rsid w:val="00060AD4"/>
    <w:rsid w:val="0006103D"/>
    <w:rsid w:val="00062C55"/>
    <w:rsid w:val="0006360E"/>
    <w:rsid w:val="00063B84"/>
    <w:rsid w:val="00063BBE"/>
    <w:rsid w:val="00064088"/>
    <w:rsid w:val="00065BF0"/>
    <w:rsid w:val="000702ED"/>
    <w:rsid w:val="000715CB"/>
    <w:rsid w:val="000728AD"/>
    <w:rsid w:val="00072F11"/>
    <w:rsid w:val="0007388E"/>
    <w:rsid w:val="00074B4B"/>
    <w:rsid w:val="00074E03"/>
    <w:rsid w:val="00075CFF"/>
    <w:rsid w:val="0007619E"/>
    <w:rsid w:val="00076623"/>
    <w:rsid w:val="000767DF"/>
    <w:rsid w:val="00076CF9"/>
    <w:rsid w:val="00076CFE"/>
    <w:rsid w:val="000779DE"/>
    <w:rsid w:val="00077C80"/>
    <w:rsid w:val="0008036E"/>
    <w:rsid w:val="000804D2"/>
    <w:rsid w:val="000804FA"/>
    <w:rsid w:val="0008130C"/>
    <w:rsid w:val="00081719"/>
    <w:rsid w:val="00081E4D"/>
    <w:rsid w:val="000825E4"/>
    <w:rsid w:val="000826EA"/>
    <w:rsid w:val="00082E6A"/>
    <w:rsid w:val="00083CCF"/>
    <w:rsid w:val="00083D7F"/>
    <w:rsid w:val="0008497D"/>
    <w:rsid w:val="00086633"/>
    <w:rsid w:val="00086D37"/>
    <w:rsid w:val="00086F4C"/>
    <w:rsid w:val="00087267"/>
    <w:rsid w:val="00087D46"/>
    <w:rsid w:val="00090340"/>
    <w:rsid w:val="00090577"/>
    <w:rsid w:val="00090592"/>
    <w:rsid w:val="00090645"/>
    <w:rsid w:val="00090666"/>
    <w:rsid w:val="000909BE"/>
    <w:rsid w:val="000912FB"/>
    <w:rsid w:val="000915C1"/>
    <w:rsid w:val="000917BF"/>
    <w:rsid w:val="0009290B"/>
    <w:rsid w:val="00092E1E"/>
    <w:rsid w:val="0009318C"/>
    <w:rsid w:val="00093426"/>
    <w:rsid w:val="0009346E"/>
    <w:rsid w:val="000945D9"/>
    <w:rsid w:val="00094D57"/>
    <w:rsid w:val="00095396"/>
    <w:rsid w:val="0009633B"/>
    <w:rsid w:val="0009663B"/>
    <w:rsid w:val="000968CF"/>
    <w:rsid w:val="00096C58"/>
    <w:rsid w:val="00096F2F"/>
    <w:rsid w:val="0009736C"/>
    <w:rsid w:val="000A01AC"/>
    <w:rsid w:val="000A01EE"/>
    <w:rsid w:val="000A0E20"/>
    <w:rsid w:val="000A0F48"/>
    <w:rsid w:val="000A12CD"/>
    <w:rsid w:val="000A140B"/>
    <w:rsid w:val="000A14E5"/>
    <w:rsid w:val="000A1D82"/>
    <w:rsid w:val="000A2594"/>
    <w:rsid w:val="000A2D61"/>
    <w:rsid w:val="000A2E1E"/>
    <w:rsid w:val="000A3164"/>
    <w:rsid w:val="000A4119"/>
    <w:rsid w:val="000A4969"/>
    <w:rsid w:val="000A51D1"/>
    <w:rsid w:val="000A5221"/>
    <w:rsid w:val="000A578B"/>
    <w:rsid w:val="000A5F6E"/>
    <w:rsid w:val="000A625D"/>
    <w:rsid w:val="000A692E"/>
    <w:rsid w:val="000A6B02"/>
    <w:rsid w:val="000A73BE"/>
    <w:rsid w:val="000A7C18"/>
    <w:rsid w:val="000B0B8C"/>
    <w:rsid w:val="000B0BF2"/>
    <w:rsid w:val="000B107A"/>
    <w:rsid w:val="000B15CA"/>
    <w:rsid w:val="000B1938"/>
    <w:rsid w:val="000B19FC"/>
    <w:rsid w:val="000B29AC"/>
    <w:rsid w:val="000B2C58"/>
    <w:rsid w:val="000B2C93"/>
    <w:rsid w:val="000B3010"/>
    <w:rsid w:val="000B306A"/>
    <w:rsid w:val="000B30DF"/>
    <w:rsid w:val="000B341A"/>
    <w:rsid w:val="000B3D73"/>
    <w:rsid w:val="000B4046"/>
    <w:rsid w:val="000B4FB4"/>
    <w:rsid w:val="000B50D0"/>
    <w:rsid w:val="000B53A4"/>
    <w:rsid w:val="000B558C"/>
    <w:rsid w:val="000B632D"/>
    <w:rsid w:val="000B6AF0"/>
    <w:rsid w:val="000B6BBE"/>
    <w:rsid w:val="000B6DB4"/>
    <w:rsid w:val="000B6F8E"/>
    <w:rsid w:val="000B7991"/>
    <w:rsid w:val="000B7C0B"/>
    <w:rsid w:val="000B7D5F"/>
    <w:rsid w:val="000B7E41"/>
    <w:rsid w:val="000C0403"/>
    <w:rsid w:val="000C26BE"/>
    <w:rsid w:val="000C2C3C"/>
    <w:rsid w:val="000C3580"/>
    <w:rsid w:val="000C3A6A"/>
    <w:rsid w:val="000C3ECB"/>
    <w:rsid w:val="000C424C"/>
    <w:rsid w:val="000C4A19"/>
    <w:rsid w:val="000C4AE7"/>
    <w:rsid w:val="000C596E"/>
    <w:rsid w:val="000C5DD4"/>
    <w:rsid w:val="000C5EB5"/>
    <w:rsid w:val="000C5F92"/>
    <w:rsid w:val="000C6294"/>
    <w:rsid w:val="000C6389"/>
    <w:rsid w:val="000C693A"/>
    <w:rsid w:val="000C6B0B"/>
    <w:rsid w:val="000C701B"/>
    <w:rsid w:val="000C7469"/>
    <w:rsid w:val="000D135B"/>
    <w:rsid w:val="000D16BA"/>
    <w:rsid w:val="000D1E5E"/>
    <w:rsid w:val="000D1E93"/>
    <w:rsid w:val="000D2465"/>
    <w:rsid w:val="000D2746"/>
    <w:rsid w:val="000D2906"/>
    <w:rsid w:val="000D2AD3"/>
    <w:rsid w:val="000D2FD2"/>
    <w:rsid w:val="000D30EC"/>
    <w:rsid w:val="000D3102"/>
    <w:rsid w:val="000D43EF"/>
    <w:rsid w:val="000D4FD1"/>
    <w:rsid w:val="000D6211"/>
    <w:rsid w:val="000D6670"/>
    <w:rsid w:val="000D6742"/>
    <w:rsid w:val="000D67A5"/>
    <w:rsid w:val="000D727C"/>
    <w:rsid w:val="000E0F51"/>
    <w:rsid w:val="000E1C58"/>
    <w:rsid w:val="000E2210"/>
    <w:rsid w:val="000E2352"/>
    <w:rsid w:val="000E286A"/>
    <w:rsid w:val="000E2C8C"/>
    <w:rsid w:val="000E3336"/>
    <w:rsid w:val="000E33E9"/>
    <w:rsid w:val="000E4304"/>
    <w:rsid w:val="000E4A94"/>
    <w:rsid w:val="000E5300"/>
    <w:rsid w:val="000E5D09"/>
    <w:rsid w:val="000E60B5"/>
    <w:rsid w:val="000E61C5"/>
    <w:rsid w:val="000E63B9"/>
    <w:rsid w:val="000E6BBC"/>
    <w:rsid w:val="000E6F5E"/>
    <w:rsid w:val="000E7A83"/>
    <w:rsid w:val="000E7BD2"/>
    <w:rsid w:val="000E7CE5"/>
    <w:rsid w:val="000F0244"/>
    <w:rsid w:val="000F0516"/>
    <w:rsid w:val="000F0910"/>
    <w:rsid w:val="000F0984"/>
    <w:rsid w:val="000F0AAF"/>
    <w:rsid w:val="000F10E2"/>
    <w:rsid w:val="000F137B"/>
    <w:rsid w:val="000F14FF"/>
    <w:rsid w:val="000F15C5"/>
    <w:rsid w:val="000F1C7B"/>
    <w:rsid w:val="000F2118"/>
    <w:rsid w:val="000F2327"/>
    <w:rsid w:val="000F23D8"/>
    <w:rsid w:val="000F2B23"/>
    <w:rsid w:val="000F3304"/>
    <w:rsid w:val="000F38ED"/>
    <w:rsid w:val="000F390C"/>
    <w:rsid w:val="000F3C9C"/>
    <w:rsid w:val="000F3DEA"/>
    <w:rsid w:val="000F40A9"/>
    <w:rsid w:val="000F4AD2"/>
    <w:rsid w:val="000F50C0"/>
    <w:rsid w:val="000F53A2"/>
    <w:rsid w:val="000F6E07"/>
    <w:rsid w:val="000F7322"/>
    <w:rsid w:val="000F7491"/>
    <w:rsid w:val="000F75F0"/>
    <w:rsid w:val="000F7DD5"/>
    <w:rsid w:val="000F7F0E"/>
    <w:rsid w:val="001006EE"/>
    <w:rsid w:val="00100C94"/>
    <w:rsid w:val="00101FB6"/>
    <w:rsid w:val="00102582"/>
    <w:rsid w:val="0010416C"/>
    <w:rsid w:val="001049EE"/>
    <w:rsid w:val="00104E22"/>
    <w:rsid w:val="0010536E"/>
    <w:rsid w:val="001062C9"/>
    <w:rsid w:val="0010694E"/>
    <w:rsid w:val="00106988"/>
    <w:rsid w:val="0010710D"/>
    <w:rsid w:val="00107EEE"/>
    <w:rsid w:val="001101CF"/>
    <w:rsid w:val="0011024E"/>
    <w:rsid w:val="001102B1"/>
    <w:rsid w:val="001108C3"/>
    <w:rsid w:val="00110A46"/>
    <w:rsid w:val="00110C9D"/>
    <w:rsid w:val="00111117"/>
    <w:rsid w:val="001116F0"/>
    <w:rsid w:val="00111B0B"/>
    <w:rsid w:val="001120AA"/>
    <w:rsid w:val="00112425"/>
    <w:rsid w:val="00112569"/>
    <w:rsid w:val="00112622"/>
    <w:rsid w:val="001126EF"/>
    <w:rsid w:val="0011431A"/>
    <w:rsid w:val="001147EF"/>
    <w:rsid w:val="00115D58"/>
    <w:rsid w:val="0011655B"/>
    <w:rsid w:val="0011674F"/>
    <w:rsid w:val="00116A5D"/>
    <w:rsid w:val="00116EDA"/>
    <w:rsid w:val="001175CA"/>
    <w:rsid w:val="00120015"/>
    <w:rsid w:val="001201B5"/>
    <w:rsid w:val="00120541"/>
    <w:rsid w:val="00120992"/>
    <w:rsid w:val="00120BC0"/>
    <w:rsid w:val="00120E21"/>
    <w:rsid w:val="001210E9"/>
    <w:rsid w:val="00121375"/>
    <w:rsid w:val="001224F0"/>
    <w:rsid w:val="00122982"/>
    <w:rsid w:val="00123DED"/>
    <w:rsid w:val="00123E29"/>
    <w:rsid w:val="00124135"/>
    <w:rsid w:val="001244A3"/>
    <w:rsid w:val="00124B64"/>
    <w:rsid w:val="001255AC"/>
    <w:rsid w:val="00126C7C"/>
    <w:rsid w:val="00126E00"/>
    <w:rsid w:val="00126FFA"/>
    <w:rsid w:val="00127DEC"/>
    <w:rsid w:val="00127E27"/>
    <w:rsid w:val="001303AE"/>
    <w:rsid w:val="0013076F"/>
    <w:rsid w:val="001309E2"/>
    <w:rsid w:val="00131CD2"/>
    <w:rsid w:val="00132143"/>
    <w:rsid w:val="0013270F"/>
    <w:rsid w:val="001327EC"/>
    <w:rsid w:val="00132CF1"/>
    <w:rsid w:val="001331C4"/>
    <w:rsid w:val="00134EEF"/>
    <w:rsid w:val="00136E2B"/>
    <w:rsid w:val="00137707"/>
    <w:rsid w:val="00137DD6"/>
    <w:rsid w:val="00137FB2"/>
    <w:rsid w:val="001409CE"/>
    <w:rsid w:val="001412BC"/>
    <w:rsid w:val="00141548"/>
    <w:rsid w:val="001416DD"/>
    <w:rsid w:val="00141E28"/>
    <w:rsid w:val="00142364"/>
    <w:rsid w:val="001423E5"/>
    <w:rsid w:val="00142575"/>
    <w:rsid w:val="00143458"/>
    <w:rsid w:val="001435EA"/>
    <w:rsid w:val="0014495B"/>
    <w:rsid w:val="00144D85"/>
    <w:rsid w:val="001458BD"/>
    <w:rsid w:val="001463DE"/>
    <w:rsid w:val="00146609"/>
    <w:rsid w:val="00146A8A"/>
    <w:rsid w:val="00146E39"/>
    <w:rsid w:val="00147168"/>
    <w:rsid w:val="0014744D"/>
    <w:rsid w:val="00147529"/>
    <w:rsid w:val="00147B5D"/>
    <w:rsid w:val="00147C27"/>
    <w:rsid w:val="001502B7"/>
    <w:rsid w:val="001504C2"/>
    <w:rsid w:val="0015096A"/>
    <w:rsid w:val="00150A69"/>
    <w:rsid w:val="00150FB2"/>
    <w:rsid w:val="00151123"/>
    <w:rsid w:val="00151208"/>
    <w:rsid w:val="001518A6"/>
    <w:rsid w:val="00152634"/>
    <w:rsid w:val="00152875"/>
    <w:rsid w:val="0015339D"/>
    <w:rsid w:val="001538E9"/>
    <w:rsid w:val="00153C63"/>
    <w:rsid w:val="001546D3"/>
    <w:rsid w:val="00154807"/>
    <w:rsid w:val="00154D94"/>
    <w:rsid w:val="00156341"/>
    <w:rsid w:val="00156519"/>
    <w:rsid w:val="001566D3"/>
    <w:rsid w:val="001568FC"/>
    <w:rsid w:val="0015714B"/>
    <w:rsid w:val="001578D8"/>
    <w:rsid w:val="00157C1E"/>
    <w:rsid w:val="00160248"/>
    <w:rsid w:val="00160992"/>
    <w:rsid w:val="00161930"/>
    <w:rsid w:val="00162004"/>
    <w:rsid w:val="0016225C"/>
    <w:rsid w:val="0016258A"/>
    <w:rsid w:val="0016261C"/>
    <w:rsid w:val="00163671"/>
    <w:rsid w:val="00163B87"/>
    <w:rsid w:val="00163D3F"/>
    <w:rsid w:val="00163EFF"/>
    <w:rsid w:val="00164571"/>
    <w:rsid w:val="00164E55"/>
    <w:rsid w:val="001656D1"/>
    <w:rsid w:val="001656D8"/>
    <w:rsid w:val="00165ABC"/>
    <w:rsid w:val="00166504"/>
    <w:rsid w:val="0016674A"/>
    <w:rsid w:val="00167913"/>
    <w:rsid w:val="00167E08"/>
    <w:rsid w:val="00170458"/>
    <w:rsid w:val="0017058E"/>
    <w:rsid w:val="0017166F"/>
    <w:rsid w:val="001717C0"/>
    <w:rsid w:val="001722BA"/>
    <w:rsid w:val="00173FCE"/>
    <w:rsid w:val="001741C9"/>
    <w:rsid w:val="0017435D"/>
    <w:rsid w:val="001743D0"/>
    <w:rsid w:val="00174491"/>
    <w:rsid w:val="001748A4"/>
    <w:rsid w:val="00174CD1"/>
    <w:rsid w:val="00174FC0"/>
    <w:rsid w:val="001756D4"/>
    <w:rsid w:val="001759A6"/>
    <w:rsid w:val="00176064"/>
    <w:rsid w:val="00176FAC"/>
    <w:rsid w:val="00177895"/>
    <w:rsid w:val="0017790E"/>
    <w:rsid w:val="00177D6A"/>
    <w:rsid w:val="00177DEE"/>
    <w:rsid w:val="0018068F"/>
    <w:rsid w:val="00180AF7"/>
    <w:rsid w:val="00180E7D"/>
    <w:rsid w:val="00181269"/>
    <w:rsid w:val="00181565"/>
    <w:rsid w:val="00182964"/>
    <w:rsid w:val="001836D6"/>
    <w:rsid w:val="00183832"/>
    <w:rsid w:val="00184299"/>
    <w:rsid w:val="00184BBA"/>
    <w:rsid w:val="00184BC7"/>
    <w:rsid w:val="001850EB"/>
    <w:rsid w:val="00185A3B"/>
    <w:rsid w:val="00185B14"/>
    <w:rsid w:val="00185B9C"/>
    <w:rsid w:val="00185D01"/>
    <w:rsid w:val="00187424"/>
    <w:rsid w:val="001875C3"/>
    <w:rsid w:val="00190FFB"/>
    <w:rsid w:val="00192064"/>
    <w:rsid w:val="00192CC6"/>
    <w:rsid w:val="00192FB9"/>
    <w:rsid w:val="00193579"/>
    <w:rsid w:val="00193B0E"/>
    <w:rsid w:val="001945D8"/>
    <w:rsid w:val="001945EF"/>
    <w:rsid w:val="001949AF"/>
    <w:rsid w:val="00194DF2"/>
    <w:rsid w:val="00194F33"/>
    <w:rsid w:val="00195373"/>
    <w:rsid w:val="0019595D"/>
    <w:rsid w:val="00196211"/>
    <w:rsid w:val="00196E94"/>
    <w:rsid w:val="00196F3E"/>
    <w:rsid w:val="00197326"/>
    <w:rsid w:val="0019766F"/>
    <w:rsid w:val="001976EB"/>
    <w:rsid w:val="001A0253"/>
    <w:rsid w:val="001A03A6"/>
    <w:rsid w:val="001A078B"/>
    <w:rsid w:val="001A1957"/>
    <w:rsid w:val="001A1A25"/>
    <w:rsid w:val="001A2765"/>
    <w:rsid w:val="001A3275"/>
    <w:rsid w:val="001A32C9"/>
    <w:rsid w:val="001A364F"/>
    <w:rsid w:val="001A3820"/>
    <w:rsid w:val="001A3973"/>
    <w:rsid w:val="001A3EE1"/>
    <w:rsid w:val="001A4671"/>
    <w:rsid w:val="001A5A05"/>
    <w:rsid w:val="001A5A43"/>
    <w:rsid w:val="001A5B3E"/>
    <w:rsid w:val="001A63D7"/>
    <w:rsid w:val="001A64AE"/>
    <w:rsid w:val="001A6575"/>
    <w:rsid w:val="001A65E8"/>
    <w:rsid w:val="001A79A9"/>
    <w:rsid w:val="001A7BDA"/>
    <w:rsid w:val="001B016B"/>
    <w:rsid w:val="001B144D"/>
    <w:rsid w:val="001B15F5"/>
    <w:rsid w:val="001B1F35"/>
    <w:rsid w:val="001B21E6"/>
    <w:rsid w:val="001B259A"/>
    <w:rsid w:val="001B2A36"/>
    <w:rsid w:val="001B368F"/>
    <w:rsid w:val="001B37EB"/>
    <w:rsid w:val="001B49E7"/>
    <w:rsid w:val="001B5284"/>
    <w:rsid w:val="001B6188"/>
    <w:rsid w:val="001B635C"/>
    <w:rsid w:val="001B6445"/>
    <w:rsid w:val="001B693F"/>
    <w:rsid w:val="001B6F8B"/>
    <w:rsid w:val="001B7A4D"/>
    <w:rsid w:val="001B7CBD"/>
    <w:rsid w:val="001C0BA8"/>
    <w:rsid w:val="001C1030"/>
    <w:rsid w:val="001C2835"/>
    <w:rsid w:val="001C2849"/>
    <w:rsid w:val="001C2999"/>
    <w:rsid w:val="001C368D"/>
    <w:rsid w:val="001C36DD"/>
    <w:rsid w:val="001C51EF"/>
    <w:rsid w:val="001C5849"/>
    <w:rsid w:val="001C5D60"/>
    <w:rsid w:val="001C68DE"/>
    <w:rsid w:val="001C77B8"/>
    <w:rsid w:val="001D036C"/>
    <w:rsid w:val="001D1165"/>
    <w:rsid w:val="001D1C6F"/>
    <w:rsid w:val="001D1D66"/>
    <w:rsid w:val="001D1D76"/>
    <w:rsid w:val="001D1E22"/>
    <w:rsid w:val="001D2E51"/>
    <w:rsid w:val="001D33A6"/>
    <w:rsid w:val="001D358E"/>
    <w:rsid w:val="001D38C4"/>
    <w:rsid w:val="001D3EB2"/>
    <w:rsid w:val="001D41F2"/>
    <w:rsid w:val="001D4CB9"/>
    <w:rsid w:val="001D50FD"/>
    <w:rsid w:val="001D69ED"/>
    <w:rsid w:val="001D6E89"/>
    <w:rsid w:val="001D7200"/>
    <w:rsid w:val="001D7765"/>
    <w:rsid w:val="001D77F9"/>
    <w:rsid w:val="001D7E50"/>
    <w:rsid w:val="001E037A"/>
    <w:rsid w:val="001E09C0"/>
    <w:rsid w:val="001E2202"/>
    <w:rsid w:val="001E22E2"/>
    <w:rsid w:val="001E3193"/>
    <w:rsid w:val="001E33C1"/>
    <w:rsid w:val="001E40C0"/>
    <w:rsid w:val="001E5DA2"/>
    <w:rsid w:val="001E6233"/>
    <w:rsid w:val="001E660E"/>
    <w:rsid w:val="001E6B86"/>
    <w:rsid w:val="001E7330"/>
    <w:rsid w:val="001E79DF"/>
    <w:rsid w:val="001E7AA3"/>
    <w:rsid w:val="001F1212"/>
    <w:rsid w:val="001F1E4A"/>
    <w:rsid w:val="001F1E6C"/>
    <w:rsid w:val="001F2AAE"/>
    <w:rsid w:val="001F2B17"/>
    <w:rsid w:val="001F2C2E"/>
    <w:rsid w:val="001F2E65"/>
    <w:rsid w:val="001F345B"/>
    <w:rsid w:val="001F3493"/>
    <w:rsid w:val="001F3E78"/>
    <w:rsid w:val="001F42B9"/>
    <w:rsid w:val="001F4666"/>
    <w:rsid w:val="001F54B2"/>
    <w:rsid w:val="001F62E6"/>
    <w:rsid w:val="001F70A6"/>
    <w:rsid w:val="001F7439"/>
    <w:rsid w:val="001F7948"/>
    <w:rsid w:val="002002A5"/>
    <w:rsid w:val="00200365"/>
    <w:rsid w:val="00200F39"/>
    <w:rsid w:val="00201AFE"/>
    <w:rsid w:val="00201D1C"/>
    <w:rsid w:val="00201F36"/>
    <w:rsid w:val="00202CF5"/>
    <w:rsid w:val="00202DFF"/>
    <w:rsid w:val="0020327C"/>
    <w:rsid w:val="00203536"/>
    <w:rsid w:val="00203DB8"/>
    <w:rsid w:val="00204521"/>
    <w:rsid w:val="00205701"/>
    <w:rsid w:val="00205B3B"/>
    <w:rsid w:val="00205D51"/>
    <w:rsid w:val="00206476"/>
    <w:rsid w:val="002064BB"/>
    <w:rsid w:val="00206534"/>
    <w:rsid w:val="00206E96"/>
    <w:rsid w:val="002070C9"/>
    <w:rsid w:val="00207525"/>
    <w:rsid w:val="00207DB8"/>
    <w:rsid w:val="00207F6C"/>
    <w:rsid w:val="00207F9C"/>
    <w:rsid w:val="002100FB"/>
    <w:rsid w:val="002106CB"/>
    <w:rsid w:val="00210721"/>
    <w:rsid w:val="00210A8B"/>
    <w:rsid w:val="0021143B"/>
    <w:rsid w:val="0021211D"/>
    <w:rsid w:val="00212511"/>
    <w:rsid w:val="00212761"/>
    <w:rsid w:val="0021321E"/>
    <w:rsid w:val="00213850"/>
    <w:rsid w:val="00213864"/>
    <w:rsid w:val="00213DC9"/>
    <w:rsid w:val="00213DF2"/>
    <w:rsid w:val="00214309"/>
    <w:rsid w:val="0021466A"/>
    <w:rsid w:val="002149D5"/>
    <w:rsid w:val="002154FA"/>
    <w:rsid w:val="002159A9"/>
    <w:rsid w:val="00215BE5"/>
    <w:rsid w:val="0021650D"/>
    <w:rsid w:val="00217015"/>
    <w:rsid w:val="002171C8"/>
    <w:rsid w:val="00220D73"/>
    <w:rsid w:val="0022101A"/>
    <w:rsid w:val="00221CE0"/>
    <w:rsid w:val="00223126"/>
    <w:rsid w:val="002236DD"/>
    <w:rsid w:val="002254FC"/>
    <w:rsid w:val="0022553F"/>
    <w:rsid w:val="00225B62"/>
    <w:rsid w:val="00226141"/>
    <w:rsid w:val="0022650F"/>
    <w:rsid w:val="002266B0"/>
    <w:rsid w:val="00227628"/>
    <w:rsid w:val="002308C1"/>
    <w:rsid w:val="002308C2"/>
    <w:rsid w:val="002310C6"/>
    <w:rsid w:val="00232C74"/>
    <w:rsid w:val="00232EDF"/>
    <w:rsid w:val="00233625"/>
    <w:rsid w:val="00233B5B"/>
    <w:rsid w:val="00233BD5"/>
    <w:rsid w:val="00234481"/>
    <w:rsid w:val="0023464C"/>
    <w:rsid w:val="00234AFB"/>
    <w:rsid w:val="00234CF6"/>
    <w:rsid w:val="002352B3"/>
    <w:rsid w:val="002356BF"/>
    <w:rsid w:val="00235D52"/>
    <w:rsid w:val="00235DEB"/>
    <w:rsid w:val="00236238"/>
    <w:rsid w:val="002367B7"/>
    <w:rsid w:val="00236A65"/>
    <w:rsid w:val="00236BBE"/>
    <w:rsid w:val="00236D01"/>
    <w:rsid w:val="00237899"/>
    <w:rsid w:val="00237FFA"/>
    <w:rsid w:val="0024028C"/>
    <w:rsid w:val="002402C2"/>
    <w:rsid w:val="0024090D"/>
    <w:rsid w:val="00240929"/>
    <w:rsid w:val="0024144E"/>
    <w:rsid w:val="00241527"/>
    <w:rsid w:val="002419A0"/>
    <w:rsid w:val="00243039"/>
    <w:rsid w:val="002434B6"/>
    <w:rsid w:val="0024370E"/>
    <w:rsid w:val="002455F2"/>
    <w:rsid w:val="00245F98"/>
    <w:rsid w:val="002462FB"/>
    <w:rsid w:val="0024698A"/>
    <w:rsid w:val="00247001"/>
    <w:rsid w:val="002471C4"/>
    <w:rsid w:val="00247A9C"/>
    <w:rsid w:val="00250389"/>
    <w:rsid w:val="00250AFA"/>
    <w:rsid w:val="00250E94"/>
    <w:rsid w:val="00251041"/>
    <w:rsid w:val="002517F0"/>
    <w:rsid w:val="00251EFE"/>
    <w:rsid w:val="00252172"/>
    <w:rsid w:val="00252453"/>
    <w:rsid w:val="0025254F"/>
    <w:rsid w:val="00252700"/>
    <w:rsid w:val="0025273A"/>
    <w:rsid w:val="00253936"/>
    <w:rsid w:val="002540E3"/>
    <w:rsid w:val="002540FA"/>
    <w:rsid w:val="002548A5"/>
    <w:rsid w:val="00254ACC"/>
    <w:rsid w:val="00254E62"/>
    <w:rsid w:val="002556BE"/>
    <w:rsid w:val="00255A11"/>
    <w:rsid w:val="002571F3"/>
    <w:rsid w:val="00260523"/>
    <w:rsid w:val="00261456"/>
    <w:rsid w:val="00261488"/>
    <w:rsid w:val="00261A5F"/>
    <w:rsid w:val="00261C28"/>
    <w:rsid w:val="002621E8"/>
    <w:rsid w:val="00262963"/>
    <w:rsid w:val="002631DD"/>
    <w:rsid w:val="00263213"/>
    <w:rsid w:val="00263848"/>
    <w:rsid w:val="00264284"/>
    <w:rsid w:val="00264A1D"/>
    <w:rsid w:val="00265ADB"/>
    <w:rsid w:val="00267E4D"/>
    <w:rsid w:val="00270669"/>
    <w:rsid w:val="0027097E"/>
    <w:rsid w:val="00270B20"/>
    <w:rsid w:val="00270C89"/>
    <w:rsid w:val="00271C39"/>
    <w:rsid w:val="0027285A"/>
    <w:rsid w:val="00273C9B"/>
    <w:rsid w:val="002745F1"/>
    <w:rsid w:val="0027582B"/>
    <w:rsid w:val="002763D7"/>
    <w:rsid w:val="00276E9B"/>
    <w:rsid w:val="002775D4"/>
    <w:rsid w:val="002778A0"/>
    <w:rsid w:val="00277905"/>
    <w:rsid w:val="00277FB8"/>
    <w:rsid w:val="00280041"/>
    <w:rsid w:val="002815C4"/>
    <w:rsid w:val="002816DC"/>
    <w:rsid w:val="00281DE8"/>
    <w:rsid w:val="00281F68"/>
    <w:rsid w:val="002823A1"/>
    <w:rsid w:val="00284169"/>
    <w:rsid w:val="0028419E"/>
    <w:rsid w:val="00284286"/>
    <w:rsid w:val="0028492E"/>
    <w:rsid w:val="002854B0"/>
    <w:rsid w:val="00285C2A"/>
    <w:rsid w:val="00285D56"/>
    <w:rsid w:val="00285E55"/>
    <w:rsid w:val="00286212"/>
    <w:rsid w:val="00286492"/>
    <w:rsid w:val="00286F4B"/>
    <w:rsid w:val="00287251"/>
    <w:rsid w:val="002874B8"/>
    <w:rsid w:val="002876BF"/>
    <w:rsid w:val="00287CDD"/>
    <w:rsid w:val="00287DE3"/>
    <w:rsid w:val="00287F15"/>
    <w:rsid w:val="00290A34"/>
    <w:rsid w:val="00290D32"/>
    <w:rsid w:val="0029110F"/>
    <w:rsid w:val="00291BFD"/>
    <w:rsid w:val="002922ED"/>
    <w:rsid w:val="0029309B"/>
    <w:rsid w:val="00293821"/>
    <w:rsid w:val="00293B72"/>
    <w:rsid w:val="002949B7"/>
    <w:rsid w:val="00294BFB"/>
    <w:rsid w:val="00295940"/>
    <w:rsid w:val="00295A20"/>
    <w:rsid w:val="00295F88"/>
    <w:rsid w:val="002962B3"/>
    <w:rsid w:val="00296F3B"/>
    <w:rsid w:val="002A0C9E"/>
    <w:rsid w:val="002A110E"/>
    <w:rsid w:val="002A1753"/>
    <w:rsid w:val="002A181C"/>
    <w:rsid w:val="002A1A73"/>
    <w:rsid w:val="002A26B6"/>
    <w:rsid w:val="002A26FE"/>
    <w:rsid w:val="002A270D"/>
    <w:rsid w:val="002A2AAB"/>
    <w:rsid w:val="002A2B78"/>
    <w:rsid w:val="002A2CA7"/>
    <w:rsid w:val="002A32C0"/>
    <w:rsid w:val="002A3412"/>
    <w:rsid w:val="002A3DE9"/>
    <w:rsid w:val="002A54AF"/>
    <w:rsid w:val="002A5884"/>
    <w:rsid w:val="002A5CF2"/>
    <w:rsid w:val="002A71EC"/>
    <w:rsid w:val="002A7A59"/>
    <w:rsid w:val="002A7FBC"/>
    <w:rsid w:val="002B0C49"/>
    <w:rsid w:val="002B1069"/>
    <w:rsid w:val="002B1356"/>
    <w:rsid w:val="002B23AC"/>
    <w:rsid w:val="002B2A39"/>
    <w:rsid w:val="002B2FF4"/>
    <w:rsid w:val="002B34FA"/>
    <w:rsid w:val="002B3D1B"/>
    <w:rsid w:val="002B3E0B"/>
    <w:rsid w:val="002B4E4B"/>
    <w:rsid w:val="002B5A12"/>
    <w:rsid w:val="002B67B5"/>
    <w:rsid w:val="002B683B"/>
    <w:rsid w:val="002B732E"/>
    <w:rsid w:val="002B7A8F"/>
    <w:rsid w:val="002B7A92"/>
    <w:rsid w:val="002C0C93"/>
    <w:rsid w:val="002C1196"/>
    <w:rsid w:val="002C1738"/>
    <w:rsid w:val="002C1E91"/>
    <w:rsid w:val="002C2461"/>
    <w:rsid w:val="002C2E28"/>
    <w:rsid w:val="002C3867"/>
    <w:rsid w:val="002C3882"/>
    <w:rsid w:val="002C3B80"/>
    <w:rsid w:val="002C3BBE"/>
    <w:rsid w:val="002C3BCE"/>
    <w:rsid w:val="002C3E65"/>
    <w:rsid w:val="002C4DA6"/>
    <w:rsid w:val="002C56EA"/>
    <w:rsid w:val="002D0043"/>
    <w:rsid w:val="002D0CB4"/>
    <w:rsid w:val="002D1406"/>
    <w:rsid w:val="002D17E8"/>
    <w:rsid w:val="002D18C4"/>
    <w:rsid w:val="002D1962"/>
    <w:rsid w:val="002D19BB"/>
    <w:rsid w:val="002D20A3"/>
    <w:rsid w:val="002D2893"/>
    <w:rsid w:val="002D2D7B"/>
    <w:rsid w:val="002D305D"/>
    <w:rsid w:val="002D3E0A"/>
    <w:rsid w:val="002D4DC7"/>
    <w:rsid w:val="002D4E5F"/>
    <w:rsid w:val="002D524C"/>
    <w:rsid w:val="002D52EB"/>
    <w:rsid w:val="002D5D96"/>
    <w:rsid w:val="002D6701"/>
    <w:rsid w:val="002D693F"/>
    <w:rsid w:val="002D6E8F"/>
    <w:rsid w:val="002D747E"/>
    <w:rsid w:val="002E0327"/>
    <w:rsid w:val="002E0451"/>
    <w:rsid w:val="002E07CC"/>
    <w:rsid w:val="002E0862"/>
    <w:rsid w:val="002E22CC"/>
    <w:rsid w:val="002E264B"/>
    <w:rsid w:val="002E27D9"/>
    <w:rsid w:val="002E2CE5"/>
    <w:rsid w:val="002E3B40"/>
    <w:rsid w:val="002E3C20"/>
    <w:rsid w:val="002E4638"/>
    <w:rsid w:val="002E4F44"/>
    <w:rsid w:val="002E50C2"/>
    <w:rsid w:val="002E5EF2"/>
    <w:rsid w:val="002E613E"/>
    <w:rsid w:val="002E6CFA"/>
    <w:rsid w:val="002E6D58"/>
    <w:rsid w:val="002E6E21"/>
    <w:rsid w:val="002E6ECF"/>
    <w:rsid w:val="002E7B3B"/>
    <w:rsid w:val="002F0090"/>
    <w:rsid w:val="002F058A"/>
    <w:rsid w:val="002F07E4"/>
    <w:rsid w:val="002F09DC"/>
    <w:rsid w:val="002F0F90"/>
    <w:rsid w:val="002F107E"/>
    <w:rsid w:val="002F245C"/>
    <w:rsid w:val="002F2703"/>
    <w:rsid w:val="002F3A85"/>
    <w:rsid w:val="002F3DF9"/>
    <w:rsid w:val="002F45AC"/>
    <w:rsid w:val="002F4891"/>
    <w:rsid w:val="002F4A56"/>
    <w:rsid w:val="002F5094"/>
    <w:rsid w:val="002F57FE"/>
    <w:rsid w:val="002F5927"/>
    <w:rsid w:val="002F5A42"/>
    <w:rsid w:val="002F60B8"/>
    <w:rsid w:val="002F641B"/>
    <w:rsid w:val="002F66BA"/>
    <w:rsid w:val="002F6DFF"/>
    <w:rsid w:val="003001E8"/>
    <w:rsid w:val="00300A8F"/>
    <w:rsid w:val="00300AEC"/>
    <w:rsid w:val="00301EB5"/>
    <w:rsid w:val="00303458"/>
    <w:rsid w:val="003043A4"/>
    <w:rsid w:val="00304B21"/>
    <w:rsid w:val="003057F2"/>
    <w:rsid w:val="00306A66"/>
    <w:rsid w:val="003104A6"/>
    <w:rsid w:val="00310CCE"/>
    <w:rsid w:val="00310E42"/>
    <w:rsid w:val="00311251"/>
    <w:rsid w:val="003112D3"/>
    <w:rsid w:val="0031142A"/>
    <w:rsid w:val="00311797"/>
    <w:rsid w:val="0031190F"/>
    <w:rsid w:val="00311C23"/>
    <w:rsid w:val="003126C0"/>
    <w:rsid w:val="00312D27"/>
    <w:rsid w:val="003135CE"/>
    <w:rsid w:val="00314170"/>
    <w:rsid w:val="00314869"/>
    <w:rsid w:val="00315140"/>
    <w:rsid w:val="00316057"/>
    <w:rsid w:val="003175B1"/>
    <w:rsid w:val="00317650"/>
    <w:rsid w:val="0031778A"/>
    <w:rsid w:val="003203A8"/>
    <w:rsid w:val="003226D9"/>
    <w:rsid w:val="00322BAC"/>
    <w:rsid w:val="00322DC4"/>
    <w:rsid w:val="003234B6"/>
    <w:rsid w:val="003238F1"/>
    <w:rsid w:val="00323BD9"/>
    <w:rsid w:val="003240F5"/>
    <w:rsid w:val="003250CE"/>
    <w:rsid w:val="00325A07"/>
    <w:rsid w:val="00325E85"/>
    <w:rsid w:val="0032694F"/>
    <w:rsid w:val="00326EAF"/>
    <w:rsid w:val="003276A8"/>
    <w:rsid w:val="00327F7E"/>
    <w:rsid w:val="00331F55"/>
    <w:rsid w:val="003320B8"/>
    <w:rsid w:val="003320D5"/>
    <w:rsid w:val="00332C2D"/>
    <w:rsid w:val="00332CEB"/>
    <w:rsid w:val="00333AC2"/>
    <w:rsid w:val="00333BCC"/>
    <w:rsid w:val="00333DC6"/>
    <w:rsid w:val="003343AE"/>
    <w:rsid w:val="00334726"/>
    <w:rsid w:val="0033477B"/>
    <w:rsid w:val="00334A46"/>
    <w:rsid w:val="00334E0C"/>
    <w:rsid w:val="003356D0"/>
    <w:rsid w:val="00335B1E"/>
    <w:rsid w:val="00335BC2"/>
    <w:rsid w:val="003362F5"/>
    <w:rsid w:val="00336DA6"/>
    <w:rsid w:val="00337511"/>
    <w:rsid w:val="00337B57"/>
    <w:rsid w:val="00337CA5"/>
    <w:rsid w:val="00337F88"/>
    <w:rsid w:val="00340B0A"/>
    <w:rsid w:val="00340C17"/>
    <w:rsid w:val="00340CE8"/>
    <w:rsid w:val="00340E31"/>
    <w:rsid w:val="00340EC4"/>
    <w:rsid w:val="00340FD8"/>
    <w:rsid w:val="003420C4"/>
    <w:rsid w:val="00342735"/>
    <w:rsid w:val="00342F75"/>
    <w:rsid w:val="003437DD"/>
    <w:rsid w:val="00343CAF"/>
    <w:rsid w:val="003447EA"/>
    <w:rsid w:val="00344CFD"/>
    <w:rsid w:val="00344D9E"/>
    <w:rsid w:val="00345781"/>
    <w:rsid w:val="00345A8D"/>
    <w:rsid w:val="00345B10"/>
    <w:rsid w:val="00345B33"/>
    <w:rsid w:val="00345BF1"/>
    <w:rsid w:val="00345D07"/>
    <w:rsid w:val="00345DB0"/>
    <w:rsid w:val="00346537"/>
    <w:rsid w:val="00346EE4"/>
    <w:rsid w:val="003472CC"/>
    <w:rsid w:val="00347561"/>
    <w:rsid w:val="00347B78"/>
    <w:rsid w:val="00347C2A"/>
    <w:rsid w:val="003502BF"/>
    <w:rsid w:val="003503D5"/>
    <w:rsid w:val="0035081D"/>
    <w:rsid w:val="003515E4"/>
    <w:rsid w:val="00352094"/>
    <w:rsid w:val="003529C8"/>
    <w:rsid w:val="00352E41"/>
    <w:rsid w:val="0035449A"/>
    <w:rsid w:val="00354730"/>
    <w:rsid w:val="00354988"/>
    <w:rsid w:val="00355909"/>
    <w:rsid w:val="00355995"/>
    <w:rsid w:val="00355CB3"/>
    <w:rsid w:val="00355FC5"/>
    <w:rsid w:val="00356E64"/>
    <w:rsid w:val="00357865"/>
    <w:rsid w:val="00357C33"/>
    <w:rsid w:val="00357E94"/>
    <w:rsid w:val="00357EF2"/>
    <w:rsid w:val="00357F7D"/>
    <w:rsid w:val="00360232"/>
    <w:rsid w:val="0036175D"/>
    <w:rsid w:val="00361AB8"/>
    <w:rsid w:val="003625A0"/>
    <w:rsid w:val="00362DC1"/>
    <w:rsid w:val="00364739"/>
    <w:rsid w:val="00365A7E"/>
    <w:rsid w:val="00365C6F"/>
    <w:rsid w:val="00365FAA"/>
    <w:rsid w:val="00367526"/>
    <w:rsid w:val="00367789"/>
    <w:rsid w:val="0037011A"/>
    <w:rsid w:val="00370B11"/>
    <w:rsid w:val="00370EB9"/>
    <w:rsid w:val="003712F9"/>
    <w:rsid w:val="00371817"/>
    <w:rsid w:val="00371B0D"/>
    <w:rsid w:val="00371F93"/>
    <w:rsid w:val="003720E8"/>
    <w:rsid w:val="00372607"/>
    <w:rsid w:val="003728C1"/>
    <w:rsid w:val="00372B71"/>
    <w:rsid w:val="00372F71"/>
    <w:rsid w:val="00373B22"/>
    <w:rsid w:val="00373EA6"/>
    <w:rsid w:val="003751D7"/>
    <w:rsid w:val="003753DD"/>
    <w:rsid w:val="003764D1"/>
    <w:rsid w:val="00376EA3"/>
    <w:rsid w:val="003770F7"/>
    <w:rsid w:val="00377258"/>
    <w:rsid w:val="00377636"/>
    <w:rsid w:val="003800A2"/>
    <w:rsid w:val="00380B1A"/>
    <w:rsid w:val="00382786"/>
    <w:rsid w:val="003827E2"/>
    <w:rsid w:val="00382C89"/>
    <w:rsid w:val="003833ED"/>
    <w:rsid w:val="00383EF4"/>
    <w:rsid w:val="003851B3"/>
    <w:rsid w:val="0038538A"/>
    <w:rsid w:val="003853D8"/>
    <w:rsid w:val="00385E27"/>
    <w:rsid w:val="00386626"/>
    <w:rsid w:val="0038674E"/>
    <w:rsid w:val="0038690C"/>
    <w:rsid w:val="00386D6F"/>
    <w:rsid w:val="003871B2"/>
    <w:rsid w:val="00387785"/>
    <w:rsid w:val="00387A17"/>
    <w:rsid w:val="003908A5"/>
    <w:rsid w:val="0039148D"/>
    <w:rsid w:val="00391777"/>
    <w:rsid w:val="00391B3A"/>
    <w:rsid w:val="00391C03"/>
    <w:rsid w:val="00393FD9"/>
    <w:rsid w:val="003945BD"/>
    <w:rsid w:val="0039466A"/>
    <w:rsid w:val="003946D9"/>
    <w:rsid w:val="00394931"/>
    <w:rsid w:val="00396634"/>
    <w:rsid w:val="00396C88"/>
    <w:rsid w:val="003978A3"/>
    <w:rsid w:val="00397DF2"/>
    <w:rsid w:val="003A0A76"/>
    <w:rsid w:val="003A0A7A"/>
    <w:rsid w:val="003A1184"/>
    <w:rsid w:val="003A1257"/>
    <w:rsid w:val="003A236A"/>
    <w:rsid w:val="003A24FC"/>
    <w:rsid w:val="003A25DB"/>
    <w:rsid w:val="003A2769"/>
    <w:rsid w:val="003A2783"/>
    <w:rsid w:val="003A2977"/>
    <w:rsid w:val="003A326D"/>
    <w:rsid w:val="003A47C8"/>
    <w:rsid w:val="003A51C4"/>
    <w:rsid w:val="003A53A3"/>
    <w:rsid w:val="003A55C3"/>
    <w:rsid w:val="003A5D93"/>
    <w:rsid w:val="003A5F4F"/>
    <w:rsid w:val="003A72C9"/>
    <w:rsid w:val="003A757B"/>
    <w:rsid w:val="003A78A9"/>
    <w:rsid w:val="003B02C1"/>
    <w:rsid w:val="003B08BC"/>
    <w:rsid w:val="003B0E2C"/>
    <w:rsid w:val="003B0F67"/>
    <w:rsid w:val="003B12D7"/>
    <w:rsid w:val="003B1D05"/>
    <w:rsid w:val="003B202C"/>
    <w:rsid w:val="003B2C8F"/>
    <w:rsid w:val="003B2D38"/>
    <w:rsid w:val="003B44E5"/>
    <w:rsid w:val="003B4B73"/>
    <w:rsid w:val="003B4E74"/>
    <w:rsid w:val="003B567B"/>
    <w:rsid w:val="003B5B20"/>
    <w:rsid w:val="003B5D0B"/>
    <w:rsid w:val="003B6178"/>
    <w:rsid w:val="003B62D3"/>
    <w:rsid w:val="003B638E"/>
    <w:rsid w:val="003B68EC"/>
    <w:rsid w:val="003B6EA1"/>
    <w:rsid w:val="003B7098"/>
    <w:rsid w:val="003B7644"/>
    <w:rsid w:val="003B78AB"/>
    <w:rsid w:val="003B7A38"/>
    <w:rsid w:val="003C0211"/>
    <w:rsid w:val="003C0503"/>
    <w:rsid w:val="003C051F"/>
    <w:rsid w:val="003C0B00"/>
    <w:rsid w:val="003C0ECC"/>
    <w:rsid w:val="003C0FCD"/>
    <w:rsid w:val="003C1321"/>
    <w:rsid w:val="003C3041"/>
    <w:rsid w:val="003C48AC"/>
    <w:rsid w:val="003C4B5C"/>
    <w:rsid w:val="003C6383"/>
    <w:rsid w:val="003C77B0"/>
    <w:rsid w:val="003C7E6D"/>
    <w:rsid w:val="003D0955"/>
    <w:rsid w:val="003D10D1"/>
    <w:rsid w:val="003D1187"/>
    <w:rsid w:val="003D1B68"/>
    <w:rsid w:val="003D1B8E"/>
    <w:rsid w:val="003D1BF1"/>
    <w:rsid w:val="003D1C09"/>
    <w:rsid w:val="003D2188"/>
    <w:rsid w:val="003D26F4"/>
    <w:rsid w:val="003D2961"/>
    <w:rsid w:val="003D2E9C"/>
    <w:rsid w:val="003D36F4"/>
    <w:rsid w:val="003D3810"/>
    <w:rsid w:val="003D3FF3"/>
    <w:rsid w:val="003D402C"/>
    <w:rsid w:val="003D520C"/>
    <w:rsid w:val="003D5DE3"/>
    <w:rsid w:val="003D640D"/>
    <w:rsid w:val="003D7177"/>
    <w:rsid w:val="003D76F9"/>
    <w:rsid w:val="003E018B"/>
    <w:rsid w:val="003E01CE"/>
    <w:rsid w:val="003E0393"/>
    <w:rsid w:val="003E04FB"/>
    <w:rsid w:val="003E17E9"/>
    <w:rsid w:val="003E1A8C"/>
    <w:rsid w:val="003E20C9"/>
    <w:rsid w:val="003E25A6"/>
    <w:rsid w:val="003E28DB"/>
    <w:rsid w:val="003E42D2"/>
    <w:rsid w:val="003E50E5"/>
    <w:rsid w:val="003E66DD"/>
    <w:rsid w:val="003E6F9F"/>
    <w:rsid w:val="003E7D26"/>
    <w:rsid w:val="003F013D"/>
    <w:rsid w:val="003F1238"/>
    <w:rsid w:val="003F1ABF"/>
    <w:rsid w:val="003F1EE3"/>
    <w:rsid w:val="003F20CF"/>
    <w:rsid w:val="003F22C9"/>
    <w:rsid w:val="003F2D54"/>
    <w:rsid w:val="003F33A1"/>
    <w:rsid w:val="003F3FEB"/>
    <w:rsid w:val="003F40CF"/>
    <w:rsid w:val="003F51E8"/>
    <w:rsid w:val="003F5EB9"/>
    <w:rsid w:val="003F5EDE"/>
    <w:rsid w:val="003F614E"/>
    <w:rsid w:val="003F639C"/>
    <w:rsid w:val="003F64A5"/>
    <w:rsid w:val="003F6E7E"/>
    <w:rsid w:val="003F711F"/>
    <w:rsid w:val="003F7A8B"/>
    <w:rsid w:val="00400569"/>
    <w:rsid w:val="0040073A"/>
    <w:rsid w:val="0040083F"/>
    <w:rsid w:val="004017A1"/>
    <w:rsid w:val="00402220"/>
    <w:rsid w:val="004024B3"/>
    <w:rsid w:val="004033EE"/>
    <w:rsid w:val="004038CD"/>
    <w:rsid w:val="00403BDC"/>
    <w:rsid w:val="0040441F"/>
    <w:rsid w:val="00404580"/>
    <w:rsid w:val="00405221"/>
    <w:rsid w:val="00405548"/>
    <w:rsid w:val="00406263"/>
    <w:rsid w:val="00406522"/>
    <w:rsid w:val="004065EF"/>
    <w:rsid w:val="00406680"/>
    <w:rsid w:val="0041131D"/>
    <w:rsid w:val="00411775"/>
    <w:rsid w:val="004120A9"/>
    <w:rsid w:val="00412707"/>
    <w:rsid w:val="004129F9"/>
    <w:rsid w:val="004132F1"/>
    <w:rsid w:val="00413543"/>
    <w:rsid w:val="0041389B"/>
    <w:rsid w:val="00413E78"/>
    <w:rsid w:val="0041411D"/>
    <w:rsid w:val="00415E15"/>
    <w:rsid w:val="00415EC7"/>
    <w:rsid w:val="00416A98"/>
    <w:rsid w:val="00416B3B"/>
    <w:rsid w:val="00416CB1"/>
    <w:rsid w:val="00416DED"/>
    <w:rsid w:val="00416F21"/>
    <w:rsid w:val="004174F3"/>
    <w:rsid w:val="00417E3E"/>
    <w:rsid w:val="00420EA9"/>
    <w:rsid w:val="00420EC8"/>
    <w:rsid w:val="004210AC"/>
    <w:rsid w:val="00421134"/>
    <w:rsid w:val="0042246A"/>
    <w:rsid w:val="00422775"/>
    <w:rsid w:val="00422E09"/>
    <w:rsid w:val="00422EFB"/>
    <w:rsid w:val="00423334"/>
    <w:rsid w:val="00423CCD"/>
    <w:rsid w:val="00424975"/>
    <w:rsid w:val="00425F99"/>
    <w:rsid w:val="00426991"/>
    <w:rsid w:val="00426A06"/>
    <w:rsid w:val="0042731A"/>
    <w:rsid w:val="00430154"/>
    <w:rsid w:val="00430773"/>
    <w:rsid w:val="00430DE9"/>
    <w:rsid w:val="00430EB7"/>
    <w:rsid w:val="0043168C"/>
    <w:rsid w:val="004339B0"/>
    <w:rsid w:val="00433EA5"/>
    <w:rsid w:val="00433F75"/>
    <w:rsid w:val="00434DA9"/>
    <w:rsid w:val="00435701"/>
    <w:rsid w:val="0043595B"/>
    <w:rsid w:val="004374DF"/>
    <w:rsid w:val="0043751C"/>
    <w:rsid w:val="00437DD2"/>
    <w:rsid w:val="00440F63"/>
    <w:rsid w:val="00440FE4"/>
    <w:rsid w:val="004414D3"/>
    <w:rsid w:val="00441AA6"/>
    <w:rsid w:val="00441E5F"/>
    <w:rsid w:val="0044297D"/>
    <w:rsid w:val="00442A95"/>
    <w:rsid w:val="0044327E"/>
    <w:rsid w:val="00443631"/>
    <w:rsid w:val="00443E37"/>
    <w:rsid w:val="00444866"/>
    <w:rsid w:val="00445282"/>
    <w:rsid w:val="004453F3"/>
    <w:rsid w:val="004454D3"/>
    <w:rsid w:val="00445603"/>
    <w:rsid w:val="0044563C"/>
    <w:rsid w:val="004458AF"/>
    <w:rsid w:val="00445C8F"/>
    <w:rsid w:val="00445CB4"/>
    <w:rsid w:val="00445E00"/>
    <w:rsid w:val="00446BB6"/>
    <w:rsid w:val="004475B8"/>
    <w:rsid w:val="00447FD7"/>
    <w:rsid w:val="004511DC"/>
    <w:rsid w:val="00451751"/>
    <w:rsid w:val="004518FD"/>
    <w:rsid w:val="00451F42"/>
    <w:rsid w:val="00452037"/>
    <w:rsid w:val="0045223F"/>
    <w:rsid w:val="00452A64"/>
    <w:rsid w:val="00452F76"/>
    <w:rsid w:val="00453231"/>
    <w:rsid w:val="00453751"/>
    <w:rsid w:val="00453BFB"/>
    <w:rsid w:val="00453C94"/>
    <w:rsid w:val="0045441A"/>
    <w:rsid w:val="004545D1"/>
    <w:rsid w:val="0045461C"/>
    <w:rsid w:val="00454678"/>
    <w:rsid w:val="00454704"/>
    <w:rsid w:val="0045475A"/>
    <w:rsid w:val="00454960"/>
    <w:rsid w:val="00454FFE"/>
    <w:rsid w:val="00455E7B"/>
    <w:rsid w:val="00456DDA"/>
    <w:rsid w:val="00456E38"/>
    <w:rsid w:val="0045717A"/>
    <w:rsid w:val="004571BD"/>
    <w:rsid w:val="004574A1"/>
    <w:rsid w:val="00457B5A"/>
    <w:rsid w:val="00457D60"/>
    <w:rsid w:val="00460CC0"/>
    <w:rsid w:val="0046163C"/>
    <w:rsid w:val="004623AA"/>
    <w:rsid w:val="00464A34"/>
    <w:rsid w:val="00467924"/>
    <w:rsid w:val="00467E35"/>
    <w:rsid w:val="00471A44"/>
    <w:rsid w:val="004721BC"/>
    <w:rsid w:val="0047224F"/>
    <w:rsid w:val="0047252B"/>
    <w:rsid w:val="00472948"/>
    <w:rsid w:val="004732F0"/>
    <w:rsid w:val="004737B1"/>
    <w:rsid w:val="00473DE8"/>
    <w:rsid w:val="00474076"/>
    <w:rsid w:val="004743F7"/>
    <w:rsid w:val="0047445B"/>
    <w:rsid w:val="004745C6"/>
    <w:rsid w:val="00474B44"/>
    <w:rsid w:val="00474CB9"/>
    <w:rsid w:val="004750DE"/>
    <w:rsid w:val="0047557A"/>
    <w:rsid w:val="0047570A"/>
    <w:rsid w:val="00475F20"/>
    <w:rsid w:val="00476174"/>
    <w:rsid w:val="004768E0"/>
    <w:rsid w:val="0047783B"/>
    <w:rsid w:val="004809FF"/>
    <w:rsid w:val="00480D58"/>
    <w:rsid w:val="00480DB4"/>
    <w:rsid w:val="004815A9"/>
    <w:rsid w:val="004815E8"/>
    <w:rsid w:val="004825A2"/>
    <w:rsid w:val="00482D16"/>
    <w:rsid w:val="00482ED8"/>
    <w:rsid w:val="0048321C"/>
    <w:rsid w:val="00483497"/>
    <w:rsid w:val="00483872"/>
    <w:rsid w:val="004846A6"/>
    <w:rsid w:val="00484E2D"/>
    <w:rsid w:val="00485004"/>
    <w:rsid w:val="004852E6"/>
    <w:rsid w:val="00485A1F"/>
    <w:rsid w:val="00486314"/>
    <w:rsid w:val="0048691A"/>
    <w:rsid w:val="0048723F"/>
    <w:rsid w:val="004876A9"/>
    <w:rsid w:val="00487AD3"/>
    <w:rsid w:val="004901A5"/>
    <w:rsid w:val="00490757"/>
    <w:rsid w:val="0049075D"/>
    <w:rsid w:val="0049095B"/>
    <w:rsid w:val="00490C98"/>
    <w:rsid w:val="00490E9C"/>
    <w:rsid w:val="0049185C"/>
    <w:rsid w:val="004920B0"/>
    <w:rsid w:val="0049249B"/>
    <w:rsid w:val="00492555"/>
    <w:rsid w:val="00492ABD"/>
    <w:rsid w:val="00493757"/>
    <w:rsid w:val="00493760"/>
    <w:rsid w:val="00495FE4"/>
    <w:rsid w:val="004961FF"/>
    <w:rsid w:val="004978DE"/>
    <w:rsid w:val="00497C78"/>
    <w:rsid w:val="00497EAD"/>
    <w:rsid w:val="004A07B7"/>
    <w:rsid w:val="004A0890"/>
    <w:rsid w:val="004A0C2F"/>
    <w:rsid w:val="004A2386"/>
    <w:rsid w:val="004A345C"/>
    <w:rsid w:val="004A4070"/>
    <w:rsid w:val="004A417E"/>
    <w:rsid w:val="004A42C7"/>
    <w:rsid w:val="004A4AEC"/>
    <w:rsid w:val="004A57B6"/>
    <w:rsid w:val="004A58A6"/>
    <w:rsid w:val="004A737C"/>
    <w:rsid w:val="004A7816"/>
    <w:rsid w:val="004A798D"/>
    <w:rsid w:val="004B02C1"/>
    <w:rsid w:val="004B0480"/>
    <w:rsid w:val="004B057E"/>
    <w:rsid w:val="004B09D8"/>
    <w:rsid w:val="004B0E0B"/>
    <w:rsid w:val="004B130D"/>
    <w:rsid w:val="004B1B52"/>
    <w:rsid w:val="004B206E"/>
    <w:rsid w:val="004B2C84"/>
    <w:rsid w:val="004B33C3"/>
    <w:rsid w:val="004B358F"/>
    <w:rsid w:val="004B3B19"/>
    <w:rsid w:val="004B3F2D"/>
    <w:rsid w:val="004B3F57"/>
    <w:rsid w:val="004B4936"/>
    <w:rsid w:val="004B4958"/>
    <w:rsid w:val="004B5186"/>
    <w:rsid w:val="004B529A"/>
    <w:rsid w:val="004B5314"/>
    <w:rsid w:val="004B5672"/>
    <w:rsid w:val="004B5961"/>
    <w:rsid w:val="004B5E0F"/>
    <w:rsid w:val="004B62B0"/>
    <w:rsid w:val="004B63B1"/>
    <w:rsid w:val="004B6B98"/>
    <w:rsid w:val="004B6D10"/>
    <w:rsid w:val="004B765A"/>
    <w:rsid w:val="004B76CE"/>
    <w:rsid w:val="004B772C"/>
    <w:rsid w:val="004B7ABB"/>
    <w:rsid w:val="004B7CF0"/>
    <w:rsid w:val="004B7E75"/>
    <w:rsid w:val="004B7E79"/>
    <w:rsid w:val="004C0165"/>
    <w:rsid w:val="004C03B2"/>
    <w:rsid w:val="004C0C4D"/>
    <w:rsid w:val="004C0DD3"/>
    <w:rsid w:val="004C135C"/>
    <w:rsid w:val="004C1D6E"/>
    <w:rsid w:val="004C23D4"/>
    <w:rsid w:val="004C2802"/>
    <w:rsid w:val="004C286A"/>
    <w:rsid w:val="004C2B93"/>
    <w:rsid w:val="004C2DFD"/>
    <w:rsid w:val="004C3B6F"/>
    <w:rsid w:val="004C41AE"/>
    <w:rsid w:val="004C4A08"/>
    <w:rsid w:val="004C5A3C"/>
    <w:rsid w:val="004C5B18"/>
    <w:rsid w:val="004C5C3B"/>
    <w:rsid w:val="004C6AF9"/>
    <w:rsid w:val="004C6EA2"/>
    <w:rsid w:val="004C7AA2"/>
    <w:rsid w:val="004C7B32"/>
    <w:rsid w:val="004D0373"/>
    <w:rsid w:val="004D0E35"/>
    <w:rsid w:val="004D0EEF"/>
    <w:rsid w:val="004D14C7"/>
    <w:rsid w:val="004D1BFF"/>
    <w:rsid w:val="004D26F5"/>
    <w:rsid w:val="004D2713"/>
    <w:rsid w:val="004D35A1"/>
    <w:rsid w:val="004D3DCF"/>
    <w:rsid w:val="004D3E86"/>
    <w:rsid w:val="004D3F93"/>
    <w:rsid w:val="004D4952"/>
    <w:rsid w:val="004D4C97"/>
    <w:rsid w:val="004D4D4F"/>
    <w:rsid w:val="004D52D1"/>
    <w:rsid w:val="004D56DC"/>
    <w:rsid w:val="004D609C"/>
    <w:rsid w:val="004D7018"/>
    <w:rsid w:val="004D78AE"/>
    <w:rsid w:val="004D7AC6"/>
    <w:rsid w:val="004E00AB"/>
    <w:rsid w:val="004E0299"/>
    <w:rsid w:val="004E04A2"/>
    <w:rsid w:val="004E0638"/>
    <w:rsid w:val="004E0744"/>
    <w:rsid w:val="004E0A2A"/>
    <w:rsid w:val="004E15B6"/>
    <w:rsid w:val="004E1BB1"/>
    <w:rsid w:val="004E1C9E"/>
    <w:rsid w:val="004E1E39"/>
    <w:rsid w:val="004E1EE8"/>
    <w:rsid w:val="004E2E2A"/>
    <w:rsid w:val="004E2EF4"/>
    <w:rsid w:val="004E3916"/>
    <w:rsid w:val="004E40A1"/>
    <w:rsid w:val="004E426E"/>
    <w:rsid w:val="004E4423"/>
    <w:rsid w:val="004E53F5"/>
    <w:rsid w:val="004E59FF"/>
    <w:rsid w:val="004E5C0B"/>
    <w:rsid w:val="004E6040"/>
    <w:rsid w:val="004E6510"/>
    <w:rsid w:val="004E6512"/>
    <w:rsid w:val="004E68E3"/>
    <w:rsid w:val="004E70AC"/>
    <w:rsid w:val="004E7300"/>
    <w:rsid w:val="004E75AB"/>
    <w:rsid w:val="004F002D"/>
    <w:rsid w:val="004F03C9"/>
    <w:rsid w:val="004F070E"/>
    <w:rsid w:val="004F08E6"/>
    <w:rsid w:val="004F0A5C"/>
    <w:rsid w:val="004F0BEC"/>
    <w:rsid w:val="004F0E08"/>
    <w:rsid w:val="004F1B7A"/>
    <w:rsid w:val="004F2913"/>
    <w:rsid w:val="004F29D2"/>
    <w:rsid w:val="004F4A0D"/>
    <w:rsid w:val="004F4EC8"/>
    <w:rsid w:val="004F59A1"/>
    <w:rsid w:val="004F5F2C"/>
    <w:rsid w:val="004F602A"/>
    <w:rsid w:val="004F6B94"/>
    <w:rsid w:val="004F7544"/>
    <w:rsid w:val="004F7CB7"/>
    <w:rsid w:val="004F7EEE"/>
    <w:rsid w:val="0050003A"/>
    <w:rsid w:val="00500BDA"/>
    <w:rsid w:val="00500D0C"/>
    <w:rsid w:val="00500FA4"/>
    <w:rsid w:val="00501E4E"/>
    <w:rsid w:val="00501EA9"/>
    <w:rsid w:val="005020BC"/>
    <w:rsid w:val="005021E2"/>
    <w:rsid w:val="0050231D"/>
    <w:rsid w:val="005024E1"/>
    <w:rsid w:val="00502FAB"/>
    <w:rsid w:val="0050375F"/>
    <w:rsid w:val="00503BAC"/>
    <w:rsid w:val="00503E2B"/>
    <w:rsid w:val="00504445"/>
    <w:rsid w:val="005049D6"/>
    <w:rsid w:val="00504A4C"/>
    <w:rsid w:val="00504ED0"/>
    <w:rsid w:val="005052E0"/>
    <w:rsid w:val="00505DBF"/>
    <w:rsid w:val="00505F6C"/>
    <w:rsid w:val="00505F83"/>
    <w:rsid w:val="00506309"/>
    <w:rsid w:val="00506432"/>
    <w:rsid w:val="0050664A"/>
    <w:rsid w:val="00506B31"/>
    <w:rsid w:val="00507BCB"/>
    <w:rsid w:val="005100BE"/>
    <w:rsid w:val="00510529"/>
    <w:rsid w:val="00510674"/>
    <w:rsid w:val="00510947"/>
    <w:rsid w:val="005112AB"/>
    <w:rsid w:val="00511778"/>
    <w:rsid w:val="0051181D"/>
    <w:rsid w:val="00511901"/>
    <w:rsid w:val="00512104"/>
    <w:rsid w:val="005135A9"/>
    <w:rsid w:val="005136E8"/>
    <w:rsid w:val="00513E07"/>
    <w:rsid w:val="00513F26"/>
    <w:rsid w:val="00514488"/>
    <w:rsid w:val="00514CB7"/>
    <w:rsid w:val="00514F5C"/>
    <w:rsid w:val="005152DB"/>
    <w:rsid w:val="00515332"/>
    <w:rsid w:val="00515379"/>
    <w:rsid w:val="0051639E"/>
    <w:rsid w:val="00516517"/>
    <w:rsid w:val="005168CA"/>
    <w:rsid w:val="00516B9D"/>
    <w:rsid w:val="0051764E"/>
    <w:rsid w:val="00517F06"/>
    <w:rsid w:val="005209AA"/>
    <w:rsid w:val="00520C57"/>
    <w:rsid w:val="0052256D"/>
    <w:rsid w:val="0052285C"/>
    <w:rsid w:val="00522C04"/>
    <w:rsid w:val="00522D62"/>
    <w:rsid w:val="00522E7A"/>
    <w:rsid w:val="005234E9"/>
    <w:rsid w:val="0052352C"/>
    <w:rsid w:val="00523A41"/>
    <w:rsid w:val="00523BE1"/>
    <w:rsid w:val="00524474"/>
    <w:rsid w:val="00524A23"/>
    <w:rsid w:val="005253B2"/>
    <w:rsid w:val="00525725"/>
    <w:rsid w:val="00525874"/>
    <w:rsid w:val="00525B81"/>
    <w:rsid w:val="0052793C"/>
    <w:rsid w:val="00527A0A"/>
    <w:rsid w:val="00527E21"/>
    <w:rsid w:val="005306AF"/>
    <w:rsid w:val="00530DFF"/>
    <w:rsid w:val="005313E2"/>
    <w:rsid w:val="00531976"/>
    <w:rsid w:val="00531B43"/>
    <w:rsid w:val="00531D7A"/>
    <w:rsid w:val="005320BA"/>
    <w:rsid w:val="00532190"/>
    <w:rsid w:val="005324B9"/>
    <w:rsid w:val="0053282C"/>
    <w:rsid w:val="00532A8A"/>
    <w:rsid w:val="00532BB4"/>
    <w:rsid w:val="00533D85"/>
    <w:rsid w:val="00533FA7"/>
    <w:rsid w:val="00534103"/>
    <w:rsid w:val="005343B4"/>
    <w:rsid w:val="005349EC"/>
    <w:rsid w:val="0053562B"/>
    <w:rsid w:val="0053587B"/>
    <w:rsid w:val="00535AA9"/>
    <w:rsid w:val="00535AEA"/>
    <w:rsid w:val="0053604C"/>
    <w:rsid w:val="00536244"/>
    <w:rsid w:val="0053643A"/>
    <w:rsid w:val="00536678"/>
    <w:rsid w:val="00536E38"/>
    <w:rsid w:val="00537CAF"/>
    <w:rsid w:val="005401D1"/>
    <w:rsid w:val="00540568"/>
    <w:rsid w:val="005409F5"/>
    <w:rsid w:val="00541254"/>
    <w:rsid w:val="005418DB"/>
    <w:rsid w:val="00541A8D"/>
    <w:rsid w:val="00541CF4"/>
    <w:rsid w:val="00541F1A"/>
    <w:rsid w:val="00542394"/>
    <w:rsid w:val="005426D9"/>
    <w:rsid w:val="00543599"/>
    <w:rsid w:val="0054433D"/>
    <w:rsid w:val="0054433E"/>
    <w:rsid w:val="00544B13"/>
    <w:rsid w:val="0054546D"/>
    <w:rsid w:val="00545FD0"/>
    <w:rsid w:val="0054646F"/>
    <w:rsid w:val="00546806"/>
    <w:rsid w:val="00546B02"/>
    <w:rsid w:val="005471FA"/>
    <w:rsid w:val="005474B6"/>
    <w:rsid w:val="00547534"/>
    <w:rsid w:val="00547851"/>
    <w:rsid w:val="0054795A"/>
    <w:rsid w:val="005503A8"/>
    <w:rsid w:val="005503A9"/>
    <w:rsid w:val="00550723"/>
    <w:rsid w:val="0055097C"/>
    <w:rsid w:val="00550BFF"/>
    <w:rsid w:val="00550F20"/>
    <w:rsid w:val="00551533"/>
    <w:rsid w:val="005516D5"/>
    <w:rsid w:val="00551B59"/>
    <w:rsid w:val="00552AF5"/>
    <w:rsid w:val="00552C37"/>
    <w:rsid w:val="005539A4"/>
    <w:rsid w:val="00554699"/>
    <w:rsid w:val="00554B13"/>
    <w:rsid w:val="00554E97"/>
    <w:rsid w:val="00555538"/>
    <w:rsid w:val="00555670"/>
    <w:rsid w:val="00555DFE"/>
    <w:rsid w:val="00556555"/>
    <w:rsid w:val="0055699B"/>
    <w:rsid w:val="00556D04"/>
    <w:rsid w:val="00557280"/>
    <w:rsid w:val="005600EF"/>
    <w:rsid w:val="00560711"/>
    <w:rsid w:val="00560C9A"/>
    <w:rsid w:val="00560F47"/>
    <w:rsid w:val="0056142B"/>
    <w:rsid w:val="005616F7"/>
    <w:rsid w:val="005618B6"/>
    <w:rsid w:val="005629E7"/>
    <w:rsid w:val="005637A8"/>
    <w:rsid w:val="00564B48"/>
    <w:rsid w:val="005658BD"/>
    <w:rsid w:val="005668C0"/>
    <w:rsid w:val="00566B04"/>
    <w:rsid w:val="00567246"/>
    <w:rsid w:val="005673F5"/>
    <w:rsid w:val="00567CF1"/>
    <w:rsid w:val="00570399"/>
    <w:rsid w:val="00572624"/>
    <w:rsid w:val="00572E94"/>
    <w:rsid w:val="00573B5A"/>
    <w:rsid w:val="00573D23"/>
    <w:rsid w:val="00574545"/>
    <w:rsid w:val="005746D0"/>
    <w:rsid w:val="00575067"/>
    <w:rsid w:val="0057512D"/>
    <w:rsid w:val="00575560"/>
    <w:rsid w:val="00575724"/>
    <w:rsid w:val="00575ABA"/>
    <w:rsid w:val="00575EAB"/>
    <w:rsid w:val="00576225"/>
    <w:rsid w:val="00576933"/>
    <w:rsid w:val="00576A20"/>
    <w:rsid w:val="00576DBB"/>
    <w:rsid w:val="005773EE"/>
    <w:rsid w:val="0057748A"/>
    <w:rsid w:val="0057777B"/>
    <w:rsid w:val="00577BC5"/>
    <w:rsid w:val="00580A25"/>
    <w:rsid w:val="00581259"/>
    <w:rsid w:val="0058188E"/>
    <w:rsid w:val="005828D1"/>
    <w:rsid w:val="00582BDA"/>
    <w:rsid w:val="00582EF4"/>
    <w:rsid w:val="00583B6C"/>
    <w:rsid w:val="00583F02"/>
    <w:rsid w:val="00584A97"/>
    <w:rsid w:val="00585F60"/>
    <w:rsid w:val="00586139"/>
    <w:rsid w:val="00586391"/>
    <w:rsid w:val="0058661B"/>
    <w:rsid w:val="0058668E"/>
    <w:rsid w:val="005870C2"/>
    <w:rsid w:val="0059075F"/>
    <w:rsid w:val="005907E7"/>
    <w:rsid w:val="00591062"/>
    <w:rsid w:val="0059294E"/>
    <w:rsid w:val="005930F2"/>
    <w:rsid w:val="005934C0"/>
    <w:rsid w:val="0059394A"/>
    <w:rsid w:val="00594D37"/>
    <w:rsid w:val="0059521E"/>
    <w:rsid w:val="005952B6"/>
    <w:rsid w:val="00595494"/>
    <w:rsid w:val="00595C5C"/>
    <w:rsid w:val="00595EB4"/>
    <w:rsid w:val="00596681"/>
    <w:rsid w:val="00596BB6"/>
    <w:rsid w:val="0059706A"/>
    <w:rsid w:val="005971E9"/>
    <w:rsid w:val="00597412"/>
    <w:rsid w:val="00597642"/>
    <w:rsid w:val="005A03BE"/>
    <w:rsid w:val="005A046C"/>
    <w:rsid w:val="005A0638"/>
    <w:rsid w:val="005A068B"/>
    <w:rsid w:val="005A09D9"/>
    <w:rsid w:val="005A1566"/>
    <w:rsid w:val="005A1B09"/>
    <w:rsid w:val="005A25B5"/>
    <w:rsid w:val="005A2F8F"/>
    <w:rsid w:val="005A2FC2"/>
    <w:rsid w:val="005A3558"/>
    <w:rsid w:val="005A3B28"/>
    <w:rsid w:val="005A3F52"/>
    <w:rsid w:val="005A41C1"/>
    <w:rsid w:val="005A5773"/>
    <w:rsid w:val="005A5896"/>
    <w:rsid w:val="005A631E"/>
    <w:rsid w:val="005A659B"/>
    <w:rsid w:val="005A6F0C"/>
    <w:rsid w:val="005A732F"/>
    <w:rsid w:val="005A74D2"/>
    <w:rsid w:val="005A7EB3"/>
    <w:rsid w:val="005B0067"/>
    <w:rsid w:val="005B0B19"/>
    <w:rsid w:val="005B0B3F"/>
    <w:rsid w:val="005B1404"/>
    <w:rsid w:val="005B1E0D"/>
    <w:rsid w:val="005B1EB1"/>
    <w:rsid w:val="005B2875"/>
    <w:rsid w:val="005B409C"/>
    <w:rsid w:val="005B4396"/>
    <w:rsid w:val="005B4408"/>
    <w:rsid w:val="005B4875"/>
    <w:rsid w:val="005B4CBB"/>
    <w:rsid w:val="005B5689"/>
    <w:rsid w:val="005B6628"/>
    <w:rsid w:val="005B6D4F"/>
    <w:rsid w:val="005B7138"/>
    <w:rsid w:val="005B7DFF"/>
    <w:rsid w:val="005B7FC3"/>
    <w:rsid w:val="005C022C"/>
    <w:rsid w:val="005C14B9"/>
    <w:rsid w:val="005C14FE"/>
    <w:rsid w:val="005C182A"/>
    <w:rsid w:val="005C18C8"/>
    <w:rsid w:val="005C1BF5"/>
    <w:rsid w:val="005C29D2"/>
    <w:rsid w:val="005C2C13"/>
    <w:rsid w:val="005C3A82"/>
    <w:rsid w:val="005C3BCE"/>
    <w:rsid w:val="005C3E10"/>
    <w:rsid w:val="005C47EF"/>
    <w:rsid w:val="005C4CC5"/>
    <w:rsid w:val="005C5088"/>
    <w:rsid w:val="005C5A44"/>
    <w:rsid w:val="005C627A"/>
    <w:rsid w:val="005C667C"/>
    <w:rsid w:val="005C6B5D"/>
    <w:rsid w:val="005C7094"/>
    <w:rsid w:val="005D0101"/>
    <w:rsid w:val="005D01D3"/>
    <w:rsid w:val="005D055D"/>
    <w:rsid w:val="005D08C3"/>
    <w:rsid w:val="005D115C"/>
    <w:rsid w:val="005D1D92"/>
    <w:rsid w:val="005D20E5"/>
    <w:rsid w:val="005D26EF"/>
    <w:rsid w:val="005D27E7"/>
    <w:rsid w:val="005D290D"/>
    <w:rsid w:val="005D3147"/>
    <w:rsid w:val="005D39C1"/>
    <w:rsid w:val="005D400C"/>
    <w:rsid w:val="005D49FD"/>
    <w:rsid w:val="005D4AC6"/>
    <w:rsid w:val="005D546C"/>
    <w:rsid w:val="005D6795"/>
    <w:rsid w:val="005D6C26"/>
    <w:rsid w:val="005D7553"/>
    <w:rsid w:val="005D7FDD"/>
    <w:rsid w:val="005E0016"/>
    <w:rsid w:val="005E00F3"/>
    <w:rsid w:val="005E0537"/>
    <w:rsid w:val="005E07E9"/>
    <w:rsid w:val="005E0AA2"/>
    <w:rsid w:val="005E0EBF"/>
    <w:rsid w:val="005E1407"/>
    <w:rsid w:val="005E1AF8"/>
    <w:rsid w:val="005E20C3"/>
    <w:rsid w:val="005E33CE"/>
    <w:rsid w:val="005E3CFC"/>
    <w:rsid w:val="005E49EF"/>
    <w:rsid w:val="005E4BDD"/>
    <w:rsid w:val="005E54D2"/>
    <w:rsid w:val="005E62D1"/>
    <w:rsid w:val="005E68F4"/>
    <w:rsid w:val="005E74E4"/>
    <w:rsid w:val="005F0B1B"/>
    <w:rsid w:val="005F0B44"/>
    <w:rsid w:val="005F166F"/>
    <w:rsid w:val="005F1BC9"/>
    <w:rsid w:val="005F313E"/>
    <w:rsid w:val="005F341C"/>
    <w:rsid w:val="005F3519"/>
    <w:rsid w:val="005F4025"/>
    <w:rsid w:val="005F4094"/>
    <w:rsid w:val="005F422D"/>
    <w:rsid w:val="005F5543"/>
    <w:rsid w:val="005F5685"/>
    <w:rsid w:val="005F59D7"/>
    <w:rsid w:val="005F6CA2"/>
    <w:rsid w:val="005F6FF2"/>
    <w:rsid w:val="00600014"/>
    <w:rsid w:val="0060098E"/>
    <w:rsid w:val="00600CE9"/>
    <w:rsid w:val="00602A87"/>
    <w:rsid w:val="00603858"/>
    <w:rsid w:val="00604CCF"/>
    <w:rsid w:val="00604E39"/>
    <w:rsid w:val="0060542F"/>
    <w:rsid w:val="006057BA"/>
    <w:rsid w:val="00605970"/>
    <w:rsid w:val="006059F3"/>
    <w:rsid w:val="0060636A"/>
    <w:rsid w:val="00606BA5"/>
    <w:rsid w:val="00607526"/>
    <w:rsid w:val="0060764A"/>
    <w:rsid w:val="00607A39"/>
    <w:rsid w:val="00607A9F"/>
    <w:rsid w:val="00607B11"/>
    <w:rsid w:val="00607F32"/>
    <w:rsid w:val="0061006F"/>
    <w:rsid w:val="00611867"/>
    <w:rsid w:val="0061196D"/>
    <w:rsid w:val="00613936"/>
    <w:rsid w:val="00613E48"/>
    <w:rsid w:val="00614150"/>
    <w:rsid w:val="00614C06"/>
    <w:rsid w:val="006150D7"/>
    <w:rsid w:val="006156B2"/>
    <w:rsid w:val="00616539"/>
    <w:rsid w:val="00616C30"/>
    <w:rsid w:val="00616D36"/>
    <w:rsid w:val="0061711B"/>
    <w:rsid w:val="006177B0"/>
    <w:rsid w:val="00620F36"/>
    <w:rsid w:val="006213B6"/>
    <w:rsid w:val="00621673"/>
    <w:rsid w:val="00621D5E"/>
    <w:rsid w:val="00621F0F"/>
    <w:rsid w:val="0062395F"/>
    <w:rsid w:val="00624300"/>
    <w:rsid w:val="00624699"/>
    <w:rsid w:val="006253BC"/>
    <w:rsid w:val="00626125"/>
    <w:rsid w:val="006263DD"/>
    <w:rsid w:val="0062649C"/>
    <w:rsid w:val="00626543"/>
    <w:rsid w:val="00626799"/>
    <w:rsid w:val="00626F7D"/>
    <w:rsid w:val="00627167"/>
    <w:rsid w:val="00627D7D"/>
    <w:rsid w:val="006303AF"/>
    <w:rsid w:val="00630D30"/>
    <w:rsid w:val="0063157D"/>
    <w:rsid w:val="006318C1"/>
    <w:rsid w:val="00632A40"/>
    <w:rsid w:val="00632FFD"/>
    <w:rsid w:val="006331A5"/>
    <w:rsid w:val="0063325A"/>
    <w:rsid w:val="006334F6"/>
    <w:rsid w:val="006336F3"/>
    <w:rsid w:val="00633724"/>
    <w:rsid w:val="00634C67"/>
    <w:rsid w:val="00634DD6"/>
    <w:rsid w:val="00635610"/>
    <w:rsid w:val="00635C07"/>
    <w:rsid w:val="00635E1C"/>
    <w:rsid w:val="00636595"/>
    <w:rsid w:val="006366A8"/>
    <w:rsid w:val="00636C8C"/>
    <w:rsid w:val="00637080"/>
    <w:rsid w:val="00637446"/>
    <w:rsid w:val="00637F3B"/>
    <w:rsid w:val="00640002"/>
    <w:rsid w:val="006417D0"/>
    <w:rsid w:val="0064415C"/>
    <w:rsid w:val="00644452"/>
    <w:rsid w:val="00644471"/>
    <w:rsid w:val="00644636"/>
    <w:rsid w:val="006447E3"/>
    <w:rsid w:val="00645A22"/>
    <w:rsid w:val="00646ECB"/>
    <w:rsid w:val="0064720D"/>
    <w:rsid w:val="00647330"/>
    <w:rsid w:val="00647852"/>
    <w:rsid w:val="00647F30"/>
    <w:rsid w:val="00650470"/>
    <w:rsid w:val="006504AA"/>
    <w:rsid w:val="00650F5D"/>
    <w:rsid w:val="0065132B"/>
    <w:rsid w:val="006514EE"/>
    <w:rsid w:val="0065182F"/>
    <w:rsid w:val="00651AE8"/>
    <w:rsid w:val="00651B71"/>
    <w:rsid w:val="00651C90"/>
    <w:rsid w:val="00651CE7"/>
    <w:rsid w:val="00651D32"/>
    <w:rsid w:val="00652C3F"/>
    <w:rsid w:val="006536D4"/>
    <w:rsid w:val="00653C19"/>
    <w:rsid w:val="00654C79"/>
    <w:rsid w:val="00654DC6"/>
    <w:rsid w:val="00654EA4"/>
    <w:rsid w:val="006564AD"/>
    <w:rsid w:val="00656511"/>
    <w:rsid w:val="00656766"/>
    <w:rsid w:val="00656E89"/>
    <w:rsid w:val="00657150"/>
    <w:rsid w:val="006571AC"/>
    <w:rsid w:val="00657375"/>
    <w:rsid w:val="0065759E"/>
    <w:rsid w:val="006576EF"/>
    <w:rsid w:val="00657ED9"/>
    <w:rsid w:val="0066032B"/>
    <w:rsid w:val="00660A01"/>
    <w:rsid w:val="00661385"/>
    <w:rsid w:val="00661BFA"/>
    <w:rsid w:val="00661E31"/>
    <w:rsid w:val="0066228F"/>
    <w:rsid w:val="00662434"/>
    <w:rsid w:val="0066289F"/>
    <w:rsid w:val="006633D7"/>
    <w:rsid w:val="006638BA"/>
    <w:rsid w:val="00663965"/>
    <w:rsid w:val="00663CA9"/>
    <w:rsid w:val="00663F49"/>
    <w:rsid w:val="0066498D"/>
    <w:rsid w:val="00664B26"/>
    <w:rsid w:val="00664D07"/>
    <w:rsid w:val="00665A54"/>
    <w:rsid w:val="0066665B"/>
    <w:rsid w:val="00670490"/>
    <w:rsid w:val="006705E4"/>
    <w:rsid w:val="006708E8"/>
    <w:rsid w:val="0067103B"/>
    <w:rsid w:val="00671613"/>
    <w:rsid w:val="00671B71"/>
    <w:rsid w:val="00672611"/>
    <w:rsid w:val="006726B9"/>
    <w:rsid w:val="00672E79"/>
    <w:rsid w:val="00672F64"/>
    <w:rsid w:val="0067349B"/>
    <w:rsid w:val="006744FE"/>
    <w:rsid w:val="00674C5C"/>
    <w:rsid w:val="006754E6"/>
    <w:rsid w:val="006755C2"/>
    <w:rsid w:val="00675901"/>
    <w:rsid w:val="00675A23"/>
    <w:rsid w:val="00676A83"/>
    <w:rsid w:val="0067788F"/>
    <w:rsid w:val="00677E36"/>
    <w:rsid w:val="006801FC"/>
    <w:rsid w:val="00681361"/>
    <w:rsid w:val="006818BE"/>
    <w:rsid w:val="00681A8E"/>
    <w:rsid w:val="00682863"/>
    <w:rsid w:val="006835B0"/>
    <w:rsid w:val="006837A2"/>
    <w:rsid w:val="00683B75"/>
    <w:rsid w:val="00685109"/>
    <w:rsid w:val="00685A4D"/>
    <w:rsid w:val="00686441"/>
    <w:rsid w:val="00686689"/>
    <w:rsid w:val="00686710"/>
    <w:rsid w:val="00687181"/>
    <w:rsid w:val="00687EDC"/>
    <w:rsid w:val="00687EDF"/>
    <w:rsid w:val="0069051C"/>
    <w:rsid w:val="00691972"/>
    <w:rsid w:val="006919CD"/>
    <w:rsid w:val="00691A78"/>
    <w:rsid w:val="00691EE9"/>
    <w:rsid w:val="0069238D"/>
    <w:rsid w:val="00692C9A"/>
    <w:rsid w:val="006935B2"/>
    <w:rsid w:val="00693C4E"/>
    <w:rsid w:val="00693EFA"/>
    <w:rsid w:val="00694B2C"/>
    <w:rsid w:val="00694FAD"/>
    <w:rsid w:val="00695067"/>
    <w:rsid w:val="006952EE"/>
    <w:rsid w:val="006954DB"/>
    <w:rsid w:val="00696244"/>
    <w:rsid w:val="0069636A"/>
    <w:rsid w:val="00696B72"/>
    <w:rsid w:val="00696BD9"/>
    <w:rsid w:val="00696E1E"/>
    <w:rsid w:val="00697498"/>
    <w:rsid w:val="00697F46"/>
    <w:rsid w:val="006A058C"/>
    <w:rsid w:val="006A0C1D"/>
    <w:rsid w:val="006A0F6D"/>
    <w:rsid w:val="006A12E2"/>
    <w:rsid w:val="006A1A14"/>
    <w:rsid w:val="006A1EB4"/>
    <w:rsid w:val="006A28E9"/>
    <w:rsid w:val="006A2C1C"/>
    <w:rsid w:val="006A340B"/>
    <w:rsid w:val="006A3AA6"/>
    <w:rsid w:val="006A3ABC"/>
    <w:rsid w:val="006A3B82"/>
    <w:rsid w:val="006A447D"/>
    <w:rsid w:val="006A47F7"/>
    <w:rsid w:val="006A4828"/>
    <w:rsid w:val="006A485A"/>
    <w:rsid w:val="006B03DA"/>
    <w:rsid w:val="006B0A24"/>
    <w:rsid w:val="006B0E3D"/>
    <w:rsid w:val="006B0FA7"/>
    <w:rsid w:val="006B1166"/>
    <w:rsid w:val="006B1756"/>
    <w:rsid w:val="006B18D5"/>
    <w:rsid w:val="006B2B17"/>
    <w:rsid w:val="006B35F9"/>
    <w:rsid w:val="006B438B"/>
    <w:rsid w:val="006B45E6"/>
    <w:rsid w:val="006B541B"/>
    <w:rsid w:val="006B740A"/>
    <w:rsid w:val="006B75D2"/>
    <w:rsid w:val="006B77B6"/>
    <w:rsid w:val="006B7B74"/>
    <w:rsid w:val="006B7D06"/>
    <w:rsid w:val="006C02EA"/>
    <w:rsid w:val="006C0976"/>
    <w:rsid w:val="006C09BC"/>
    <w:rsid w:val="006C0CAA"/>
    <w:rsid w:val="006C0E4A"/>
    <w:rsid w:val="006C3128"/>
    <w:rsid w:val="006C32FC"/>
    <w:rsid w:val="006C33AC"/>
    <w:rsid w:val="006C39BA"/>
    <w:rsid w:val="006C3E89"/>
    <w:rsid w:val="006C4CC2"/>
    <w:rsid w:val="006C5A52"/>
    <w:rsid w:val="006C5DC2"/>
    <w:rsid w:val="006C6612"/>
    <w:rsid w:val="006C6EA8"/>
    <w:rsid w:val="006C7BA1"/>
    <w:rsid w:val="006C7EE5"/>
    <w:rsid w:val="006D105A"/>
    <w:rsid w:val="006D13EB"/>
    <w:rsid w:val="006D15B1"/>
    <w:rsid w:val="006D19CA"/>
    <w:rsid w:val="006D20F8"/>
    <w:rsid w:val="006D2401"/>
    <w:rsid w:val="006D27A6"/>
    <w:rsid w:val="006D2A27"/>
    <w:rsid w:val="006D3D82"/>
    <w:rsid w:val="006D3F52"/>
    <w:rsid w:val="006D3F7D"/>
    <w:rsid w:val="006D42DF"/>
    <w:rsid w:val="006D442A"/>
    <w:rsid w:val="006D4AF3"/>
    <w:rsid w:val="006D5358"/>
    <w:rsid w:val="006D5F3A"/>
    <w:rsid w:val="006D61E6"/>
    <w:rsid w:val="006D6502"/>
    <w:rsid w:val="006D70BE"/>
    <w:rsid w:val="006D76FC"/>
    <w:rsid w:val="006D7734"/>
    <w:rsid w:val="006E00E6"/>
    <w:rsid w:val="006E00EF"/>
    <w:rsid w:val="006E055E"/>
    <w:rsid w:val="006E05A2"/>
    <w:rsid w:val="006E1E68"/>
    <w:rsid w:val="006E2428"/>
    <w:rsid w:val="006E2863"/>
    <w:rsid w:val="006E2E86"/>
    <w:rsid w:val="006E38AD"/>
    <w:rsid w:val="006E3AD4"/>
    <w:rsid w:val="006E4112"/>
    <w:rsid w:val="006E4FA9"/>
    <w:rsid w:val="006E5266"/>
    <w:rsid w:val="006E582A"/>
    <w:rsid w:val="006E59D8"/>
    <w:rsid w:val="006E5DA8"/>
    <w:rsid w:val="006E662E"/>
    <w:rsid w:val="006E6F9A"/>
    <w:rsid w:val="006E71F7"/>
    <w:rsid w:val="006E735E"/>
    <w:rsid w:val="006E73D0"/>
    <w:rsid w:val="006E759B"/>
    <w:rsid w:val="006F03B1"/>
    <w:rsid w:val="006F0445"/>
    <w:rsid w:val="006F0E72"/>
    <w:rsid w:val="006F1366"/>
    <w:rsid w:val="006F140F"/>
    <w:rsid w:val="006F146E"/>
    <w:rsid w:val="006F1CE5"/>
    <w:rsid w:val="006F2141"/>
    <w:rsid w:val="006F2398"/>
    <w:rsid w:val="006F254F"/>
    <w:rsid w:val="006F2DF0"/>
    <w:rsid w:val="006F2EB6"/>
    <w:rsid w:val="006F38C4"/>
    <w:rsid w:val="006F396B"/>
    <w:rsid w:val="006F3E79"/>
    <w:rsid w:val="006F3E7C"/>
    <w:rsid w:val="006F4C73"/>
    <w:rsid w:val="006F4F11"/>
    <w:rsid w:val="006F517F"/>
    <w:rsid w:val="006F529D"/>
    <w:rsid w:val="006F6216"/>
    <w:rsid w:val="007001C8"/>
    <w:rsid w:val="00700C73"/>
    <w:rsid w:val="00701A71"/>
    <w:rsid w:val="00702660"/>
    <w:rsid w:val="0070390A"/>
    <w:rsid w:val="007046FB"/>
    <w:rsid w:val="00704DB8"/>
    <w:rsid w:val="0070501C"/>
    <w:rsid w:val="007051CB"/>
    <w:rsid w:val="007057B9"/>
    <w:rsid w:val="00705C94"/>
    <w:rsid w:val="00705CDC"/>
    <w:rsid w:val="0070695D"/>
    <w:rsid w:val="00707E7E"/>
    <w:rsid w:val="00707FEE"/>
    <w:rsid w:val="007100E4"/>
    <w:rsid w:val="007102E9"/>
    <w:rsid w:val="007105B1"/>
    <w:rsid w:val="007106B9"/>
    <w:rsid w:val="00710917"/>
    <w:rsid w:val="00711724"/>
    <w:rsid w:val="007117D5"/>
    <w:rsid w:val="00711959"/>
    <w:rsid w:val="007119A6"/>
    <w:rsid w:val="00711AFD"/>
    <w:rsid w:val="00711C7B"/>
    <w:rsid w:val="007121BF"/>
    <w:rsid w:val="007124CB"/>
    <w:rsid w:val="00712F76"/>
    <w:rsid w:val="00713490"/>
    <w:rsid w:val="00713B21"/>
    <w:rsid w:val="00713D16"/>
    <w:rsid w:val="007140D9"/>
    <w:rsid w:val="00714D19"/>
    <w:rsid w:val="0071642F"/>
    <w:rsid w:val="00716874"/>
    <w:rsid w:val="00716C8E"/>
    <w:rsid w:val="00717789"/>
    <w:rsid w:val="00720833"/>
    <w:rsid w:val="00721454"/>
    <w:rsid w:val="007219EC"/>
    <w:rsid w:val="00721DE2"/>
    <w:rsid w:val="00723059"/>
    <w:rsid w:val="007230AA"/>
    <w:rsid w:val="00723646"/>
    <w:rsid w:val="00723894"/>
    <w:rsid w:val="00723D6E"/>
    <w:rsid w:val="007240D5"/>
    <w:rsid w:val="00724406"/>
    <w:rsid w:val="00724830"/>
    <w:rsid w:val="00724FD3"/>
    <w:rsid w:val="00725184"/>
    <w:rsid w:val="00725B6C"/>
    <w:rsid w:val="00725D3B"/>
    <w:rsid w:val="0072620A"/>
    <w:rsid w:val="00727027"/>
    <w:rsid w:val="007270E4"/>
    <w:rsid w:val="00727AF0"/>
    <w:rsid w:val="00727E14"/>
    <w:rsid w:val="0073026F"/>
    <w:rsid w:val="007303B5"/>
    <w:rsid w:val="00730A2E"/>
    <w:rsid w:val="007314C6"/>
    <w:rsid w:val="0073173B"/>
    <w:rsid w:val="007317DA"/>
    <w:rsid w:val="00731853"/>
    <w:rsid w:val="00731B50"/>
    <w:rsid w:val="007321E5"/>
    <w:rsid w:val="00732370"/>
    <w:rsid w:val="00732AF8"/>
    <w:rsid w:val="00732EA4"/>
    <w:rsid w:val="00733081"/>
    <w:rsid w:val="007332CC"/>
    <w:rsid w:val="007333AF"/>
    <w:rsid w:val="00733635"/>
    <w:rsid w:val="00734CE2"/>
    <w:rsid w:val="00734E36"/>
    <w:rsid w:val="0073502E"/>
    <w:rsid w:val="0073546E"/>
    <w:rsid w:val="00735D1B"/>
    <w:rsid w:val="0073690C"/>
    <w:rsid w:val="0073767C"/>
    <w:rsid w:val="00737689"/>
    <w:rsid w:val="0073771D"/>
    <w:rsid w:val="00741520"/>
    <w:rsid w:val="00741918"/>
    <w:rsid w:val="00741C9B"/>
    <w:rsid w:val="00742191"/>
    <w:rsid w:val="00742A95"/>
    <w:rsid w:val="00743273"/>
    <w:rsid w:val="00743352"/>
    <w:rsid w:val="00743C6D"/>
    <w:rsid w:val="00743EBB"/>
    <w:rsid w:val="0074412D"/>
    <w:rsid w:val="00744534"/>
    <w:rsid w:val="00746E2F"/>
    <w:rsid w:val="007470BF"/>
    <w:rsid w:val="007473A5"/>
    <w:rsid w:val="007521D1"/>
    <w:rsid w:val="007523B6"/>
    <w:rsid w:val="0075262A"/>
    <w:rsid w:val="00752823"/>
    <w:rsid w:val="007530F0"/>
    <w:rsid w:val="007536D6"/>
    <w:rsid w:val="007537F7"/>
    <w:rsid w:val="00753984"/>
    <w:rsid w:val="00753B8E"/>
    <w:rsid w:val="007544F4"/>
    <w:rsid w:val="00754CC7"/>
    <w:rsid w:val="0075519A"/>
    <w:rsid w:val="007563D8"/>
    <w:rsid w:val="007565E0"/>
    <w:rsid w:val="00756792"/>
    <w:rsid w:val="00756ACE"/>
    <w:rsid w:val="00756D8E"/>
    <w:rsid w:val="00757201"/>
    <w:rsid w:val="00757CEF"/>
    <w:rsid w:val="00757E56"/>
    <w:rsid w:val="0076006F"/>
    <w:rsid w:val="007610AF"/>
    <w:rsid w:val="007614A8"/>
    <w:rsid w:val="00761BE4"/>
    <w:rsid w:val="00762022"/>
    <w:rsid w:val="00762756"/>
    <w:rsid w:val="00764DE3"/>
    <w:rsid w:val="00764E3B"/>
    <w:rsid w:val="007650EB"/>
    <w:rsid w:val="007651DA"/>
    <w:rsid w:val="007651E1"/>
    <w:rsid w:val="007651F6"/>
    <w:rsid w:val="007653D4"/>
    <w:rsid w:val="00766E27"/>
    <w:rsid w:val="00767339"/>
    <w:rsid w:val="007673B8"/>
    <w:rsid w:val="00767CE4"/>
    <w:rsid w:val="00770C4C"/>
    <w:rsid w:val="00770C68"/>
    <w:rsid w:val="00771791"/>
    <w:rsid w:val="00772B92"/>
    <w:rsid w:val="00772C9C"/>
    <w:rsid w:val="00772CCB"/>
    <w:rsid w:val="00773239"/>
    <w:rsid w:val="00773449"/>
    <w:rsid w:val="00774107"/>
    <w:rsid w:val="00775318"/>
    <w:rsid w:val="00775D9F"/>
    <w:rsid w:val="007765CA"/>
    <w:rsid w:val="007766CF"/>
    <w:rsid w:val="0077691D"/>
    <w:rsid w:val="00777754"/>
    <w:rsid w:val="00777917"/>
    <w:rsid w:val="00777C36"/>
    <w:rsid w:val="007800CF"/>
    <w:rsid w:val="007803E2"/>
    <w:rsid w:val="007808ED"/>
    <w:rsid w:val="007811B6"/>
    <w:rsid w:val="0078122F"/>
    <w:rsid w:val="0078126F"/>
    <w:rsid w:val="00782032"/>
    <w:rsid w:val="007820C5"/>
    <w:rsid w:val="00782714"/>
    <w:rsid w:val="007828D8"/>
    <w:rsid w:val="007836B7"/>
    <w:rsid w:val="0078464A"/>
    <w:rsid w:val="00784750"/>
    <w:rsid w:val="00784902"/>
    <w:rsid w:val="00784ED1"/>
    <w:rsid w:val="0078509A"/>
    <w:rsid w:val="00785B23"/>
    <w:rsid w:val="007862BD"/>
    <w:rsid w:val="0078648F"/>
    <w:rsid w:val="007868B3"/>
    <w:rsid w:val="00786A96"/>
    <w:rsid w:val="00786D10"/>
    <w:rsid w:val="0078773B"/>
    <w:rsid w:val="00790425"/>
    <w:rsid w:val="0079059F"/>
    <w:rsid w:val="007907A1"/>
    <w:rsid w:val="007907FA"/>
    <w:rsid w:val="00790844"/>
    <w:rsid w:val="00790A86"/>
    <w:rsid w:val="007916CD"/>
    <w:rsid w:val="00793199"/>
    <w:rsid w:val="0079324A"/>
    <w:rsid w:val="00793543"/>
    <w:rsid w:val="007939B0"/>
    <w:rsid w:val="00793AB8"/>
    <w:rsid w:val="00793CD0"/>
    <w:rsid w:val="00793DC8"/>
    <w:rsid w:val="007940FC"/>
    <w:rsid w:val="00795229"/>
    <w:rsid w:val="007956D0"/>
    <w:rsid w:val="007961F9"/>
    <w:rsid w:val="007962BD"/>
    <w:rsid w:val="00797AA5"/>
    <w:rsid w:val="00797E2B"/>
    <w:rsid w:val="007A0295"/>
    <w:rsid w:val="007A05F6"/>
    <w:rsid w:val="007A0767"/>
    <w:rsid w:val="007A14DA"/>
    <w:rsid w:val="007A2625"/>
    <w:rsid w:val="007A30AC"/>
    <w:rsid w:val="007A38FB"/>
    <w:rsid w:val="007A3B50"/>
    <w:rsid w:val="007A52A5"/>
    <w:rsid w:val="007A58AD"/>
    <w:rsid w:val="007A5950"/>
    <w:rsid w:val="007A5BB2"/>
    <w:rsid w:val="007A600E"/>
    <w:rsid w:val="007A691F"/>
    <w:rsid w:val="007A75D6"/>
    <w:rsid w:val="007A7DF2"/>
    <w:rsid w:val="007B00D9"/>
    <w:rsid w:val="007B01F0"/>
    <w:rsid w:val="007B0B8A"/>
    <w:rsid w:val="007B0BE4"/>
    <w:rsid w:val="007B0E7B"/>
    <w:rsid w:val="007B13BD"/>
    <w:rsid w:val="007B18E6"/>
    <w:rsid w:val="007B1958"/>
    <w:rsid w:val="007B2DF4"/>
    <w:rsid w:val="007B36CE"/>
    <w:rsid w:val="007B45B8"/>
    <w:rsid w:val="007B4990"/>
    <w:rsid w:val="007B4F32"/>
    <w:rsid w:val="007B50BB"/>
    <w:rsid w:val="007B5D92"/>
    <w:rsid w:val="007B5DA6"/>
    <w:rsid w:val="007B5DD1"/>
    <w:rsid w:val="007B6260"/>
    <w:rsid w:val="007B6376"/>
    <w:rsid w:val="007B666A"/>
    <w:rsid w:val="007B7A40"/>
    <w:rsid w:val="007C0FC6"/>
    <w:rsid w:val="007C1760"/>
    <w:rsid w:val="007C183B"/>
    <w:rsid w:val="007C1D59"/>
    <w:rsid w:val="007C383C"/>
    <w:rsid w:val="007C3EA6"/>
    <w:rsid w:val="007C4214"/>
    <w:rsid w:val="007C42B5"/>
    <w:rsid w:val="007C4ECE"/>
    <w:rsid w:val="007C53E9"/>
    <w:rsid w:val="007C59D1"/>
    <w:rsid w:val="007C5E45"/>
    <w:rsid w:val="007C63BF"/>
    <w:rsid w:val="007C731B"/>
    <w:rsid w:val="007C794D"/>
    <w:rsid w:val="007C7B10"/>
    <w:rsid w:val="007C7E1F"/>
    <w:rsid w:val="007D0738"/>
    <w:rsid w:val="007D08BD"/>
    <w:rsid w:val="007D08CF"/>
    <w:rsid w:val="007D1594"/>
    <w:rsid w:val="007D1721"/>
    <w:rsid w:val="007D1BCD"/>
    <w:rsid w:val="007D1D8A"/>
    <w:rsid w:val="007D1E3D"/>
    <w:rsid w:val="007D1F57"/>
    <w:rsid w:val="007D1FC9"/>
    <w:rsid w:val="007D257B"/>
    <w:rsid w:val="007D2C64"/>
    <w:rsid w:val="007D2E55"/>
    <w:rsid w:val="007D2F73"/>
    <w:rsid w:val="007D33FA"/>
    <w:rsid w:val="007D4161"/>
    <w:rsid w:val="007D5AD7"/>
    <w:rsid w:val="007D64FC"/>
    <w:rsid w:val="007D668D"/>
    <w:rsid w:val="007D7AAE"/>
    <w:rsid w:val="007E032E"/>
    <w:rsid w:val="007E034A"/>
    <w:rsid w:val="007E094B"/>
    <w:rsid w:val="007E0F80"/>
    <w:rsid w:val="007E1010"/>
    <w:rsid w:val="007E1C0C"/>
    <w:rsid w:val="007E2729"/>
    <w:rsid w:val="007E28DB"/>
    <w:rsid w:val="007E2926"/>
    <w:rsid w:val="007E2B5A"/>
    <w:rsid w:val="007E392D"/>
    <w:rsid w:val="007E3C3E"/>
    <w:rsid w:val="007E3F5D"/>
    <w:rsid w:val="007E4C41"/>
    <w:rsid w:val="007E502E"/>
    <w:rsid w:val="007E50BC"/>
    <w:rsid w:val="007E548A"/>
    <w:rsid w:val="007E565A"/>
    <w:rsid w:val="007E6A24"/>
    <w:rsid w:val="007E6E43"/>
    <w:rsid w:val="007E7AA7"/>
    <w:rsid w:val="007F020B"/>
    <w:rsid w:val="007F0E88"/>
    <w:rsid w:val="007F0EC8"/>
    <w:rsid w:val="007F15AD"/>
    <w:rsid w:val="007F16EA"/>
    <w:rsid w:val="007F17C6"/>
    <w:rsid w:val="007F1A9D"/>
    <w:rsid w:val="007F251A"/>
    <w:rsid w:val="007F2D17"/>
    <w:rsid w:val="007F2D8A"/>
    <w:rsid w:val="007F2E76"/>
    <w:rsid w:val="007F2E77"/>
    <w:rsid w:val="007F344A"/>
    <w:rsid w:val="007F3D01"/>
    <w:rsid w:val="007F3FA2"/>
    <w:rsid w:val="007F4710"/>
    <w:rsid w:val="007F48BC"/>
    <w:rsid w:val="007F55E5"/>
    <w:rsid w:val="007F5842"/>
    <w:rsid w:val="007F5C8F"/>
    <w:rsid w:val="007F5D45"/>
    <w:rsid w:val="007F6115"/>
    <w:rsid w:val="007F6461"/>
    <w:rsid w:val="007F6B3E"/>
    <w:rsid w:val="007F70F4"/>
    <w:rsid w:val="007F7681"/>
    <w:rsid w:val="007F76C6"/>
    <w:rsid w:val="007F78C1"/>
    <w:rsid w:val="007F7D24"/>
    <w:rsid w:val="008005A7"/>
    <w:rsid w:val="00800CE0"/>
    <w:rsid w:val="008012F0"/>
    <w:rsid w:val="00801338"/>
    <w:rsid w:val="00801533"/>
    <w:rsid w:val="0080162E"/>
    <w:rsid w:val="00801A01"/>
    <w:rsid w:val="00801A94"/>
    <w:rsid w:val="00802369"/>
    <w:rsid w:val="00802951"/>
    <w:rsid w:val="00802D49"/>
    <w:rsid w:val="00802F46"/>
    <w:rsid w:val="00803167"/>
    <w:rsid w:val="00803B1A"/>
    <w:rsid w:val="008048D1"/>
    <w:rsid w:val="008050CD"/>
    <w:rsid w:val="00805755"/>
    <w:rsid w:val="008059B3"/>
    <w:rsid w:val="008068D7"/>
    <w:rsid w:val="008075D7"/>
    <w:rsid w:val="00807632"/>
    <w:rsid w:val="0080782A"/>
    <w:rsid w:val="008106C7"/>
    <w:rsid w:val="0081158C"/>
    <w:rsid w:val="0081177A"/>
    <w:rsid w:val="0081191B"/>
    <w:rsid w:val="00811F00"/>
    <w:rsid w:val="008126B9"/>
    <w:rsid w:val="00812A46"/>
    <w:rsid w:val="00813317"/>
    <w:rsid w:val="008134F8"/>
    <w:rsid w:val="00813A90"/>
    <w:rsid w:val="00813AB8"/>
    <w:rsid w:val="00814A2C"/>
    <w:rsid w:val="00814AD3"/>
    <w:rsid w:val="00814B47"/>
    <w:rsid w:val="00814BEF"/>
    <w:rsid w:val="00814C9E"/>
    <w:rsid w:val="00815015"/>
    <w:rsid w:val="008157C4"/>
    <w:rsid w:val="00815BE6"/>
    <w:rsid w:val="0081697B"/>
    <w:rsid w:val="0081726F"/>
    <w:rsid w:val="008205E1"/>
    <w:rsid w:val="00820631"/>
    <w:rsid w:val="00820929"/>
    <w:rsid w:val="008228E4"/>
    <w:rsid w:val="00822A74"/>
    <w:rsid w:val="0082325F"/>
    <w:rsid w:val="008239A0"/>
    <w:rsid w:val="00823CF1"/>
    <w:rsid w:val="00823D15"/>
    <w:rsid w:val="00823EC5"/>
    <w:rsid w:val="0082462A"/>
    <w:rsid w:val="00824748"/>
    <w:rsid w:val="00824866"/>
    <w:rsid w:val="008258CD"/>
    <w:rsid w:val="00825D8F"/>
    <w:rsid w:val="008264F5"/>
    <w:rsid w:val="00826B24"/>
    <w:rsid w:val="00826DA6"/>
    <w:rsid w:val="008271D2"/>
    <w:rsid w:val="008272CD"/>
    <w:rsid w:val="0082738C"/>
    <w:rsid w:val="0083062C"/>
    <w:rsid w:val="00830B37"/>
    <w:rsid w:val="00830D19"/>
    <w:rsid w:val="00832600"/>
    <w:rsid w:val="00833A00"/>
    <w:rsid w:val="008340E5"/>
    <w:rsid w:val="008342DC"/>
    <w:rsid w:val="00834AF4"/>
    <w:rsid w:val="00834B3E"/>
    <w:rsid w:val="00834CBB"/>
    <w:rsid w:val="00834FAD"/>
    <w:rsid w:val="0083538F"/>
    <w:rsid w:val="00835935"/>
    <w:rsid w:val="00835DED"/>
    <w:rsid w:val="008368A7"/>
    <w:rsid w:val="00836975"/>
    <w:rsid w:val="00837625"/>
    <w:rsid w:val="00837738"/>
    <w:rsid w:val="0083799F"/>
    <w:rsid w:val="0084027E"/>
    <w:rsid w:val="0084096A"/>
    <w:rsid w:val="00840E69"/>
    <w:rsid w:val="00841959"/>
    <w:rsid w:val="00841CC9"/>
    <w:rsid w:val="00842367"/>
    <w:rsid w:val="00842C28"/>
    <w:rsid w:val="00843C61"/>
    <w:rsid w:val="00843F8F"/>
    <w:rsid w:val="008460F9"/>
    <w:rsid w:val="008462B1"/>
    <w:rsid w:val="008463C7"/>
    <w:rsid w:val="00847A4E"/>
    <w:rsid w:val="00847B94"/>
    <w:rsid w:val="00847CD1"/>
    <w:rsid w:val="00847F7A"/>
    <w:rsid w:val="008507EA"/>
    <w:rsid w:val="00850C2A"/>
    <w:rsid w:val="00850C5B"/>
    <w:rsid w:val="00850D72"/>
    <w:rsid w:val="008511F7"/>
    <w:rsid w:val="008517BC"/>
    <w:rsid w:val="00851B3C"/>
    <w:rsid w:val="00851E27"/>
    <w:rsid w:val="00852D8F"/>
    <w:rsid w:val="00854461"/>
    <w:rsid w:val="00854A63"/>
    <w:rsid w:val="008552E8"/>
    <w:rsid w:val="00855330"/>
    <w:rsid w:val="00855C70"/>
    <w:rsid w:val="00855DF0"/>
    <w:rsid w:val="008574B1"/>
    <w:rsid w:val="00860828"/>
    <w:rsid w:val="00860999"/>
    <w:rsid w:val="00861419"/>
    <w:rsid w:val="00861460"/>
    <w:rsid w:val="00861706"/>
    <w:rsid w:val="00861CF0"/>
    <w:rsid w:val="00862233"/>
    <w:rsid w:val="0086267B"/>
    <w:rsid w:val="00862DD0"/>
    <w:rsid w:val="00863BBF"/>
    <w:rsid w:val="008648FE"/>
    <w:rsid w:val="008649D0"/>
    <w:rsid w:val="00865023"/>
    <w:rsid w:val="00865754"/>
    <w:rsid w:val="00865C06"/>
    <w:rsid w:val="008670CD"/>
    <w:rsid w:val="00867C92"/>
    <w:rsid w:val="00870344"/>
    <w:rsid w:val="00870A01"/>
    <w:rsid w:val="00870CF2"/>
    <w:rsid w:val="00871911"/>
    <w:rsid w:val="008721D8"/>
    <w:rsid w:val="00872962"/>
    <w:rsid w:val="00873192"/>
    <w:rsid w:val="00873A1B"/>
    <w:rsid w:val="00873BBF"/>
    <w:rsid w:val="00873C05"/>
    <w:rsid w:val="00873C22"/>
    <w:rsid w:val="00874247"/>
    <w:rsid w:val="00874EA7"/>
    <w:rsid w:val="00874F06"/>
    <w:rsid w:val="00875982"/>
    <w:rsid w:val="00875C89"/>
    <w:rsid w:val="00876D04"/>
    <w:rsid w:val="008771B2"/>
    <w:rsid w:val="0087777E"/>
    <w:rsid w:val="00877BAF"/>
    <w:rsid w:val="00880224"/>
    <w:rsid w:val="00880788"/>
    <w:rsid w:val="00880BC1"/>
    <w:rsid w:val="00881117"/>
    <w:rsid w:val="0088146A"/>
    <w:rsid w:val="008818D9"/>
    <w:rsid w:val="008819B9"/>
    <w:rsid w:val="008824F0"/>
    <w:rsid w:val="00882CB6"/>
    <w:rsid w:val="008837FD"/>
    <w:rsid w:val="008838D7"/>
    <w:rsid w:val="00883EB2"/>
    <w:rsid w:val="0088414C"/>
    <w:rsid w:val="00884D66"/>
    <w:rsid w:val="00885024"/>
    <w:rsid w:val="00885E07"/>
    <w:rsid w:val="00885ED8"/>
    <w:rsid w:val="008860E3"/>
    <w:rsid w:val="00886A7C"/>
    <w:rsid w:val="00886E74"/>
    <w:rsid w:val="00886F51"/>
    <w:rsid w:val="00886FDC"/>
    <w:rsid w:val="0088749A"/>
    <w:rsid w:val="00887941"/>
    <w:rsid w:val="008913A4"/>
    <w:rsid w:val="0089169F"/>
    <w:rsid w:val="008919A5"/>
    <w:rsid w:val="00891D69"/>
    <w:rsid w:val="00891F57"/>
    <w:rsid w:val="00892ACB"/>
    <w:rsid w:val="008937DA"/>
    <w:rsid w:val="0089385D"/>
    <w:rsid w:val="008938B6"/>
    <w:rsid w:val="008944B2"/>
    <w:rsid w:val="00894B2F"/>
    <w:rsid w:val="00894C26"/>
    <w:rsid w:val="00895490"/>
    <w:rsid w:val="00895900"/>
    <w:rsid w:val="008967B2"/>
    <w:rsid w:val="008971A3"/>
    <w:rsid w:val="00897286"/>
    <w:rsid w:val="00897951"/>
    <w:rsid w:val="00897D89"/>
    <w:rsid w:val="008A1681"/>
    <w:rsid w:val="008A2157"/>
    <w:rsid w:val="008A22B0"/>
    <w:rsid w:val="008A297E"/>
    <w:rsid w:val="008A2CB5"/>
    <w:rsid w:val="008A2D80"/>
    <w:rsid w:val="008A323A"/>
    <w:rsid w:val="008A3D27"/>
    <w:rsid w:val="008A43FA"/>
    <w:rsid w:val="008A48FB"/>
    <w:rsid w:val="008A492A"/>
    <w:rsid w:val="008A49BE"/>
    <w:rsid w:val="008A5159"/>
    <w:rsid w:val="008A62B3"/>
    <w:rsid w:val="008A6946"/>
    <w:rsid w:val="008A6ADC"/>
    <w:rsid w:val="008A6BEE"/>
    <w:rsid w:val="008A6F15"/>
    <w:rsid w:val="008A7274"/>
    <w:rsid w:val="008A733D"/>
    <w:rsid w:val="008B17EE"/>
    <w:rsid w:val="008B1E08"/>
    <w:rsid w:val="008B1FA7"/>
    <w:rsid w:val="008B2165"/>
    <w:rsid w:val="008B2D25"/>
    <w:rsid w:val="008B3948"/>
    <w:rsid w:val="008B52C6"/>
    <w:rsid w:val="008B5EEE"/>
    <w:rsid w:val="008B6893"/>
    <w:rsid w:val="008B6EAF"/>
    <w:rsid w:val="008B73A7"/>
    <w:rsid w:val="008B7EEE"/>
    <w:rsid w:val="008C07CE"/>
    <w:rsid w:val="008C0C6A"/>
    <w:rsid w:val="008C0CB5"/>
    <w:rsid w:val="008C12A3"/>
    <w:rsid w:val="008C2080"/>
    <w:rsid w:val="008C230F"/>
    <w:rsid w:val="008C2544"/>
    <w:rsid w:val="008C2C2A"/>
    <w:rsid w:val="008C2ED5"/>
    <w:rsid w:val="008C373B"/>
    <w:rsid w:val="008C3A3E"/>
    <w:rsid w:val="008C3A4F"/>
    <w:rsid w:val="008C416B"/>
    <w:rsid w:val="008C41B1"/>
    <w:rsid w:val="008C41BF"/>
    <w:rsid w:val="008C4284"/>
    <w:rsid w:val="008C49B9"/>
    <w:rsid w:val="008C52E4"/>
    <w:rsid w:val="008C53C1"/>
    <w:rsid w:val="008C5BCD"/>
    <w:rsid w:val="008C5E45"/>
    <w:rsid w:val="008C5F84"/>
    <w:rsid w:val="008C6142"/>
    <w:rsid w:val="008C6A42"/>
    <w:rsid w:val="008C7CA0"/>
    <w:rsid w:val="008C7E78"/>
    <w:rsid w:val="008D00A9"/>
    <w:rsid w:val="008D1105"/>
    <w:rsid w:val="008D16F6"/>
    <w:rsid w:val="008D26E2"/>
    <w:rsid w:val="008D4210"/>
    <w:rsid w:val="008D456E"/>
    <w:rsid w:val="008D4DA0"/>
    <w:rsid w:val="008D58F8"/>
    <w:rsid w:val="008D5C81"/>
    <w:rsid w:val="008D662D"/>
    <w:rsid w:val="008D73E7"/>
    <w:rsid w:val="008D7BE9"/>
    <w:rsid w:val="008D7DE1"/>
    <w:rsid w:val="008E06A5"/>
    <w:rsid w:val="008E0B72"/>
    <w:rsid w:val="008E19D2"/>
    <w:rsid w:val="008E1DE2"/>
    <w:rsid w:val="008E20A3"/>
    <w:rsid w:val="008E25B5"/>
    <w:rsid w:val="008E2868"/>
    <w:rsid w:val="008E328F"/>
    <w:rsid w:val="008E369E"/>
    <w:rsid w:val="008E3DEC"/>
    <w:rsid w:val="008E416B"/>
    <w:rsid w:val="008E4E3A"/>
    <w:rsid w:val="008E4E67"/>
    <w:rsid w:val="008E5170"/>
    <w:rsid w:val="008E55BD"/>
    <w:rsid w:val="008E5CDB"/>
    <w:rsid w:val="008E619B"/>
    <w:rsid w:val="008E7376"/>
    <w:rsid w:val="008E7CB8"/>
    <w:rsid w:val="008F01F5"/>
    <w:rsid w:val="008F0275"/>
    <w:rsid w:val="008F0541"/>
    <w:rsid w:val="008F073C"/>
    <w:rsid w:val="008F0790"/>
    <w:rsid w:val="008F0E3F"/>
    <w:rsid w:val="008F2073"/>
    <w:rsid w:val="008F2472"/>
    <w:rsid w:val="008F2F58"/>
    <w:rsid w:val="008F360F"/>
    <w:rsid w:val="008F4078"/>
    <w:rsid w:val="008F47B0"/>
    <w:rsid w:val="008F4F35"/>
    <w:rsid w:val="008F518D"/>
    <w:rsid w:val="008F5915"/>
    <w:rsid w:val="008F6525"/>
    <w:rsid w:val="008F6542"/>
    <w:rsid w:val="008F6CA0"/>
    <w:rsid w:val="008F6F8E"/>
    <w:rsid w:val="008F7007"/>
    <w:rsid w:val="008F7130"/>
    <w:rsid w:val="008F7B89"/>
    <w:rsid w:val="008F7D5C"/>
    <w:rsid w:val="00901121"/>
    <w:rsid w:val="009012C2"/>
    <w:rsid w:val="0090328E"/>
    <w:rsid w:val="00904232"/>
    <w:rsid w:val="009049EB"/>
    <w:rsid w:val="00904C9C"/>
    <w:rsid w:val="00905267"/>
    <w:rsid w:val="009052BF"/>
    <w:rsid w:val="009057CB"/>
    <w:rsid w:val="00906705"/>
    <w:rsid w:val="00907138"/>
    <w:rsid w:val="00907A69"/>
    <w:rsid w:val="00907D0A"/>
    <w:rsid w:val="00907D6D"/>
    <w:rsid w:val="009104F5"/>
    <w:rsid w:val="00910B1B"/>
    <w:rsid w:val="00910D9C"/>
    <w:rsid w:val="0091121F"/>
    <w:rsid w:val="009114A2"/>
    <w:rsid w:val="009115D2"/>
    <w:rsid w:val="00911C6E"/>
    <w:rsid w:val="00911E0C"/>
    <w:rsid w:val="00911F0B"/>
    <w:rsid w:val="00911FB5"/>
    <w:rsid w:val="00912557"/>
    <w:rsid w:val="00913123"/>
    <w:rsid w:val="009137C8"/>
    <w:rsid w:val="009137D3"/>
    <w:rsid w:val="00913CC6"/>
    <w:rsid w:val="00913D7D"/>
    <w:rsid w:val="0091408D"/>
    <w:rsid w:val="009143A4"/>
    <w:rsid w:val="00914A83"/>
    <w:rsid w:val="00914AA8"/>
    <w:rsid w:val="00915A1A"/>
    <w:rsid w:val="00915E70"/>
    <w:rsid w:val="00916161"/>
    <w:rsid w:val="00916619"/>
    <w:rsid w:val="00916C69"/>
    <w:rsid w:val="00916C88"/>
    <w:rsid w:val="00916F59"/>
    <w:rsid w:val="00920D99"/>
    <w:rsid w:val="00920DEF"/>
    <w:rsid w:val="009212CC"/>
    <w:rsid w:val="0092137E"/>
    <w:rsid w:val="009215B0"/>
    <w:rsid w:val="0092173D"/>
    <w:rsid w:val="00922566"/>
    <w:rsid w:val="009228BD"/>
    <w:rsid w:val="00922A90"/>
    <w:rsid w:val="00922E18"/>
    <w:rsid w:val="00922F18"/>
    <w:rsid w:val="00924268"/>
    <w:rsid w:val="00924838"/>
    <w:rsid w:val="009252B2"/>
    <w:rsid w:val="009256F8"/>
    <w:rsid w:val="009258E0"/>
    <w:rsid w:val="009261EA"/>
    <w:rsid w:val="009266F1"/>
    <w:rsid w:val="00926B22"/>
    <w:rsid w:val="00926BBE"/>
    <w:rsid w:val="00927307"/>
    <w:rsid w:val="00927AF0"/>
    <w:rsid w:val="00927C27"/>
    <w:rsid w:val="00930038"/>
    <w:rsid w:val="009301C7"/>
    <w:rsid w:val="009306C6"/>
    <w:rsid w:val="009313BC"/>
    <w:rsid w:val="00931884"/>
    <w:rsid w:val="00932055"/>
    <w:rsid w:val="0093223E"/>
    <w:rsid w:val="009329A5"/>
    <w:rsid w:val="009331C4"/>
    <w:rsid w:val="009331DB"/>
    <w:rsid w:val="009332FC"/>
    <w:rsid w:val="00933813"/>
    <w:rsid w:val="00933A16"/>
    <w:rsid w:val="00933BCF"/>
    <w:rsid w:val="00933D38"/>
    <w:rsid w:val="0093435F"/>
    <w:rsid w:val="00934430"/>
    <w:rsid w:val="009358D1"/>
    <w:rsid w:val="00936399"/>
    <w:rsid w:val="00936ABF"/>
    <w:rsid w:val="00936E0E"/>
    <w:rsid w:val="0093708A"/>
    <w:rsid w:val="00940D82"/>
    <w:rsid w:val="009413B0"/>
    <w:rsid w:val="00941802"/>
    <w:rsid w:val="00941D41"/>
    <w:rsid w:val="00941F9F"/>
    <w:rsid w:val="00942332"/>
    <w:rsid w:val="00942531"/>
    <w:rsid w:val="00942907"/>
    <w:rsid w:val="00942DA4"/>
    <w:rsid w:val="00942FFE"/>
    <w:rsid w:val="00943A83"/>
    <w:rsid w:val="00943F33"/>
    <w:rsid w:val="00944A27"/>
    <w:rsid w:val="00944E47"/>
    <w:rsid w:val="0094505C"/>
    <w:rsid w:val="009458C0"/>
    <w:rsid w:val="00945A71"/>
    <w:rsid w:val="0094639A"/>
    <w:rsid w:val="009469F9"/>
    <w:rsid w:val="00946C32"/>
    <w:rsid w:val="00946E10"/>
    <w:rsid w:val="00946EC9"/>
    <w:rsid w:val="0094707E"/>
    <w:rsid w:val="00947319"/>
    <w:rsid w:val="009477F5"/>
    <w:rsid w:val="009500E9"/>
    <w:rsid w:val="009506D3"/>
    <w:rsid w:val="00951430"/>
    <w:rsid w:val="009515F1"/>
    <w:rsid w:val="009517DF"/>
    <w:rsid w:val="00951C13"/>
    <w:rsid w:val="00951E49"/>
    <w:rsid w:val="009524CA"/>
    <w:rsid w:val="0095283A"/>
    <w:rsid w:val="00952C27"/>
    <w:rsid w:val="00952FCB"/>
    <w:rsid w:val="00953575"/>
    <w:rsid w:val="0095472A"/>
    <w:rsid w:val="00954746"/>
    <w:rsid w:val="00954A52"/>
    <w:rsid w:val="009556AE"/>
    <w:rsid w:val="0095659C"/>
    <w:rsid w:val="00956618"/>
    <w:rsid w:val="009566F0"/>
    <w:rsid w:val="00956802"/>
    <w:rsid w:val="0095738F"/>
    <w:rsid w:val="00957BC2"/>
    <w:rsid w:val="00957F26"/>
    <w:rsid w:val="00960286"/>
    <w:rsid w:val="009604CE"/>
    <w:rsid w:val="0096109F"/>
    <w:rsid w:val="00961E11"/>
    <w:rsid w:val="00961EF2"/>
    <w:rsid w:val="0096338F"/>
    <w:rsid w:val="00963546"/>
    <w:rsid w:val="00963721"/>
    <w:rsid w:val="00963BA6"/>
    <w:rsid w:val="00963DE2"/>
    <w:rsid w:val="00964705"/>
    <w:rsid w:val="00964826"/>
    <w:rsid w:val="0096568B"/>
    <w:rsid w:val="00965D95"/>
    <w:rsid w:val="009666F0"/>
    <w:rsid w:val="00966D19"/>
    <w:rsid w:val="00966DDF"/>
    <w:rsid w:val="009670FD"/>
    <w:rsid w:val="00967923"/>
    <w:rsid w:val="00967F49"/>
    <w:rsid w:val="009709A9"/>
    <w:rsid w:val="009710A9"/>
    <w:rsid w:val="009718D8"/>
    <w:rsid w:val="00971F2C"/>
    <w:rsid w:val="009734AF"/>
    <w:rsid w:val="00973B38"/>
    <w:rsid w:val="00973E1C"/>
    <w:rsid w:val="00974182"/>
    <w:rsid w:val="00974614"/>
    <w:rsid w:val="00974620"/>
    <w:rsid w:val="00975418"/>
    <w:rsid w:val="00975B6A"/>
    <w:rsid w:val="009771CF"/>
    <w:rsid w:val="009777E2"/>
    <w:rsid w:val="00977EB3"/>
    <w:rsid w:val="0098023E"/>
    <w:rsid w:val="0098097D"/>
    <w:rsid w:val="00982358"/>
    <w:rsid w:val="009828C9"/>
    <w:rsid w:val="00982F43"/>
    <w:rsid w:val="00983629"/>
    <w:rsid w:val="0098370C"/>
    <w:rsid w:val="00983A44"/>
    <w:rsid w:val="00984823"/>
    <w:rsid w:val="00985DE6"/>
    <w:rsid w:val="00986758"/>
    <w:rsid w:val="00987226"/>
    <w:rsid w:val="00987358"/>
    <w:rsid w:val="009874BB"/>
    <w:rsid w:val="009874E5"/>
    <w:rsid w:val="0098750F"/>
    <w:rsid w:val="00987F96"/>
    <w:rsid w:val="00990222"/>
    <w:rsid w:val="0099046B"/>
    <w:rsid w:val="00990641"/>
    <w:rsid w:val="009906F2"/>
    <w:rsid w:val="009907B4"/>
    <w:rsid w:val="0099116C"/>
    <w:rsid w:val="009912A5"/>
    <w:rsid w:val="00991FBA"/>
    <w:rsid w:val="009922A5"/>
    <w:rsid w:val="00992C45"/>
    <w:rsid w:val="00992EAD"/>
    <w:rsid w:val="0099357E"/>
    <w:rsid w:val="00993B4A"/>
    <w:rsid w:val="00993CA5"/>
    <w:rsid w:val="00994286"/>
    <w:rsid w:val="00995378"/>
    <w:rsid w:val="0099602B"/>
    <w:rsid w:val="009962AF"/>
    <w:rsid w:val="00996DE4"/>
    <w:rsid w:val="00997252"/>
    <w:rsid w:val="00997590"/>
    <w:rsid w:val="009A009A"/>
    <w:rsid w:val="009A098E"/>
    <w:rsid w:val="009A0C08"/>
    <w:rsid w:val="009A14C4"/>
    <w:rsid w:val="009A1926"/>
    <w:rsid w:val="009A1E88"/>
    <w:rsid w:val="009A2F51"/>
    <w:rsid w:val="009A3474"/>
    <w:rsid w:val="009A44B6"/>
    <w:rsid w:val="009A55BD"/>
    <w:rsid w:val="009A74A3"/>
    <w:rsid w:val="009A79DE"/>
    <w:rsid w:val="009B097C"/>
    <w:rsid w:val="009B1A7E"/>
    <w:rsid w:val="009B20BB"/>
    <w:rsid w:val="009B2495"/>
    <w:rsid w:val="009B26C3"/>
    <w:rsid w:val="009B2B9E"/>
    <w:rsid w:val="009B329E"/>
    <w:rsid w:val="009B3EC3"/>
    <w:rsid w:val="009B3F6B"/>
    <w:rsid w:val="009B4728"/>
    <w:rsid w:val="009B4739"/>
    <w:rsid w:val="009B485B"/>
    <w:rsid w:val="009B6A48"/>
    <w:rsid w:val="009B6C06"/>
    <w:rsid w:val="009B6E9F"/>
    <w:rsid w:val="009B702E"/>
    <w:rsid w:val="009B7474"/>
    <w:rsid w:val="009B7A7B"/>
    <w:rsid w:val="009C0BB0"/>
    <w:rsid w:val="009C1EBA"/>
    <w:rsid w:val="009C1F7F"/>
    <w:rsid w:val="009C21EE"/>
    <w:rsid w:val="009C28E6"/>
    <w:rsid w:val="009C2B7B"/>
    <w:rsid w:val="009C2FAB"/>
    <w:rsid w:val="009C387E"/>
    <w:rsid w:val="009C3CC4"/>
    <w:rsid w:val="009C40F1"/>
    <w:rsid w:val="009C4A84"/>
    <w:rsid w:val="009C4FD3"/>
    <w:rsid w:val="009C5A7B"/>
    <w:rsid w:val="009C65F7"/>
    <w:rsid w:val="009C689D"/>
    <w:rsid w:val="009C7155"/>
    <w:rsid w:val="009C74B7"/>
    <w:rsid w:val="009C7CB6"/>
    <w:rsid w:val="009C7CF9"/>
    <w:rsid w:val="009D0578"/>
    <w:rsid w:val="009D09A9"/>
    <w:rsid w:val="009D0C3F"/>
    <w:rsid w:val="009D1038"/>
    <w:rsid w:val="009D1039"/>
    <w:rsid w:val="009D1A9E"/>
    <w:rsid w:val="009D21FC"/>
    <w:rsid w:val="009D265C"/>
    <w:rsid w:val="009D2736"/>
    <w:rsid w:val="009D2817"/>
    <w:rsid w:val="009D2A93"/>
    <w:rsid w:val="009D2C92"/>
    <w:rsid w:val="009D313E"/>
    <w:rsid w:val="009D333A"/>
    <w:rsid w:val="009D3AC0"/>
    <w:rsid w:val="009D4639"/>
    <w:rsid w:val="009D4ECB"/>
    <w:rsid w:val="009D581C"/>
    <w:rsid w:val="009D5A0B"/>
    <w:rsid w:val="009D5D54"/>
    <w:rsid w:val="009D5E40"/>
    <w:rsid w:val="009D72C7"/>
    <w:rsid w:val="009D75A6"/>
    <w:rsid w:val="009D7C9A"/>
    <w:rsid w:val="009E112E"/>
    <w:rsid w:val="009E23A8"/>
    <w:rsid w:val="009E3CC5"/>
    <w:rsid w:val="009E41C8"/>
    <w:rsid w:val="009E4256"/>
    <w:rsid w:val="009E4AA4"/>
    <w:rsid w:val="009E4D59"/>
    <w:rsid w:val="009E5246"/>
    <w:rsid w:val="009E53A8"/>
    <w:rsid w:val="009E54CD"/>
    <w:rsid w:val="009E5735"/>
    <w:rsid w:val="009E6393"/>
    <w:rsid w:val="009E7A9F"/>
    <w:rsid w:val="009E7CF0"/>
    <w:rsid w:val="009E7F5B"/>
    <w:rsid w:val="009F0A8A"/>
    <w:rsid w:val="009F1693"/>
    <w:rsid w:val="009F1BDC"/>
    <w:rsid w:val="009F20C7"/>
    <w:rsid w:val="009F2366"/>
    <w:rsid w:val="009F2D4C"/>
    <w:rsid w:val="009F38F2"/>
    <w:rsid w:val="009F3B62"/>
    <w:rsid w:val="009F4111"/>
    <w:rsid w:val="009F48DA"/>
    <w:rsid w:val="009F494A"/>
    <w:rsid w:val="009F4CA8"/>
    <w:rsid w:val="009F50FF"/>
    <w:rsid w:val="009F5BBA"/>
    <w:rsid w:val="009F5EC0"/>
    <w:rsid w:val="009F5F46"/>
    <w:rsid w:val="009F5F65"/>
    <w:rsid w:val="009F6188"/>
    <w:rsid w:val="009F667A"/>
    <w:rsid w:val="009F68BD"/>
    <w:rsid w:val="009F751B"/>
    <w:rsid w:val="00A00007"/>
    <w:rsid w:val="00A005E9"/>
    <w:rsid w:val="00A0069D"/>
    <w:rsid w:val="00A0071B"/>
    <w:rsid w:val="00A00795"/>
    <w:rsid w:val="00A012AC"/>
    <w:rsid w:val="00A01A2E"/>
    <w:rsid w:val="00A0220E"/>
    <w:rsid w:val="00A02795"/>
    <w:rsid w:val="00A027E6"/>
    <w:rsid w:val="00A03C09"/>
    <w:rsid w:val="00A043C8"/>
    <w:rsid w:val="00A04850"/>
    <w:rsid w:val="00A0571C"/>
    <w:rsid w:val="00A06B22"/>
    <w:rsid w:val="00A076DE"/>
    <w:rsid w:val="00A07BFB"/>
    <w:rsid w:val="00A100BF"/>
    <w:rsid w:val="00A1025F"/>
    <w:rsid w:val="00A10A5E"/>
    <w:rsid w:val="00A10AB6"/>
    <w:rsid w:val="00A12C36"/>
    <w:rsid w:val="00A12E46"/>
    <w:rsid w:val="00A131B3"/>
    <w:rsid w:val="00A13204"/>
    <w:rsid w:val="00A133E6"/>
    <w:rsid w:val="00A13411"/>
    <w:rsid w:val="00A13EAC"/>
    <w:rsid w:val="00A1413D"/>
    <w:rsid w:val="00A14149"/>
    <w:rsid w:val="00A148E0"/>
    <w:rsid w:val="00A14EB3"/>
    <w:rsid w:val="00A159A2"/>
    <w:rsid w:val="00A15B70"/>
    <w:rsid w:val="00A15CFA"/>
    <w:rsid w:val="00A16A17"/>
    <w:rsid w:val="00A17930"/>
    <w:rsid w:val="00A17AB9"/>
    <w:rsid w:val="00A204EE"/>
    <w:rsid w:val="00A20938"/>
    <w:rsid w:val="00A209F0"/>
    <w:rsid w:val="00A20B99"/>
    <w:rsid w:val="00A218DE"/>
    <w:rsid w:val="00A22A2B"/>
    <w:rsid w:val="00A23144"/>
    <w:rsid w:val="00A233C4"/>
    <w:rsid w:val="00A234B9"/>
    <w:rsid w:val="00A23B73"/>
    <w:rsid w:val="00A24143"/>
    <w:rsid w:val="00A241EE"/>
    <w:rsid w:val="00A249B5"/>
    <w:rsid w:val="00A24C5C"/>
    <w:rsid w:val="00A25028"/>
    <w:rsid w:val="00A25170"/>
    <w:rsid w:val="00A251AE"/>
    <w:rsid w:val="00A25F55"/>
    <w:rsid w:val="00A265A3"/>
    <w:rsid w:val="00A27210"/>
    <w:rsid w:val="00A27211"/>
    <w:rsid w:val="00A27405"/>
    <w:rsid w:val="00A2743D"/>
    <w:rsid w:val="00A27B4D"/>
    <w:rsid w:val="00A30321"/>
    <w:rsid w:val="00A309F3"/>
    <w:rsid w:val="00A31494"/>
    <w:rsid w:val="00A31910"/>
    <w:rsid w:val="00A31CAC"/>
    <w:rsid w:val="00A31CBF"/>
    <w:rsid w:val="00A32153"/>
    <w:rsid w:val="00A32F07"/>
    <w:rsid w:val="00A333A6"/>
    <w:rsid w:val="00A33706"/>
    <w:rsid w:val="00A33E40"/>
    <w:rsid w:val="00A33E70"/>
    <w:rsid w:val="00A34D17"/>
    <w:rsid w:val="00A34E7D"/>
    <w:rsid w:val="00A34F03"/>
    <w:rsid w:val="00A3519E"/>
    <w:rsid w:val="00A35245"/>
    <w:rsid w:val="00A35920"/>
    <w:rsid w:val="00A36B2C"/>
    <w:rsid w:val="00A36F8E"/>
    <w:rsid w:val="00A36FB4"/>
    <w:rsid w:val="00A379D9"/>
    <w:rsid w:val="00A37B27"/>
    <w:rsid w:val="00A37E3D"/>
    <w:rsid w:val="00A40743"/>
    <w:rsid w:val="00A4136A"/>
    <w:rsid w:val="00A417AB"/>
    <w:rsid w:val="00A422FF"/>
    <w:rsid w:val="00A4249D"/>
    <w:rsid w:val="00A4281E"/>
    <w:rsid w:val="00A4291D"/>
    <w:rsid w:val="00A42959"/>
    <w:rsid w:val="00A42D39"/>
    <w:rsid w:val="00A43503"/>
    <w:rsid w:val="00A435F2"/>
    <w:rsid w:val="00A43A76"/>
    <w:rsid w:val="00A43C5F"/>
    <w:rsid w:val="00A4491E"/>
    <w:rsid w:val="00A45B23"/>
    <w:rsid w:val="00A45CA1"/>
    <w:rsid w:val="00A45E85"/>
    <w:rsid w:val="00A45EE4"/>
    <w:rsid w:val="00A46660"/>
    <w:rsid w:val="00A466A6"/>
    <w:rsid w:val="00A46C4B"/>
    <w:rsid w:val="00A47275"/>
    <w:rsid w:val="00A4756D"/>
    <w:rsid w:val="00A50C2E"/>
    <w:rsid w:val="00A50EAA"/>
    <w:rsid w:val="00A50ED2"/>
    <w:rsid w:val="00A50F01"/>
    <w:rsid w:val="00A51DAC"/>
    <w:rsid w:val="00A5212D"/>
    <w:rsid w:val="00A52855"/>
    <w:rsid w:val="00A537A3"/>
    <w:rsid w:val="00A55584"/>
    <w:rsid w:val="00A56427"/>
    <w:rsid w:val="00A5642E"/>
    <w:rsid w:val="00A56695"/>
    <w:rsid w:val="00A56D52"/>
    <w:rsid w:val="00A56D8C"/>
    <w:rsid w:val="00A5707F"/>
    <w:rsid w:val="00A575F5"/>
    <w:rsid w:val="00A57602"/>
    <w:rsid w:val="00A5792E"/>
    <w:rsid w:val="00A57B62"/>
    <w:rsid w:val="00A601E0"/>
    <w:rsid w:val="00A603EE"/>
    <w:rsid w:val="00A60AC4"/>
    <w:rsid w:val="00A60C03"/>
    <w:rsid w:val="00A60EBF"/>
    <w:rsid w:val="00A60EEC"/>
    <w:rsid w:val="00A60F95"/>
    <w:rsid w:val="00A612BF"/>
    <w:rsid w:val="00A619B9"/>
    <w:rsid w:val="00A61B18"/>
    <w:rsid w:val="00A622BD"/>
    <w:rsid w:val="00A622F8"/>
    <w:rsid w:val="00A62946"/>
    <w:rsid w:val="00A639D2"/>
    <w:rsid w:val="00A63CF2"/>
    <w:rsid w:val="00A63D51"/>
    <w:rsid w:val="00A650C8"/>
    <w:rsid w:val="00A65309"/>
    <w:rsid w:val="00A655B9"/>
    <w:rsid w:val="00A665F8"/>
    <w:rsid w:val="00A667F9"/>
    <w:rsid w:val="00A67306"/>
    <w:rsid w:val="00A675A0"/>
    <w:rsid w:val="00A676BD"/>
    <w:rsid w:val="00A678F6"/>
    <w:rsid w:val="00A67BD5"/>
    <w:rsid w:val="00A7029B"/>
    <w:rsid w:val="00A7044C"/>
    <w:rsid w:val="00A706B0"/>
    <w:rsid w:val="00A70C6F"/>
    <w:rsid w:val="00A70F73"/>
    <w:rsid w:val="00A71CC7"/>
    <w:rsid w:val="00A72458"/>
    <w:rsid w:val="00A725B0"/>
    <w:rsid w:val="00A726C4"/>
    <w:rsid w:val="00A729C1"/>
    <w:rsid w:val="00A72CF7"/>
    <w:rsid w:val="00A72D7B"/>
    <w:rsid w:val="00A72E5A"/>
    <w:rsid w:val="00A740E3"/>
    <w:rsid w:val="00A74407"/>
    <w:rsid w:val="00A7448A"/>
    <w:rsid w:val="00A74729"/>
    <w:rsid w:val="00A74895"/>
    <w:rsid w:val="00A75885"/>
    <w:rsid w:val="00A766ED"/>
    <w:rsid w:val="00A77798"/>
    <w:rsid w:val="00A778D1"/>
    <w:rsid w:val="00A77ACC"/>
    <w:rsid w:val="00A77E30"/>
    <w:rsid w:val="00A77EF5"/>
    <w:rsid w:val="00A80246"/>
    <w:rsid w:val="00A802DD"/>
    <w:rsid w:val="00A805C2"/>
    <w:rsid w:val="00A80BFF"/>
    <w:rsid w:val="00A80DBF"/>
    <w:rsid w:val="00A80EA7"/>
    <w:rsid w:val="00A816FA"/>
    <w:rsid w:val="00A81C4C"/>
    <w:rsid w:val="00A829A4"/>
    <w:rsid w:val="00A82CE3"/>
    <w:rsid w:val="00A83C67"/>
    <w:rsid w:val="00A84226"/>
    <w:rsid w:val="00A847B3"/>
    <w:rsid w:val="00A84A23"/>
    <w:rsid w:val="00A84AFF"/>
    <w:rsid w:val="00A84E18"/>
    <w:rsid w:val="00A84E87"/>
    <w:rsid w:val="00A8512E"/>
    <w:rsid w:val="00A8566A"/>
    <w:rsid w:val="00A85A34"/>
    <w:rsid w:val="00A860F1"/>
    <w:rsid w:val="00A86573"/>
    <w:rsid w:val="00A87F58"/>
    <w:rsid w:val="00A90A8D"/>
    <w:rsid w:val="00A91173"/>
    <w:rsid w:val="00A91F66"/>
    <w:rsid w:val="00A920B7"/>
    <w:rsid w:val="00A92342"/>
    <w:rsid w:val="00A92C62"/>
    <w:rsid w:val="00A92F59"/>
    <w:rsid w:val="00A93505"/>
    <w:rsid w:val="00A93F73"/>
    <w:rsid w:val="00A9445B"/>
    <w:rsid w:val="00A9451C"/>
    <w:rsid w:val="00A94824"/>
    <w:rsid w:val="00A94A24"/>
    <w:rsid w:val="00A94F89"/>
    <w:rsid w:val="00A9540E"/>
    <w:rsid w:val="00A95A14"/>
    <w:rsid w:val="00A9635E"/>
    <w:rsid w:val="00A967F5"/>
    <w:rsid w:val="00A96AB4"/>
    <w:rsid w:val="00A96DCD"/>
    <w:rsid w:val="00A979B7"/>
    <w:rsid w:val="00A97D49"/>
    <w:rsid w:val="00AA0939"/>
    <w:rsid w:val="00AA0EEF"/>
    <w:rsid w:val="00AA1A3C"/>
    <w:rsid w:val="00AA1FD1"/>
    <w:rsid w:val="00AA250F"/>
    <w:rsid w:val="00AA2F55"/>
    <w:rsid w:val="00AA2FF3"/>
    <w:rsid w:val="00AA3627"/>
    <w:rsid w:val="00AA3FBA"/>
    <w:rsid w:val="00AA4785"/>
    <w:rsid w:val="00AA4A64"/>
    <w:rsid w:val="00AA4CEC"/>
    <w:rsid w:val="00AA558F"/>
    <w:rsid w:val="00AA579F"/>
    <w:rsid w:val="00AA5885"/>
    <w:rsid w:val="00AA67D4"/>
    <w:rsid w:val="00AA6BDD"/>
    <w:rsid w:val="00AA6C77"/>
    <w:rsid w:val="00AA74CA"/>
    <w:rsid w:val="00AA7707"/>
    <w:rsid w:val="00AB0202"/>
    <w:rsid w:val="00AB02EE"/>
    <w:rsid w:val="00AB2BD9"/>
    <w:rsid w:val="00AB3CBB"/>
    <w:rsid w:val="00AB4FE8"/>
    <w:rsid w:val="00AB6103"/>
    <w:rsid w:val="00AB70BD"/>
    <w:rsid w:val="00AB7307"/>
    <w:rsid w:val="00AB7389"/>
    <w:rsid w:val="00AB74FC"/>
    <w:rsid w:val="00AB7554"/>
    <w:rsid w:val="00AB7676"/>
    <w:rsid w:val="00AB7808"/>
    <w:rsid w:val="00AC08E6"/>
    <w:rsid w:val="00AC091F"/>
    <w:rsid w:val="00AC207C"/>
    <w:rsid w:val="00AC2927"/>
    <w:rsid w:val="00AC3BDB"/>
    <w:rsid w:val="00AC592F"/>
    <w:rsid w:val="00AC5AD2"/>
    <w:rsid w:val="00AC63A0"/>
    <w:rsid w:val="00AC6D54"/>
    <w:rsid w:val="00AC717D"/>
    <w:rsid w:val="00AC7C15"/>
    <w:rsid w:val="00AC7E9B"/>
    <w:rsid w:val="00AC7F1D"/>
    <w:rsid w:val="00AD026F"/>
    <w:rsid w:val="00AD0668"/>
    <w:rsid w:val="00AD079D"/>
    <w:rsid w:val="00AD15DC"/>
    <w:rsid w:val="00AD1816"/>
    <w:rsid w:val="00AD2878"/>
    <w:rsid w:val="00AD2982"/>
    <w:rsid w:val="00AD3119"/>
    <w:rsid w:val="00AD34B9"/>
    <w:rsid w:val="00AD369F"/>
    <w:rsid w:val="00AD3DFD"/>
    <w:rsid w:val="00AD4095"/>
    <w:rsid w:val="00AD41D3"/>
    <w:rsid w:val="00AD496E"/>
    <w:rsid w:val="00AD4D7F"/>
    <w:rsid w:val="00AD5FA0"/>
    <w:rsid w:val="00AD61A2"/>
    <w:rsid w:val="00AD7D68"/>
    <w:rsid w:val="00AE04F1"/>
    <w:rsid w:val="00AE0D8B"/>
    <w:rsid w:val="00AE1B3F"/>
    <w:rsid w:val="00AE1F0E"/>
    <w:rsid w:val="00AE2243"/>
    <w:rsid w:val="00AE2329"/>
    <w:rsid w:val="00AE252A"/>
    <w:rsid w:val="00AE2A2F"/>
    <w:rsid w:val="00AE2DF4"/>
    <w:rsid w:val="00AE2ED7"/>
    <w:rsid w:val="00AE3168"/>
    <w:rsid w:val="00AE4B6A"/>
    <w:rsid w:val="00AE5483"/>
    <w:rsid w:val="00AE5759"/>
    <w:rsid w:val="00AE5920"/>
    <w:rsid w:val="00AE59C2"/>
    <w:rsid w:val="00AE61CA"/>
    <w:rsid w:val="00AE62AC"/>
    <w:rsid w:val="00AE63AA"/>
    <w:rsid w:val="00AE6AAA"/>
    <w:rsid w:val="00AE7DCA"/>
    <w:rsid w:val="00AF10F7"/>
    <w:rsid w:val="00AF1261"/>
    <w:rsid w:val="00AF1356"/>
    <w:rsid w:val="00AF14E7"/>
    <w:rsid w:val="00AF20F8"/>
    <w:rsid w:val="00AF21C5"/>
    <w:rsid w:val="00AF23B1"/>
    <w:rsid w:val="00AF269E"/>
    <w:rsid w:val="00AF2A1C"/>
    <w:rsid w:val="00AF2F01"/>
    <w:rsid w:val="00AF3949"/>
    <w:rsid w:val="00AF39DC"/>
    <w:rsid w:val="00AF53E0"/>
    <w:rsid w:val="00AF6000"/>
    <w:rsid w:val="00AF6DC6"/>
    <w:rsid w:val="00AF776E"/>
    <w:rsid w:val="00AF7849"/>
    <w:rsid w:val="00B00138"/>
    <w:rsid w:val="00B00227"/>
    <w:rsid w:val="00B005C0"/>
    <w:rsid w:val="00B00BE3"/>
    <w:rsid w:val="00B01AB6"/>
    <w:rsid w:val="00B01FD3"/>
    <w:rsid w:val="00B0201F"/>
    <w:rsid w:val="00B02150"/>
    <w:rsid w:val="00B02E88"/>
    <w:rsid w:val="00B03139"/>
    <w:rsid w:val="00B03E04"/>
    <w:rsid w:val="00B04A9F"/>
    <w:rsid w:val="00B05958"/>
    <w:rsid w:val="00B05D05"/>
    <w:rsid w:val="00B060DC"/>
    <w:rsid w:val="00B06C08"/>
    <w:rsid w:val="00B079BB"/>
    <w:rsid w:val="00B10292"/>
    <w:rsid w:val="00B11BD5"/>
    <w:rsid w:val="00B11F69"/>
    <w:rsid w:val="00B11F7F"/>
    <w:rsid w:val="00B127BC"/>
    <w:rsid w:val="00B12DA2"/>
    <w:rsid w:val="00B130E3"/>
    <w:rsid w:val="00B13367"/>
    <w:rsid w:val="00B133CB"/>
    <w:rsid w:val="00B1540D"/>
    <w:rsid w:val="00B155A7"/>
    <w:rsid w:val="00B155C1"/>
    <w:rsid w:val="00B15CAB"/>
    <w:rsid w:val="00B15DD7"/>
    <w:rsid w:val="00B16A23"/>
    <w:rsid w:val="00B16CF9"/>
    <w:rsid w:val="00B17267"/>
    <w:rsid w:val="00B17366"/>
    <w:rsid w:val="00B1781F"/>
    <w:rsid w:val="00B17B15"/>
    <w:rsid w:val="00B2040F"/>
    <w:rsid w:val="00B20465"/>
    <w:rsid w:val="00B205FD"/>
    <w:rsid w:val="00B20B30"/>
    <w:rsid w:val="00B20C34"/>
    <w:rsid w:val="00B21454"/>
    <w:rsid w:val="00B2196A"/>
    <w:rsid w:val="00B219BB"/>
    <w:rsid w:val="00B21F50"/>
    <w:rsid w:val="00B221EF"/>
    <w:rsid w:val="00B22F84"/>
    <w:rsid w:val="00B2397A"/>
    <w:rsid w:val="00B23B15"/>
    <w:rsid w:val="00B244B6"/>
    <w:rsid w:val="00B2488C"/>
    <w:rsid w:val="00B25069"/>
    <w:rsid w:val="00B256C3"/>
    <w:rsid w:val="00B25C6D"/>
    <w:rsid w:val="00B25C98"/>
    <w:rsid w:val="00B260A7"/>
    <w:rsid w:val="00B26594"/>
    <w:rsid w:val="00B2734F"/>
    <w:rsid w:val="00B27498"/>
    <w:rsid w:val="00B27ECD"/>
    <w:rsid w:val="00B30381"/>
    <w:rsid w:val="00B305A9"/>
    <w:rsid w:val="00B309E8"/>
    <w:rsid w:val="00B318D3"/>
    <w:rsid w:val="00B31930"/>
    <w:rsid w:val="00B31CA8"/>
    <w:rsid w:val="00B31D36"/>
    <w:rsid w:val="00B3249A"/>
    <w:rsid w:val="00B32D51"/>
    <w:rsid w:val="00B32E3A"/>
    <w:rsid w:val="00B3397F"/>
    <w:rsid w:val="00B33DAA"/>
    <w:rsid w:val="00B33EFF"/>
    <w:rsid w:val="00B33F0D"/>
    <w:rsid w:val="00B349DE"/>
    <w:rsid w:val="00B34CC5"/>
    <w:rsid w:val="00B355A3"/>
    <w:rsid w:val="00B36654"/>
    <w:rsid w:val="00B367FC"/>
    <w:rsid w:val="00B36DF9"/>
    <w:rsid w:val="00B36F46"/>
    <w:rsid w:val="00B36F81"/>
    <w:rsid w:val="00B3758E"/>
    <w:rsid w:val="00B40481"/>
    <w:rsid w:val="00B40528"/>
    <w:rsid w:val="00B40907"/>
    <w:rsid w:val="00B411DE"/>
    <w:rsid w:val="00B41CC9"/>
    <w:rsid w:val="00B41E34"/>
    <w:rsid w:val="00B42240"/>
    <w:rsid w:val="00B42280"/>
    <w:rsid w:val="00B42771"/>
    <w:rsid w:val="00B42FA9"/>
    <w:rsid w:val="00B4307D"/>
    <w:rsid w:val="00B430AE"/>
    <w:rsid w:val="00B43333"/>
    <w:rsid w:val="00B43A29"/>
    <w:rsid w:val="00B44019"/>
    <w:rsid w:val="00B44A90"/>
    <w:rsid w:val="00B44C10"/>
    <w:rsid w:val="00B453B7"/>
    <w:rsid w:val="00B455B1"/>
    <w:rsid w:val="00B45AA3"/>
    <w:rsid w:val="00B45BB1"/>
    <w:rsid w:val="00B4620D"/>
    <w:rsid w:val="00B462DE"/>
    <w:rsid w:val="00B464CF"/>
    <w:rsid w:val="00B4684D"/>
    <w:rsid w:val="00B4731F"/>
    <w:rsid w:val="00B50FD1"/>
    <w:rsid w:val="00B51743"/>
    <w:rsid w:val="00B51FCF"/>
    <w:rsid w:val="00B527B0"/>
    <w:rsid w:val="00B5287C"/>
    <w:rsid w:val="00B52F4E"/>
    <w:rsid w:val="00B53749"/>
    <w:rsid w:val="00B54588"/>
    <w:rsid w:val="00B547F5"/>
    <w:rsid w:val="00B549F6"/>
    <w:rsid w:val="00B5638A"/>
    <w:rsid w:val="00B5644C"/>
    <w:rsid w:val="00B56894"/>
    <w:rsid w:val="00B56BAC"/>
    <w:rsid w:val="00B56DEA"/>
    <w:rsid w:val="00B56F70"/>
    <w:rsid w:val="00B57540"/>
    <w:rsid w:val="00B57CF8"/>
    <w:rsid w:val="00B602D5"/>
    <w:rsid w:val="00B60C36"/>
    <w:rsid w:val="00B60FA3"/>
    <w:rsid w:val="00B60FB0"/>
    <w:rsid w:val="00B613D4"/>
    <w:rsid w:val="00B6204A"/>
    <w:rsid w:val="00B6205A"/>
    <w:rsid w:val="00B62881"/>
    <w:rsid w:val="00B629D6"/>
    <w:rsid w:val="00B630F6"/>
    <w:rsid w:val="00B63287"/>
    <w:rsid w:val="00B63403"/>
    <w:rsid w:val="00B638C6"/>
    <w:rsid w:val="00B65331"/>
    <w:rsid w:val="00B65C2F"/>
    <w:rsid w:val="00B65F83"/>
    <w:rsid w:val="00B66374"/>
    <w:rsid w:val="00B668C6"/>
    <w:rsid w:val="00B6725C"/>
    <w:rsid w:val="00B67399"/>
    <w:rsid w:val="00B67F04"/>
    <w:rsid w:val="00B7041D"/>
    <w:rsid w:val="00B70B2B"/>
    <w:rsid w:val="00B71222"/>
    <w:rsid w:val="00B71A4C"/>
    <w:rsid w:val="00B71C2C"/>
    <w:rsid w:val="00B71D13"/>
    <w:rsid w:val="00B72233"/>
    <w:rsid w:val="00B724A6"/>
    <w:rsid w:val="00B72C04"/>
    <w:rsid w:val="00B72E16"/>
    <w:rsid w:val="00B732D8"/>
    <w:rsid w:val="00B73D5B"/>
    <w:rsid w:val="00B73FD3"/>
    <w:rsid w:val="00B740F2"/>
    <w:rsid w:val="00B7440E"/>
    <w:rsid w:val="00B7502A"/>
    <w:rsid w:val="00B752E8"/>
    <w:rsid w:val="00B753C6"/>
    <w:rsid w:val="00B75882"/>
    <w:rsid w:val="00B7771B"/>
    <w:rsid w:val="00B77F40"/>
    <w:rsid w:val="00B807DB"/>
    <w:rsid w:val="00B807DD"/>
    <w:rsid w:val="00B80864"/>
    <w:rsid w:val="00B81144"/>
    <w:rsid w:val="00B814A6"/>
    <w:rsid w:val="00B8297B"/>
    <w:rsid w:val="00B82B5D"/>
    <w:rsid w:val="00B82F7C"/>
    <w:rsid w:val="00B83264"/>
    <w:rsid w:val="00B833AE"/>
    <w:rsid w:val="00B83B5E"/>
    <w:rsid w:val="00B83C91"/>
    <w:rsid w:val="00B84CE1"/>
    <w:rsid w:val="00B86586"/>
    <w:rsid w:val="00B876CC"/>
    <w:rsid w:val="00B877A3"/>
    <w:rsid w:val="00B87940"/>
    <w:rsid w:val="00B87AAD"/>
    <w:rsid w:val="00B909FD"/>
    <w:rsid w:val="00B90C7E"/>
    <w:rsid w:val="00B90EFE"/>
    <w:rsid w:val="00B91336"/>
    <w:rsid w:val="00B915D6"/>
    <w:rsid w:val="00B91623"/>
    <w:rsid w:val="00B91DD4"/>
    <w:rsid w:val="00B91EF0"/>
    <w:rsid w:val="00B92258"/>
    <w:rsid w:val="00B92669"/>
    <w:rsid w:val="00B9292C"/>
    <w:rsid w:val="00B92B43"/>
    <w:rsid w:val="00B92FF8"/>
    <w:rsid w:val="00B932E4"/>
    <w:rsid w:val="00B9334F"/>
    <w:rsid w:val="00B93F37"/>
    <w:rsid w:val="00B9490B"/>
    <w:rsid w:val="00B95254"/>
    <w:rsid w:val="00B96FE9"/>
    <w:rsid w:val="00B97520"/>
    <w:rsid w:val="00B975D8"/>
    <w:rsid w:val="00BA0DC9"/>
    <w:rsid w:val="00BA0E2A"/>
    <w:rsid w:val="00BA11C9"/>
    <w:rsid w:val="00BA1628"/>
    <w:rsid w:val="00BA1D02"/>
    <w:rsid w:val="00BA1DA2"/>
    <w:rsid w:val="00BA2AD8"/>
    <w:rsid w:val="00BA2B0A"/>
    <w:rsid w:val="00BA3B3E"/>
    <w:rsid w:val="00BA4C5B"/>
    <w:rsid w:val="00BA4F8B"/>
    <w:rsid w:val="00BA5756"/>
    <w:rsid w:val="00BA7310"/>
    <w:rsid w:val="00BA7419"/>
    <w:rsid w:val="00BA78E5"/>
    <w:rsid w:val="00BA7F65"/>
    <w:rsid w:val="00BB017C"/>
    <w:rsid w:val="00BB0A7E"/>
    <w:rsid w:val="00BB1464"/>
    <w:rsid w:val="00BB19E7"/>
    <w:rsid w:val="00BB3547"/>
    <w:rsid w:val="00BB37E7"/>
    <w:rsid w:val="00BB3D83"/>
    <w:rsid w:val="00BB4374"/>
    <w:rsid w:val="00BB5346"/>
    <w:rsid w:val="00BB5656"/>
    <w:rsid w:val="00BB647E"/>
    <w:rsid w:val="00BB6659"/>
    <w:rsid w:val="00BB69F4"/>
    <w:rsid w:val="00BB7511"/>
    <w:rsid w:val="00BB7E98"/>
    <w:rsid w:val="00BC004B"/>
    <w:rsid w:val="00BC063D"/>
    <w:rsid w:val="00BC064A"/>
    <w:rsid w:val="00BC0911"/>
    <w:rsid w:val="00BC1633"/>
    <w:rsid w:val="00BC1D09"/>
    <w:rsid w:val="00BC29F8"/>
    <w:rsid w:val="00BC2AD8"/>
    <w:rsid w:val="00BC2B8A"/>
    <w:rsid w:val="00BC2CE3"/>
    <w:rsid w:val="00BC2F12"/>
    <w:rsid w:val="00BC3700"/>
    <w:rsid w:val="00BC3DA0"/>
    <w:rsid w:val="00BC4673"/>
    <w:rsid w:val="00BC5D4A"/>
    <w:rsid w:val="00BC6105"/>
    <w:rsid w:val="00BC68F9"/>
    <w:rsid w:val="00BC6CA8"/>
    <w:rsid w:val="00BC6E69"/>
    <w:rsid w:val="00BC7BB4"/>
    <w:rsid w:val="00BC7E14"/>
    <w:rsid w:val="00BD01EF"/>
    <w:rsid w:val="00BD0588"/>
    <w:rsid w:val="00BD0C93"/>
    <w:rsid w:val="00BD1858"/>
    <w:rsid w:val="00BD196B"/>
    <w:rsid w:val="00BD2B26"/>
    <w:rsid w:val="00BD30E9"/>
    <w:rsid w:val="00BD3792"/>
    <w:rsid w:val="00BD3918"/>
    <w:rsid w:val="00BD4159"/>
    <w:rsid w:val="00BD49E6"/>
    <w:rsid w:val="00BD6140"/>
    <w:rsid w:val="00BD6461"/>
    <w:rsid w:val="00BD67FA"/>
    <w:rsid w:val="00BD6CE3"/>
    <w:rsid w:val="00BD7060"/>
    <w:rsid w:val="00BD7ECA"/>
    <w:rsid w:val="00BE00FD"/>
    <w:rsid w:val="00BE04B6"/>
    <w:rsid w:val="00BE109A"/>
    <w:rsid w:val="00BE1D4E"/>
    <w:rsid w:val="00BE214C"/>
    <w:rsid w:val="00BE252C"/>
    <w:rsid w:val="00BE25D8"/>
    <w:rsid w:val="00BE25F8"/>
    <w:rsid w:val="00BE31E1"/>
    <w:rsid w:val="00BE336B"/>
    <w:rsid w:val="00BE340D"/>
    <w:rsid w:val="00BE3473"/>
    <w:rsid w:val="00BE3ECE"/>
    <w:rsid w:val="00BE5E9B"/>
    <w:rsid w:val="00BE6134"/>
    <w:rsid w:val="00BE63F4"/>
    <w:rsid w:val="00BE644C"/>
    <w:rsid w:val="00BE6BDB"/>
    <w:rsid w:val="00BE6EB2"/>
    <w:rsid w:val="00BE76A2"/>
    <w:rsid w:val="00BF0142"/>
    <w:rsid w:val="00BF0421"/>
    <w:rsid w:val="00BF0B64"/>
    <w:rsid w:val="00BF0DDD"/>
    <w:rsid w:val="00BF0EAE"/>
    <w:rsid w:val="00BF1148"/>
    <w:rsid w:val="00BF15EF"/>
    <w:rsid w:val="00BF1901"/>
    <w:rsid w:val="00BF1967"/>
    <w:rsid w:val="00BF1DFB"/>
    <w:rsid w:val="00BF3120"/>
    <w:rsid w:val="00BF3162"/>
    <w:rsid w:val="00BF320F"/>
    <w:rsid w:val="00BF36A1"/>
    <w:rsid w:val="00BF4AB2"/>
    <w:rsid w:val="00BF4ABC"/>
    <w:rsid w:val="00BF52CC"/>
    <w:rsid w:val="00BF56DD"/>
    <w:rsid w:val="00BF58B3"/>
    <w:rsid w:val="00BF5991"/>
    <w:rsid w:val="00BF59C9"/>
    <w:rsid w:val="00BF650D"/>
    <w:rsid w:val="00BF6B37"/>
    <w:rsid w:val="00BF6B5E"/>
    <w:rsid w:val="00BF6F4F"/>
    <w:rsid w:val="00BF7472"/>
    <w:rsid w:val="00BF7EFD"/>
    <w:rsid w:val="00C00384"/>
    <w:rsid w:val="00C01263"/>
    <w:rsid w:val="00C01777"/>
    <w:rsid w:val="00C01956"/>
    <w:rsid w:val="00C01B62"/>
    <w:rsid w:val="00C01BFC"/>
    <w:rsid w:val="00C02969"/>
    <w:rsid w:val="00C034CD"/>
    <w:rsid w:val="00C0365F"/>
    <w:rsid w:val="00C03B79"/>
    <w:rsid w:val="00C0458C"/>
    <w:rsid w:val="00C04703"/>
    <w:rsid w:val="00C056F0"/>
    <w:rsid w:val="00C057BE"/>
    <w:rsid w:val="00C0594C"/>
    <w:rsid w:val="00C05C0E"/>
    <w:rsid w:val="00C05CC2"/>
    <w:rsid w:val="00C0601B"/>
    <w:rsid w:val="00C0714D"/>
    <w:rsid w:val="00C07620"/>
    <w:rsid w:val="00C07A80"/>
    <w:rsid w:val="00C07E23"/>
    <w:rsid w:val="00C07ED6"/>
    <w:rsid w:val="00C10039"/>
    <w:rsid w:val="00C10F00"/>
    <w:rsid w:val="00C1111C"/>
    <w:rsid w:val="00C11567"/>
    <w:rsid w:val="00C1184A"/>
    <w:rsid w:val="00C12EB9"/>
    <w:rsid w:val="00C1387A"/>
    <w:rsid w:val="00C13C45"/>
    <w:rsid w:val="00C13F4D"/>
    <w:rsid w:val="00C14E04"/>
    <w:rsid w:val="00C15CCC"/>
    <w:rsid w:val="00C15D6B"/>
    <w:rsid w:val="00C162F1"/>
    <w:rsid w:val="00C1633E"/>
    <w:rsid w:val="00C166D2"/>
    <w:rsid w:val="00C16E01"/>
    <w:rsid w:val="00C17403"/>
    <w:rsid w:val="00C17560"/>
    <w:rsid w:val="00C17C6E"/>
    <w:rsid w:val="00C20234"/>
    <w:rsid w:val="00C2065D"/>
    <w:rsid w:val="00C20C47"/>
    <w:rsid w:val="00C21147"/>
    <w:rsid w:val="00C2147F"/>
    <w:rsid w:val="00C21FF2"/>
    <w:rsid w:val="00C227D6"/>
    <w:rsid w:val="00C23073"/>
    <w:rsid w:val="00C2334D"/>
    <w:rsid w:val="00C24319"/>
    <w:rsid w:val="00C2439E"/>
    <w:rsid w:val="00C24679"/>
    <w:rsid w:val="00C250A1"/>
    <w:rsid w:val="00C252D2"/>
    <w:rsid w:val="00C254A3"/>
    <w:rsid w:val="00C25C36"/>
    <w:rsid w:val="00C26570"/>
    <w:rsid w:val="00C26630"/>
    <w:rsid w:val="00C26E04"/>
    <w:rsid w:val="00C26F7E"/>
    <w:rsid w:val="00C27C2A"/>
    <w:rsid w:val="00C27D0A"/>
    <w:rsid w:val="00C302C5"/>
    <w:rsid w:val="00C304A7"/>
    <w:rsid w:val="00C304EC"/>
    <w:rsid w:val="00C3120B"/>
    <w:rsid w:val="00C31765"/>
    <w:rsid w:val="00C318C2"/>
    <w:rsid w:val="00C320EF"/>
    <w:rsid w:val="00C3239E"/>
    <w:rsid w:val="00C32690"/>
    <w:rsid w:val="00C33191"/>
    <w:rsid w:val="00C332EB"/>
    <w:rsid w:val="00C33306"/>
    <w:rsid w:val="00C33558"/>
    <w:rsid w:val="00C33C9D"/>
    <w:rsid w:val="00C3418C"/>
    <w:rsid w:val="00C34292"/>
    <w:rsid w:val="00C34646"/>
    <w:rsid w:val="00C34BE9"/>
    <w:rsid w:val="00C354F9"/>
    <w:rsid w:val="00C35B22"/>
    <w:rsid w:val="00C35BBE"/>
    <w:rsid w:val="00C36288"/>
    <w:rsid w:val="00C36713"/>
    <w:rsid w:val="00C36C8A"/>
    <w:rsid w:val="00C36F02"/>
    <w:rsid w:val="00C372A1"/>
    <w:rsid w:val="00C37667"/>
    <w:rsid w:val="00C378CD"/>
    <w:rsid w:val="00C37B5B"/>
    <w:rsid w:val="00C4039F"/>
    <w:rsid w:val="00C403D7"/>
    <w:rsid w:val="00C40C27"/>
    <w:rsid w:val="00C415EE"/>
    <w:rsid w:val="00C428CB"/>
    <w:rsid w:val="00C42B34"/>
    <w:rsid w:val="00C439DE"/>
    <w:rsid w:val="00C44235"/>
    <w:rsid w:val="00C45688"/>
    <w:rsid w:val="00C46007"/>
    <w:rsid w:val="00C460C6"/>
    <w:rsid w:val="00C467D2"/>
    <w:rsid w:val="00C46E2A"/>
    <w:rsid w:val="00C4775D"/>
    <w:rsid w:val="00C47BE4"/>
    <w:rsid w:val="00C47C04"/>
    <w:rsid w:val="00C47E99"/>
    <w:rsid w:val="00C50699"/>
    <w:rsid w:val="00C515F6"/>
    <w:rsid w:val="00C521A8"/>
    <w:rsid w:val="00C52CB3"/>
    <w:rsid w:val="00C52ED6"/>
    <w:rsid w:val="00C53051"/>
    <w:rsid w:val="00C53558"/>
    <w:rsid w:val="00C539DE"/>
    <w:rsid w:val="00C53AAD"/>
    <w:rsid w:val="00C53DFD"/>
    <w:rsid w:val="00C5468A"/>
    <w:rsid w:val="00C55C7C"/>
    <w:rsid w:val="00C56DE7"/>
    <w:rsid w:val="00C60B69"/>
    <w:rsid w:val="00C62505"/>
    <w:rsid w:val="00C62918"/>
    <w:rsid w:val="00C62EDD"/>
    <w:rsid w:val="00C632CA"/>
    <w:rsid w:val="00C638AE"/>
    <w:rsid w:val="00C64AEA"/>
    <w:rsid w:val="00C6508E"/>
    <w:rsid w:val="00C65AC3"/>
    <w:rsid w:val="00C65EE8"/>
    <w:rsid w:val="00C66293"/>
    <w:rsid w:val="00C673AE"/>
    <w:rsid w:val="00C6766E"/>
    <w:rsid w:val="00C67E5D"/>
    <w:rsid w:val="00C67E89"/>
    <w:rsid w:val="00C67E98"/>
    <w:rsid w:val="00C7049A"/>
    <w:rsid w:val="00C70EF6"/>
    <w:rsid w:val="00C71835"/>
    <w:rsid w:val="00C71898"/>
    <w:rsid w:val="00C7275C"/>
    <w:rsid w:val="00C730A3"/>
    <w:rsid w:val="00C73413"/>
    <w:rsid w:val="00C73639"/>
    <w:rsid w:val="00C73B17"/>
    <w:rsid w:val="00C74523"/>
    <w:rsid w:val="00C746D0"/>
    <w:rsid w:val="00C75170"/>
    <w:rsid w:val="00C75D56"/>
    <w:rsid w:val="00C77BE0"/>
    <w:rsid w:val="00C80DA5"/>
    <w:rsid w:val="00C81357"/>
    <w:rsid w:val="00C81850"/>
    <w:rsid w:val="00C81C7D"/>
    <w:rsid w:val="00C82B66"/>
    <w:rsid w:val="00C8390D"/>
    <w:rsid w:val="00C84058"/>
    <w:rsid w:val="00C841FC"/>
    <w:rsid w:val="00C843CF"/>
    <w:rsid w:val="00C849A4"/>
    <w:rsid w:val="00C84E62"/>
    <w:rsid w:val="00C85017"/>
    <w:rsid w:val="00C858AC"/>
    <w:rsid w:val="00C85E90"/>
    <w:rsid w:val="00C86463"/>
    <w:rsid w:val="00C87639"/>
    <w:rsid w:val="00C90B98"/>
    <w:rsid w:val="00C915C5"/>
    <w:rsid w:val="00C9193F"/>
    <w:rsid w:val="00C91DDC"/>
    <w:rsid w:val="00C92F81"/>
    <w:rsid w:val="00C9300D"/>
    <w:rsid w:val="00C93899"/>
    <w:rsid w:val="00C93C86"/>
    <w:rsid w:val="00C944AF"/>
    <w:rsid w:val="00C95826"/>
    <w:rsid w:val="00C958C9"/>
    <w:rsid w:val="00C96209"/>
    <w:rsid w:val="00C963CE"/>
    <w:rsid w:val="00C96484"/>
    <w:rsid w:val="00C96802"/>
    <w:rsid w:val="00C96A38"/>
    <w:rsid w:val="00CA0080"/>
    <w:rsid w:val="00CA07D4"/>
    <w:rsid w:val="00CA0892"/>
    <w:rsid w:val="00CA0B3E"/>
    <w:rsid w:val="00CA18F7"/>
    <w:rsid w:val="00CA1925"/>
    <w:rsid w:val="00CA1E57"/>
    <w:rsid w:val="00CA2371"/>
    <w:rsid w:val="00CA2AC4"/>
    <w:rsid w:val="00CA4AE5"/>
    <w:rsid w:val="00CA4C0C"/>
    <w:rsid w:val="00CA54FE"/>
    <w:rsid w:val="00CA5A26"/>
    <w:rsid w:val="00CA5D58"/>
    <w:rsid w:val="00CA6AC9"/>
    <w:rsid w:val="00CA6BA5"/>
    <w:rsid w:val="00CA728B"/>
    <w:rsid w:val="00CB07AE"/>
    <w:rsid w:val="00CB08FA"/>
    <w:rsid w:val="00CB0C05"/>
    <w:rsid w:val="00CB301B"/>
    <w:rsid w:val="00CB306D"/>
    <w:rsid w:val="00CB3F0B"/>
    <w:rsid w:val="00CB4008"/>
    <w:rsid w:val="00CB4898"/>
    <w:rsid w:val="00CB4AAE"/>
    <w:rsid w:val="00CB5A0E"/>
    <w:rsid w:val="00CB5C36"/>
    <w:rsid w:val="00CB60CA"/>
    <w:rsid w:val="00CB6979"/>
    <w:rsid w:val="00CB6BD1"/>
    <w:rsid w:val="00CC0022"/>
    <w:rsid w:val="00CC01AC"/>
    <w:rsid w:val="00CC026E"/>
    <w:rsid w:val="00CC05DE"/>
    <w:rsid w:val="00CC086E"/>
    <w:rsid w:val="00CC09F5"/>
    <w:rsid w:val="00CC1247"/>
    <w:rsid w:val="00CC216C"/>
    <w:rsid w:val="00CC22CA"/>
    <w:rsid w:val="00CC27F7"/>
    <w:rsid w:val="00CC2CEA"/>
    <w:rsid w:val="00CC3B5F"/>
    <w:rsid w:val="00CC3E54"/>
    <w:rsid w:val="00CC3F7B"/>
    <w:rsid w:val="00CC4D49"/>
    <w:rsid w:val="00CC58A4"/>
    <w:rsid w:val="00CC5B1E"/>
    <w:rsid w:val="00CC5B41"/>
    <w:rsid w:val="00CC6269"/>
    <w:rsid w:val="00CC63C7"/>
    <w:rsid w:val="00CC6729"/>
    <w:rsid w:val="00CC6CAE"/>
    <w:rsid w:val="00CC6E25"/>
    <w:rsid w:val="00CC6F33"/>
    <w:rsid w:val="00CC702A"/>
    <w:rsid w:val="00CC73F9"/>
    <w:rsid w:val="00CC7A32"/>
    <w:rsid w:val="00CC7D9F"/>
    <w:rsid w:val="00CD11A4"/>
    <w:rsid w:val="00CD1C59"/>
    <w:rsid w:val="00CD2720"/>
    <w:rsid w:val="00CD2753"/>
    <w:rsid w:val="00CD2B9C"/>
    <w:rsid w:val="00CD2D92"/>
    <w:rsid w:val="00CD330E"/>
    <w:rsid w:val="00CD42D9"/>
    <w:rsid w:val="00CD4A4B"/>
    <w:rsid w:val="00CD4D1E"/>
    <w:rsid w:val="00CD51CC"/>
    <w:rsid w:val="00CD5294"/>
    <w:rsid w:val="00CD6054"/>
    <w:rsid w:val="00CD6D0B"/>
    <w:rsid w:val="00CD6D77"/>
    <w:rsid w:val="00CD786A"/>
    <w:rsid w:val="00CD7874"/>
    <w:rsid w:val="00CE091E"/>
    <w:rsid w:val="00CE0F2A"/>
    <w:rsid w:val="00CE197C"/>
    <w:rsid w:val="00CE26FD"/>
    <w:rsid w:val="00CE2DF1"/>
    <w:rsid w:val="00CE2EFF"/>
    <w:rsid w:val="00CE41BC"/>
    <w:rsid w:val="00CE42A2"/>
    <w:rsid w:val="00CE46D0"/>
    <w:rsid w:val="00CE6148"/>
    <w:rsid w:val="00CE6B6B"/>
    <w:rsid w:val="00CE6E59"/>
    <w:rsid w:val="00CE6F3B"/>
    <w:rsid w:val="00CE6FDF"/>
    <w:rsid w:val="00CE70E4"/>
    <w:rsid w:val="00CF00BB"/>
    <w:rsid w:val="00CF03CB"/>
    <w:rsid w:val="00CF07EA"/>
    <w:rsid w:val="00CF0D9C"/>
    <w:rsid w:val="00CF143B"/>
    <w:rsid w:val="00CF3391"/>
    <w:rsid w:val="00CF4806"/>
    <w:rsid w:val="00CF5892"/>
    <w:rsid w:val="00CF5B03"/>
    <w:rsid w:val="00CF6034"/>
    <w:rsid w:val="00CF60EF"/>
    <w:rsid w:val="00CF6355"/>
    <w:rsid w:val="00CF68B5"/>
    <w:rsid w:val="00CF6BFB"/>
    <w:rsid w:val="00CF6CDC"/>
    <w:rsid w:val="00CF76E9"/>
    <w:rsid w:val="00CF7EDF"/>
    <w:rsid w:val="00CF7F19"/>
    <w:rsid w:val="00D003A1"/>
    <w:rsid w:val="00D01707"/>
    <w:rsid w:val="00D0257B"/>
    <w:rsid w:val="00D02708"/>
    <w:rsid w:val="00D0299D"/>
    <w:rsid w:val="00D0326C"/>
    <w:rsid w:val="00D033A7"/>
    <w:rsid w:val="00D0379B"/>
    <w:rsid w:val="00D03B8F"/>
    <w:rsid w:val="00D040DC"/>
    <w:rsid w:val="00D04B51"/>
    <w:rsid w:val="00D05CD6"/>
    <w:rsid w:val="00D06055"/>
    <w:rsid w:val="00D062A0"/>
    <w:rsid w:val="00D062B8"/>
    <w:rsid w:val="00D06668"/>
    <w:rsid w:val="00D073D2"/>
    <w:rsid w:val="00D07788"/>
    <w:rsid w:val="00D07CFF"/>
    <w:rsid w:val="00D07F57"/>
    <w:rsid w:val="00D1046D"/>
    <w:rsid w:val="00D1116D"/>
    <w:rsid w:val="00D113C9"/>
    <w:rsid w:val="00D11879"/>
    <w:rsid w:val="00D118FA"/>
    <w:rsid w:val="00D1190A"/>
    <w:rsid w:val="00D13924"/>
    <w:rsid w:val="00D13951"/>
    <w:rsid w:val="00D13D8C"/>
    <w:rsid w:val="00D14084"/>
    <w:rsid w:val="00D14196"/>
    <w:rsid w:val="00D1567E"/>
    <w:rsid w:val="00D1581F"/>
    <w:rsid w:val="00D16D59"/>
    <w:rsid w:val="00D16D98"/>
    <w:rsid w:val="00D16F6D"/>
    <w:rsid w:val="00D17141"/>
    <w:rsid w:val="00D171C6"/>
    <w:rsid w:val="00D17A80"/>
    <w:rsid w:val="00D17EBC"/>
    <w:rsid w:val="00D20B6B"/>
    <w:rsid w:val="00D20BFE"/>
    <w:rsid w:val="00D21A3A"/>
    <w:rsid w:val="00D229A7"/>
    <w:rsid w:val="00D22C32"/>
    <w:rsid w:val="00D235A9"/>
    <w:rsid w:val="00D23D10"/>
    <w:rsid w:val="00D24E74"/>
    <w:rsid w:val="00D25020"/>
    <w:rsid w:val="00D25291"/>
    <w:rsid w:val="00D255F0"/>
    <w:rsid w:val="00D27174"/>
    <w:rsid w:val="00D271B1"/>
    <w:rsid w:val="00D300E6"/>
    <w:rsid w:val="00D30276"/>
    <w:rsid w:val="00D3029B"/>
    <w:rsid w:val="00D307C2"/>
    <w:rsid w:val="00D312F4"/>
    <w:rsid w:val="00D312F7"/>
    <w:rsid w:val="00D316BB"/>
    <w:rsid w:val="00D317EC"/>
    <w:rsid w:val="00D3206D"/>
    <w:rsid w:val="00D32596"/>
    <w:rsid w:val="00D32C94"/>
    <w:rsid w:val="00D32EE0"/>
    <w:rsid w:val="00D33189"/>
    <w:rsid w:val="00D338B2"/>
    <w:rsid w:val="00D33AC9"/>
    <w:rsid w:val="00D33EC0"/>
    <w:rsid w:val="00D33F7B"/>
    <w:rsid w:val="00D344DE"/>
    <w:rsid w:val="00D34995"/>
    <w:rsid w:val="00D34CFE"/>
    <w:rsid w:val="00D35477"/>
    <w:rsid w:val="00D35E9A"/>
    <w:rsid w:val="00D35EFB"/>
    <w:rsid w:val="00D3643B"/>
    <w:rsid w:val="00D3679C"/>
    <w:rsid w:val="00D36DE8"/>
    <w:rsid w:val="00D36E4B"/>
    <w:rsid w:val="00D3707A"/>
    <w:rsid w:val="00D37671"/>
    <w:rsid w:val="00D40986"/>
    <w:rsid w:val="00D4098F"/>
    <w:rsid w:val="00D421C9"/>
    <w:rsid w:val="00D42D3A"/>
    <w:rsid w:val="00D42E9B"/>
    <w:rsid w:val="00D4421E"/>
    <w:rsid w:val="00D446A1"/>
    <w:rsid w:val="00D44DA9"/>
    <w:rsid w:val="00D4576B"/>
    <w:rsid w:val="00D45A1F"/>
    <w:rsid w:val="00D464CF"/>
    <w:rsid w:val="00D46824"/>
    <w:rsid w:val="00D47727"/>
    <w:rsid w:val="00D47F2A"/>
    <w:rsid w:val="00D47F2B"/>
    <w:rsid w:val="00D507E6"/>
    <w:rsid w:val="00D51196"/>
    <w:rsid w:val="00D516A7"/>
    <w:rsid w:val="00D516B2"/>
    <w:rsid w:val="00D518B1"/>
    <w:rsid w:val="00D51B11"/>
    <w:rsid w:val="00D520FC"/>
    <w:rsid w:val="00D525BE"/>
    <w:rsid w:val="00D5262B"/>
    <w:rsid w:val="00D52643"/>
    <w:rsid w:val="00D52C52"/>
    <w:rsid w:val="00D52DE8"/>
    <w:rsid w:val="00D52EF2"/>
    <w:rsid w:val="00D532B2"/>
    <w:rsid w:val="00D538F0"/>
    <w:rsid w:val="00D53A5C"/>
    <w:rsid w:val="00D53EA7"/>
    <w:rsid w:val="00D54278"/>
    <w:rsid w:val="00D5525C"/>
    <w:rsid w:val="00D5526D"/>
    <w:rsid w:val="00D558F9"/>
    <w:rsid w:val="00D55C99"/>
    <w:rsid w:val="00D55FDD"/>
    <w:rsid w:val="00D568C6"/>
    <w:rsid w:val="00D60BA4"/>
    <w:rsid w:val="00D60C7B"/>
    <w:rsid w:val="00D61251"/>
    <w:rsid w:val="00D61592"/>
    <w:rsid w:val="00D615B6"/>
    <w:rsid w:val="00D61C6F"/>
    <w:rsid w:val="00D61E1D"/>
    <w:rsid w:val="00D62EE6"/>
    <w:rsid w:val="00D6341F"/>
    <w:rsid w:val="00D6351F"/>
    <w:rsid w:val="00D635DF"/>
    <w:rsid w:val="00D64778"/>
    <w:rsid w:val="00D64AB1"/>
    <w:rsid w:val="00D64C56"/>
    <w:rsid w:val="00D65672"/>
    <w:rsid w:val="00D66366"/>
    <w:rsid w:val="00D6746C"/>
    <w:rsid w:val="00D67797"/>
    <w:rsid w:val="00D70231"/>
    <w:rsid w:val="00D70695"/>
    <w:rsid w:val="00D7161C"/>
    <w:rsid w:val="00D720BB"/>
    <w:rsid w:val="00D721AD"/>
    <w:rsid w:val="00D72378"/>
    <w:rsid w:val="00D73E76"/>
    <w:rsid w:val="00D73F1B"/>
    <w:rsid w:val="00D74337"/>
    <w:rsid w:val="00D75177"/>
    <w:rsid w:val="00D75609"/>
    <w:rsid w:val="00D75817"/>
    <w:rsid w:val="00D75D89"/>
    <w:rsid w:val="00D7645A"/>
    <w:rsid w:val="00D7676C"/>
    <w:rsid w:val="00D768F1"/>
    <w:rsid w:val="00D77070"/>
    <w:rsid w:val="00D778EB"/>
    <w:rsid w:val="00D7793E"/>
    <w:rsid w:val="00D77D24"/>
    <w:rsid w:val="00D80764"/>
    <w:rsid w:val="00D8084B"/>
    <w:rsid w:val="00D81845"/>
    <w:rsid w:val="00D81C69"/>
    <w:rsid w:val="00D81FCF"/>
    <w:rsid w:val="00D824DD"/>
    <w:rsid w:val="00D8287F"/>
    <w:rsid w:val="00D82B4B"/>
    <w:rsid w:val="00D831D2"/>
    <w:rsid w:val="00D832F2"/>
    <w:rsid w:val="00D83643"/>
    <w:rsid w:val="00D84103"/>
    <w:rsid w:val="00D841AB"/>
    <w:rsid w:val="00D84B35"/>
    <w:rsid w:val="00D85221"/>
    <w:rsid w:val="00D85A83"/>
    <w:rsid w:val="00D86256"/>
    <w:rsid w:val="00D86850"/>
    <w:rsid w:val="00D86D99"/>
    <w:rsid w:val="00D872B2"/>
    <w:rsid w:val="00D9008F"/>
    <w:rsid w:val="00D90198"/>
    <w:rsid w:val="00D90E87"/>
    <w:rsid w:val="00D91DC8"/>
    <w:rsid w:val="00D9257D"/>
    <w:rsid w:val="00D92C1B"/>
    <w:rsid w:val="00D92D17"/>
    <w:rsid w:val="00D92DFB"/>
    <w:rsid w:val="00D93248"/>
    <w:rsid w:val="00D93452"/>
    <w:rsid w:val="00D93B03"/>
    <w:rsid w:val="00D93B76"/>
    <w:rsid w:val="00D93B7D"/>
    <w:rsid w:val="00D94461"/>
    <w:rsid w:val="00D94ABB"/>
    <w:rsid w:val="00D94CAB"/>
    <w:rsid w:val="00D94D0A"/>
    <w:rsid w:val="00D952E2"/>
    <w:rsid w:val="00D953B8"/>
    <w:rsid w:val="00D95B0E"/>
    <w:rsid w:val="00D95C31"/>
    <w:rsid w:val="00D95D02"/>
    <w:rsid w:val="00D95DCC"/>
    <w:rsid w:val="00D963F4"/>
    <w:rsid w:val="00D96883"/>
    <w:rsid w:val="00D971A2"/>
    <w:rsid w:val="00D974A7"/>
    <w:rsid w:val="00DA092F"/>
    <w:rsid w:val="00DA1F6B"/>
    <w:rsid w:val="00DA2A16"/>
    <w:rsid w:val="00DA32E9"/>
    <w:rsid w:val="00DA3D19"/>
    <w:rsid w:val="00DA48FF"/>
    <w:rsid w:val="00DA4960"/>
    <w:rsid w:val="00DA4C62"/>
    <w:rsid w:val="00DA5151"/>
    <w:rsid w:val="00DA5444"/>
    <w:rsid w:val="00DA6275"/>
    <w:rsid w:val="00DA659D"/>
    <w:rsid w:val="00DA6722"/>
    <w:rsid w:val="00DA6735"/>
    <w:rsid w:val="00DA6CF5"/>
    <w:rsid w:val="00DA6D9D"/>
    <w:rsid w:val="00DA74E6"/>
    <w:rsid w:val="00DA7576"/>
    <w:rsid w:val="00DA767A"/>
    <w:rsid w:val="00DA774D"/>
    <w:rsid w:val="00DB0AAB"/>
    <w:rsid w:val="00DB26CE"/>
    <w:rsid w:val="00DB2F1B"/>
    <w:rsid w:val="00DB34AA"/>
    <w:rsid w:val="00DB423A"/>
    <w:rsid w:val="00DB44F7"/>
    <w:rsid w:val="00DB5067"/>
    <w:rsid w:val="00DB566D"/>
    <w:rsid w:val="00DB589A"/>
    <w:rsid w:val="00DB5ABB"/>
    <w:rsid w:val="00DB691B"/>
    <w:rsid w:val="00DB6B89"/>
    <w:rsid w:val="00DB6F3F"/>
    <w:rsid w:val="00DB734A"/>
    <w:rsid w:val="00DB745A"/>
    <w:rsid w:val="00DC01D3"/>
    <w:rsid w:val="00DC083D"/>
    <w:rsid w:val="00DC0E23"/>
    <w:rsid w:val="00DC1B20"/>
    <w:rsid w:val="00DC257C"/>
    <w:rsid w:val="00DC26B9"/>
    <w:rsid w:val="00DC356D"/>
    <w:rsid w:val="00DC3591"/>
    <w:rsid w:val="00DC3645"/>
    <w:rsid w:val="00DC3EFE"/>
    <w:rsid w:val="00DC4062"/>
    <w:rsid w:val="00DC42E1"/>
    <w:rsid w:val="00DC4AF4"/>
    <w:rsid w:val="00DC4CED"/>
    <w:rsid w:val="00DC540D"/>
    <w:rsid w:val="00DC55E2"/>
    <w:rsid w:val="00DC627E"/>
    <w:rsid w:val="00DC63D7"/>
    <w:rsid w:val="00DC65B2"/>
    <w:rsid w:val="00DC65CF"/>
    <w:rsid w:val="00DC6917"/>
    <w:rsid w:val="00DC6C8A"/>
    <w:rsid w:val="00DC6E77"/>
    <w:rsid w:val="00DC72A9"/>
    <w:rsid w:val="00DC748F"/>
    <w:rsid w:val="00DD005D"/>
    <w:rsid w:val="00DD0463"/>
    <w:rsid w:val="00DD0823"/>
    <w:rsid w:val="00DD0A63"/>
    <w:rsid w:val="00DD1198"/>
    <w:rsid w:val="00DD1922"/>
    <w:rsid w:val="00DD1E76"/>
    <w:rsid w:val="00DD2006"/>
    <w:rsid w:val="00DD317D"/>
    <w:rsid w:val="00DD3272"/>
    <w:rsid w:val="00DD35FA"/>
    <w:rsid w:val="00DD4431"/>
    <w:rsid w:val="00DD466A"/>
    <w:rsid w:val="00DD5A53"/>
    <w:rsid w:val="00DD5E65"/>
    <w:rsid w:val="00DD6476"/>
    <w:rsid w:val="00DE003A"/>
    <w:rsid w:val="00DE096C"/>
    <w:rsid w:val="00DE0F30"/>
    <w:rsid w:val="00DE1025"/>
    <w:rsid w:val="00DE10F6"/>
    <w:rsid w:val="00DE1143"/>
    <w:rsid w:val="00DE1199"/>
    <w:rsid w:val="00DE23A8"/>
    <w:rsid w:val="00DE2C9B"/>
    <w:rsid w:val="00DE33C4"/>
    <w:rsid w:val="00DE36A4"/>
    <w:rsid w:val="00DE3906"/>
    <w:rsid w:val="00DE3AED"/>
    <w:rsid w:val="00DE4738"/>
    <w:rsid w:val="00DE667F"/>
    <w:rsid w:val="00DE74BC"/>
    <w:rsid w:val="00DF06EB"/>
    <w:rsid w:val="00DF0A34"/>
    <w:rsid w:val="00DF0F49"/>
    <w:rsid w:val="00DF160C"/>
    <w:rsid w:val="00DF226E"/>
    <w:rsid w:val="00DF23D0"/>
    <w:rsid w:val="00DF261E"/>
    <w:rsid w:val="00DF4E81"/>
    <w:rsid w:val="00DF5386"/>
    <w:rsid w:val="00DF55CD"/>
    <w:rsid w:val="00DF604B"/>
    <w:rsid w:val="00DF646B"/>
    <w:rsid w:val="00DF654A"/>
    <w:rsid w:val="00DF6DA5"/>
    <w:rsid w:val="00DF6F21"/>
    <w:rsid w:val="00DF6FAA"/>
    <w:rsid w:val="00E01717"/>
    <w:rsid w:val="00E01B9A"/>
    <w:rsid w:val="00E01BF5"/>
    <w:rsid w:val="00E0235A"/>
    <w:rsid w:val="00E02AC1"/>
    <w:rsid w:val="00E02FB0"/>
    <w:rsid w:val="00E03227"/>
    <w:rsid w:val="00E039F7"/>
    <w:rsid w:val="00E0434A"/>
    <w:rsid w:val="00E044DB"/>
    <w:rsid w:val="00E048D2"/>
    <w:rsid w:val="00E04A8E"/>
    <w:rsid w:val="00E04D6D"/>
    <w:rsid w:val="00E04F45"/>
    <w:rsid w:val="00E0555C"/>
    <w:rsid w:val="00E05650"/>
    <w:rsid w:val="00E05901"/>
    <w:rsid w:val="00E059F9"/>
    <w:rsid w:val="00E071BE"/>
    <w:rsid w:val="00E07542"/>
    <w:rsid w:val="00E07969"/>
    <w:rsid w:val="00E10F89"/>
    <w:rsid w:val="00E11069"/>
    <w:rsid w:val="00E110B1"/>
    <w:rsid w:val="00E11C00"/>
    <w:rsid w:val="00E122A2"/>
    <w:rsid w:val="00E12E08"/>
    <w:rsid w:val="00E12FD7"/>
    <w:rsid w:val="00E130B9"/>
    <w:rsid w:val="00E13370"/>
    <w:rsid w:val="00E1386D"/>
    <w:rsid w:val="00E13C10"/>
    <w:rsid w:val="00E13C5B"/>
    <w:rsid w:val="00E14926"/>
    <w:rsid w:val="00E14B87"/>
    <w:rsid w:val="00E1561F"/>
    <w:rsid w:val="00E156D8"/>
    <w:rsid w:val="00E156E8"/>
    <w:rsid w:val="00E15940"/>
    <w:rsid w:val="00E15A73"/>
    <w:rsid w:val="00E1658A"/>
    <w:rsid w:val="00E1677F"/>
    <w:rsid w:val="00E16C29"/>
    <w:rsid w:val="00E17503"/>
    <w:rsid w:val="00E17C56"/>
    <w:rsid w:val="00E17F9D"/>
    <w:rsid w:val="00E2009B"/>
    <w:rsid w:val="00E20782"/>
    <w:rsid w:val="00E20845"/>
    <w:rsid w:val="00E20FB2"/>
    <w:rsid w:val="00E20FF9"/>
    <w:rsid w:val="00E210BF"/>
    <w:rsid w:val="00E240DC"/>
    <w:rsid w:val="00E24DEC"/>
    <w:rsid w:val="00E271DE"/>
    <w:rsid w:val="00E27446"/>
    <w:rsid w:val="00E27D0B"/>
    <w:rsid w:val="00E30270"/>
    <w:rsid w:val="00E30580"/>
    <w:rsid w:val="00E30AFD"/>
    <w:rsid w:val="00E31FD7"/>
    <w:rsid w:val="00E3226D"/>
    <w:rsid w:val="00E326E1"/>
    <w:rsid w:val="00E32F64"/>
    <w:rsid w:val="00E3491F"/>
    <w:rsid w:val="00E35B64"/>
    <w:rsid w:val="00E3637A"/>
    <w:rsid w:val="00E364A4"/>
    <w:rsid w:val="00E365CF"/>
    <w:rsid w:val="00E36C66"/>
    <w:rsid w:val="00E372BA"/>
    <w:rsid w:val="00E37486"/>
    <w:rsid w:val="00E3759F"/>
    <w:rsid w:val="00E37B36"/>
    <w:rsid w:val="00E4025D"/>
    <w:rsid w:val="00E40EA0"/>
    <w:rsid w:val="00E412E1"/>
    <w:rsid w:val="00E41580"/>
    <w:rsid w:val="00E41C52"/>
    <w:rsid w:val="00E4204D"/>
    <w:rsid w:val="00E43122"/>
    <w:rsid w:val="00E439DE"/>
    <w:rsid w:val="00E43A78"/>
    <w:rsid w:val="00E43B25"/>
    <w:rsid w:val="00E4590D"/>
    <w:rsid w:val="00E4629D"/>
    <w:rsid w:val="00E46AC4"/>
    <w:rsid w:val="00E46BA5"/>
    <w:rsid w:val="00E46E7F"/>
    <w:rsid w:val="00E476BC"/>
    <w:rsid w:val="00E5049D"/>
    <w:rsid w:val="00E5056A"/>
    <w:rsid w:val="00E50DBE"/>
    <w:rsid w:val="00E51216"/>
    <w:rsid w:val="00E52376"/>
    <w:rsid w:val="00E530B3"/>
    <w:rsid w:val="00E5312A"/>
    <w:rsid w:val="00E53B15"/>
    <w:rsid w:val="00E53B49"/>
    <w:rsid w:val="00E53C49"/>
    <w:rsid w:val="00E5403D"/>
    <w:rsid w:val="00E54694"/>
    <w:rsid w:val="00E55517"/>
    <w:rsid w:val="00E556A4"/>
    <w:rsid w:val="00E556FB"/>
    <w:rsid w:val="00E55A7D"/>
    <w:rsid w:val="00E55AFE"/>
    <w:rsid w:val="00E55CD8"/>
    <w:rsid w:val="00E56645"/>
    <w:rsid w:val="00E57087"/>
    <w:rsid w:val="00E600CB"/>
    <w:rsid w:val="00E609C7"/>
    <w:rsid w:val="00E60BE9"/>
    <w:rsid w:val="00E61A28"/>
    <w:rsid w:val="00E61E03"/>
    <w:rsid w:val="00E62673"/>
    <w:rsid w:val="00E626EB"/>
    <w:rsid w:val="00E62764"/>
    <w:rsid w:val="00E6279E"/>
    <w:rsid w:val="00E63188"/>
    <w:rsid w:val="00E63471"/>
    <w:rsid w:val="00E63BEF"/>
    <w:rsid w:val="00E63D7B"/>
    <w:rsid w:val="00E63F6D"/>
    <w:rsid w:val="00E64C12"/>
    <w:rsid w:val="00E64E38"/>
    <w:rsid w:val="00E65450"/>
    <w:rsid w:val="00E65738"/>
    <w:rsid w:val="00E657D6"/>
    <w:rsid w:val="00E65F7D"/>
    <w:rsid w:val="00E6662F"/>
    <w:rsid w:val="00E66EBD"/>
    <w:rsid w:val="00E675F1"/>
    <w:rsid w:val="00E67768"/>
    <w:rsid w:val="00E67A5B"/>
    <w:rsid w:val="00E70262"/>
    <w:rsid w:val="00E70F11"/>
    <w:rsid w:val="00E71377"/>
    <w:rsid w:val="00E71434"/>
    <w:rsid w:val="00E726FD"/>
    <w:rsid w:val="00E7384F"/>
    <w:rsid w:val="00E743FC"/>
    <w:rsid w:val="00E74673"/>
    <w:rsid w:val="00E75390"/>
    <w:rsid w:val="00E753FA"/>
    <w:rsid w:val="00E75D1A"/>
    <w:rsid w:val="00E76C5B"/>
    <w:rsid w:val="00E770D0"/>
    <w:rsid w:val="00E80C86"/>
    <w:rsid w:val="00E8147B"/>
    <w:rsid w:val="00E82045"/>
    <w:rsid w:val="00E825A0"/>
    <w:rsid w:val="00E82A2D"/>
    <w:rsid w:val="00E83053"/>
    <w:rsid w:val="00E83385"/>
    <w:rsid w:val="00E83C66"/>
    <w:rsid w:val="00E86A36"/>
    <w:rsid w:val="00E86B4D"/>
    <w:rsid w:val="00E86DD9"/>
    <w:rsid w:val="00E87FD5"/>
    <w:rsid w:val="00E90636"/>
    <w:rsid w:val="00E9063D"/>
    <w:rsid w:val="00E90C50"/>
    <w:rsid w:val="00E91043"/>
    <w:rsid w:val="00E915B4"/>
    <w:rsid w:val="00E919ED"/>
    <w:rsid w:val="00E91A93"/>
    <w:rsid w:val="00E9212A"/>
    <w:rsid w:val="00E92302"/>
    <w:rsid w:val="00E923C8"/>
    <w:rsid w:val="00E92DD1"/>
    <w:rsid w:val="00E9326F"/>
    <w:rsid w:val="00E935F6"/>
    <w:rsid w:val="00E93C61"/>
    <w:rsid w:val="00E93EAD"/>
    <w:rsid w:val="00E951B2"/>
    <w:rsid w:val="00E95C7B"/>
    <w:rsid w:val="00E9618A"/>
    <w:rsid w:val="00E96484"/>
    <w:rsid w:val="00E967A9"/>
    <w:rsid w:val="00E97694"/>
    <w:rsid w:val="00E976CA"/>
    <w:rsid w:val="00EA1714"/>
    <w:rsid w:val="00EA1CDF"/>
    <w:rsid w:val="00EA2275"/>
    <w:rsid w:val="00EA287A"/>
    <w:rsid w:val="00EA43C4"/>
    <w:rsid w:val="00EA46DB"/>
    <w:rsid w:val="00EA4CA0"/>
    <w:rsid w:val="00EA4EDE"/>
    <w:rsid w:val="00EA5420"/>
    <w:rsid w:val="00EA5582"/>
    <w:rsid w:val="00EA59CF"/>
    <w:rsid w:val="00EA59EB"/>
    <w:rsid w:val="00EA59F3"/>
    <w:rsid w:val="00EA7D77"/>
    <w:rsid w:val="00EB029F"/>
    <w:rsid w:val="00EB09AC"/>
    <w:rsid w:val="00EB12FE"/>
    <w:rsid w:val="00EB15CB"/>
    <w:rsid w:val="00EB197D"/>
    <w:rsid w:val="00EB1F36"/>
    <w:rsid w:val="00EB20D4"/>
    <w:rsid w:val="00EB22DC"/>
    <w:rsid w:val="00EB2566"/>
    <w:rsid w:val="00EB29B1"/>
    <w:rsid w:val="00EB2C02"/>
    <w:rsid w:val="00EB2D93"/>
    <w:rsid w:val="00EB3A64"/>
    <w:rsid w:val="00EB3FFE"/>
    <w:rsid w:val="00EB42F3"/>
    <w:rsid w:val="00EB494C"/>
    <w:rsid w:val="00EB5C3A"/>
    <w:rsid w:val="00EB6685"/>
    <w:rsid w:val="00EB6D90"/>
    <w:rsid w:val="00EB6F7D"/>
    <w:rsid w:val="00EB7C81"/>
    <w:rsid w:val="00EB7F34"/>
    <w:rsid w:val="00EC0055"/>
    <w:rsid w:val="00EC0674"/>
    <w:rsid w:val="00EC09F5"/>
    <w:rsid w:val="00EC0DB6"/>
    <w:rsid w:val="00EC0E8E"/>
    <w:rsid w:val="00EC146D"/>
    <w:rsid w:val="00EC181F"/>
    <w:rsid w:val="00EC1826"/>
    <w:rsid w:val="00EC1BCE"/>
    <w:rsid w:val="00EC2B79"/>
    <w:rsid w:val="00EC32FE"/>
    <w:rsid w:val="00EC3617"/>
    <w:rsid w:val="00EC364C"/>
    <w:rsid w:val="00EC394F"/>
    <w:rsid w:val="00EC3E6F"/>
    <w:rsid w:val="00EC40B2"/>
    <w:rsid w:val="00EC4ECA"/>
    <w:rsid w:val="00EC5598"/>
    <w:rsid w:val="00EC56B6"/>
    <w:rsid w:val="00EC583B"/>
    <w:rsid w:val="00EC5847"/>
    <w:rsid w:val="00EC5C1B"/>
    <w:rsid w:val="00EC5D0A"/>
    <w:rsid w:val="00EC5DAA"/>
    <w:rsid w:val="00EC5EA8"/>
    <w:rsid w:val="00EC604A"/>
    <w:rsid w:val="00EC60A2"/>
    <w:rsid w:val="00EC6286"/>
    <w:rsid w:val="00EC697C"/>
    <w:rsid w:val="00EC6BE8"/>
    <w:rsid w:val="00EC79C4"/>
    <w:rsid w:val="00ED0AE0"/>
    <w:rsid w:val="00ED0D52"/>
    <w:rsid w:val="00ED12A0"/>
    <w:rsid w:val="00ED135E"/>
    <w:rsid w:val="00ED1FFE"/>
    <w:rsid w:val="00ED206A"/>
    <w:rsid w:val="00ED28A7"/>
    <w:rsid w:val="00ED2C06"/>
    <w:rsid w:val="00ED2DDA"/>
    <w:rsid w:val="00ED32BC"/>
    <w:rsid w:val="00ED3965"/>
    <w:rsid w:val="00ED3BA4"/>
    <w:rsid w:val="00ED3C9C"/>
    <w:rsid w:val="00ED4AC2"/>
    <w:rsid w:val="00ED5241"/>
    <w:rsid w:val="00ED5CDA"/>
    <w:rsid w:val="00ED69AC"/>
    <w:rsid w:val="00ED736E"/>
    <w:rsid w:val="00ED73FB"/>
    <w:rsid w:val="00ED75B0"/>
    <w:rsid w:val="00ED7CDA"/>
    <w:rsid w:val="00EE05B2"/>
    <w:rsid w:val="00EE1028"/>
    <w:rsid w:val="00EE1922"/>
    <w:rsid w:val="00EE2327"/>
    <w:rsid w:val="00EE23DA"/>
    <w:rsid w:val="00EE26D8"/>
    <w:rsid w:val="00EE3951"/>
    <w:rsid w:val="00EE3ABB"/>
    <w:rsid w:val="00EE4719"/>
    <w:rsid w:val="00EE4A84"/>
    <w:rsid w:val="00EE4D71"/>
    <w:rsid w:val="00EE4E4B"/>
    <w:rsid w:val="00EE5550"/>
    <w:rsid w:val="00EE59F8"/>
    <w:rsid w:val="00EE5E71"/>
    <w:rsid w:val="00EE7A69"/>
    <w:rsid w:val="00EF01E2"/>
    <w:rsid w:val="00EF091B"/>
    <w:rsid w:val="00EF0E27"/>
    <w:rsid w:val="00EF1090"/>
    <w:rsid w:val="00EF10C7"/>
    <w:rsid w:val="00EF239B"/>
    <w:rsid w:val="00EF2754"/>
    <w:rsid w:val="00EF284D"/>
    <w:rsid w:val="00EF2A9C"/>
    <w:rsid w:val="00EF349D"/>
    <w:rsid w:val="00EF34F8"/>
    <w:rsid w:val="00EF3C86"/>
    <w:rsid w:val="00EF3D0A"/>
    <w:rsid w:val="00EF3FB4"/>
    <w:rsid w:val="00EF4939"/>
    <w:rsid w:val="00EF4987"/>
    <w:rsid w:val="00EF57A9"/>
    <w:rsid w:val="00EF5BCA"/>
    <w:rsid w:val="00EF5E92"/>
    <w:rsid w:val="00EF6DDE"/>
    <w:rsid w:val="00EF6F32"/>
    <w:rsid w:val="00EF701D"/>
    <w:rsid w:val="00EF70E5"/>
    <w:rsid w:val="00F00DD9"/>
    <w:rsid w:val="00F0141E"/>
    <w:rsid w:val="00F01866"/>
    <w:rsid w:val="00F01B52"/>
    <w:rsid w:val="00F02323"/>
    <w:rsid w:val="00F0240A"/>
    <w:rsid w:val="00F02854"/>
    <w:rsid w:val="00F02F8F"/>
    <w:rsid w:val="00F042F4"/>
    <w:rsid w:val="00F04425"/>
    <w:rsid w:val="00F0586C"/>
    <w:rsid w:val="00F05FA5"/>
    <w:rsid w:val="00F06CC3"/>
    <w:rsid w:val="00F07257"/>
    <w:rsid w:val="00F072AB"/>
    <w:rsid w:val="00F07A0E"/>
    <w:rsid w:val="00F07F79"/>
    <w:rsid w:val="00F103EE"/>
    <w:rsid w:val="00F107AB"/>
    <w:rsid w:val="00F10963"/>
    <w:rsid w:val="00F11FF7"/>
    <w:rsid w:val="00F125BC"/>
    <w:rsid w:val="00F130A1"/>
    <w:rsid w:val="00F13D0B"/>
    <w:rsid w:val="00F145F1"/>
    <w:rsid w:val="00F14614"/>
    <w:rsid w:val="00F14715"/>
    <w:rsid w:val="00F14C3C"/>
    <w:rsid w:val="00F1539B"/>
    <w:rsid w:val="00F15BA3"/>
    <w:rsid w:val="00F15E42"/>
    <w:rsid w:val="00F16432"/>
    <w:rsid w:val="00F16862"/>
    <w:rsid w:val="00F16A0C"/>
    <w:rsid w:val="00F17A56"/>
    <w:rsid w:val="00F17B43"/>
    <w:rsid w:val="00F202F9"/>
    <w:rsid w:val="00F20567"/>
    <w:rsid w:val="00F20839"/>
    <w:rsid w:val="00F20D9A"/>
    <w:rsid w:val="00F20F90"/>
    <w:rsid w:val="00F216A9"/>
    <w:rsid w:val="00F21BA2"/>
    <w:rsid w:val="00F21E73"/>
    <w:rsid w:val="00F220D4"/>
    <w:rsid w:val="00F22233"/>
    <w:rsid w:val="00F224FE"/>
    <w:rsid w:val="00F228F7"/>
    <w:rsid w:val="00F22F9D"/>
    <w:rsid w:val="00F2377A"/>
    <w:rsid w:val="00F2401A"/>
    <w:rsid w:val="00F24131"/>
    <w:rsid w:val="00F24303"/>
    <w:rsid w:val="00F244BC"/>
    <w:rsid w:val="00F24D25"/>
    <w:rsid w:val="00F256D7"/>
    <w:rsid w:val="00F25CC3"/>
    <w:rsid w:val="00F25DEE"/>
    <w:rsid w:val="00F26A56"/>
    <w:rsid w:val="00F26B44"/>
    <w:rsid w:val="00F27AB4"/>
    <w:rsid w:val="00F302AF"/>
    <w:rsid w:val="00F302B5"/>
    <w:rsid w:val="00F30DDA"/>
    <w:rsid w:val="00F313BF"/>
    <w:rsid w:val="00F3194D"/>
    <w:rsid w:val="00F320D5"/>
    <w:rsid w:val="00F32D9B"/>
    <w:rsid w:val="00F330E4"/>
    <w:rsid w:val="00F331FB"/>
    <w:rsid w:val="00F33DEF"/>
    <w:rsid w:val="00F33EEF"/>
    <w:rsid w:val="00F341E3"/>
    <w:rsid w:val="00F34B70"/>
    <w:rsid w:val="00F34C24"/>
    <w:rsid w:val="00F351A7"/>
    <w:rsid w:val="00F3774E"/>
    <w:rsid w:val="00F40E5B"/>
    <w:rsid w:val="00F40F59"/>
    <w:rsid w:val="00F41469"/>
    <w:rsid w:val="00F41F43"/>
    <w:rsid w:val="00F41FF8"/>
    <w:rsid w:val="00F421BB"/>
    <w:rsid w:val="00F43528"/>
    <w:rsid w:val="00F43D80"/>
    <w:rsid w:val="00F4402E"/>
    <w:rsid w:val="00F45DEA"/>
    <w:rsid w:val="00F46311"/>
    <w:rsid w:val="00F46362"/>
    <w:rsid w:val="00F46831"/>
    <w:rsid w:val="00F4685C"/>
    <w:rsid w:val="00F46CEF"/>
    <w:rsid w:val="00F474BA"/>
    <w:rsid w:val="00F50914"/>
    <w:rsid w:val="00F50AD7"/>
    <w:rsid w:val="00F513E5"/>
    <w:rsid w:val="00F51609"/>
    <w:rsid w:val="00F52017"/>
    <w:rsid w:val="00F525C8"/>
    <w:rsid w:val="00F5291D"/>
    <w:rsid w:val="00F530FD"/>
    <w:rsid w:val="00F53B3C"/>
    <w:rsid w:val="00F545F8"/>
    <w:rsid w:val="00F548E8"/>
    <w:rsid w:val="00F552F1"/>
    <w:rsid w:val="00F55497"/>
    <w:rsid w:val="00F55D91"/>
    <w:rsid w:val="00F55FC0"/>
    <w:rsid w:val="00F5610A"/>
    <w:rsid w:val="00F561F2"/>
    <w:rsid w:val="00F563A5"/>
    <w:rsid w:val="00F564EA"/>
    <w:rsid w:val="00F56E91"/>
    <w:rsid w:val="00F56EF8"/>
    <w:rsid w:val="00F57BFC"/>
    <w:rsid w:val="00F6002E"/>
    <w:rsid w:val="00F608C2"/>
    <w:rsid w:val="00F60A9E"/>
    <w:rsid w:val="00F60DFF"/>
    <w:rsid w:val="00F616AB"/>
    <w:rsid w:val="00F617A9"/>
    <w:rsid w:val="00F61B90"/>
    <w:rsid w:val="00F61E48"/>
    <w:rsid w:val="00F62AB6"/>
    <w:rsid w:val="00F63AE7"/>
    <w:rsid w:val="00F6431A"/>
    <w:rsid w:val="00F64C71"/>
    <w:rsid w:val="00F654C1"/>
    <w:rsid w:val="00F65A95"/>
    <w:rsid w:val="00F66074"/>
    <w:rsid w:val="00F66469"/>
    <w:rsid w:val="00F66636"/>
    <w:rsid w:val="00F6688F"/>
    <w:rsid w:val="00F66D12"/>
    <w:rsid w:val="00F66EA3"/>
    <w:rsid w:val="00F67087"/>
    <w:rsid w:val="00F67952"/>
    <w:rsid w:val="00F679FE"/>
    <w:rsid w:val="00F700BA"/>
    <w:rsid w:val="00F702AE"/>
    <w:rsid w:val="00F70A99"/>
    <w:rsid w:val="00F70F61"/>
    <w:rsid w:val="00F73D4E"/>
    <w:rsid w:val="00F73DA8"/>
    <w:rsid w:val="00F73E75"/>
    <w:rsid w:val="00F75EE3"/>
    <w:rsid w:val="00F765D1"/>
    <w:rsid w:val="00F7673F"/>
    <w:rsid w:val="00F768F0"/>
    <w:rsid w:val="00F76C19"/>
    <w:rsid w:val="00F770C5"/>
    <w:rsid w:val="00F8024F"/>
    <w:rsid w:val="00F8032D"/>
    <w:rsid w:val="00F803F5"/>
    <w:rsid w:val="00F80E58"/>
    <w:rsid w:val="00F814BB"/>
    <w:rsid w:val="00F8259F"/>
    <w:rsid w:val="00F8293F"/>
    <w:rsid w:val="00F831D4"/>
    <w:rsid w:val="00F83369"/>
    <w:rsid w:val="00F833A9"/>
    <w:rsid w:val="00F847BC"/>
    <w:rsid w:val="00F84A7D"/>
    <w:rsid w:val="00F853C0"/>
    <w:rsid w:val="00F85529"/>
    <w:rsid w:val="00F855DF"/>
    <w:rsid w:val="00F85E80"/>
    <w:rsid w:val="00F86035"/>
    <w:rsid w:val="00F861AC"/>
    <w:rsid w:val="00F8706D"/>
    <w:rsid w:val="00F90555"/>
    <w:rsid w:val="00F92124"/>
    <w:rsid w:val="00F924F7"/>
    <w:rsid w:val="00F92663"/>
    <w:rsid w:val="00F9294B"/>
    <w:rsid w:val="00F92A6E"/>
    <w:rsid w:val="00F936A1"/>
    <w:rsid w:val="00F936D2"/>
    <w:rsid w:val="00F93AF5"/>
    <w:rsid w:val="00F93D35"/>
    <w:rsid w:val="00F93DF1"/>
    <w:rsid w:val="00F94514"/>
    <w:rsid w:val="00F949E4"/>
    <w:rsid w:val="00F94F1A"/>
    <w:rsid w:val="00F95040"/>
    <w:rsid w:val="00F95BCC"/>
    <w:rsid w:val="00F962CD"/>
    <w:rsid w:val="00F9680E"/>
    <w:rsid w:val="00F96CB8"/>
    <w:rsid w:val="00F96D8A"/>
    <w:rsid w:val="00F97061"/>
    <w:rsid w:val="00F97C0D"/>
    <w:rsid w:val="00FA034F"/>
    <w:rsid w:val="00FA0F23"/>
    <w:rsid w:val="00FA13F7"/>
    <w:rsid w:val="00FA1ABD"/>
    <w:rsid w:val="00FA2301"/>
    <w:rsid w:val="00FA2E66"/>
    <w:rsid w:val="00FA4C8A"/>
    <w:rsid w:val="00FA4FB4"/>
    <w:rsid w:val="00FA542F"/>
    <w:rsid w:val="00FA5C66"/>
    <w:rsid w:val="00FA610E"/>
    <w:rsid w:val="00FA62CD"/>
    <w:rsid w:val="00FA649A"/>
    <w:rsid w:val="00FA728D"/>
    <w:rsid w:val="00FA7378"/>
    <w:rsid w:val="00FA7CE7"/>
    <w:rsid w:val="00FB021C"/>
    <w:rsid w:val="00FB0BBA"/>
    <w:rsid w:val="00FB0E08"/>
    <w:rsid w:val="00FB0E98"/>
    <w:rsid w:val="00FB18B4"/>
    <w:rsid w:val="00FB21A2"/>
    <w:rsid w:val="00FB3121"/>
    <w:rsid w:val="00FB3D4C"/>
    <w:rsid w:val="00FB493F"/>
    <w:rsid w:val="00FB4956"/>
    <w:rsid w:val="00FB5625"/>
    <w:rsid w:val="00FB5837"/>
    <w:rsid w:val="00FB5A04"/>
    <w:rsid w:val="00FB5A6F"/>
    <w:rsid w:val="00FB5ACD"/>
    <w:rsid w:val="00FB5C46"/>
    <w:rsid w:val="00FB5CB0"/>
    <w:rsid w:val="00FB64C5"/>
    <w:rsid w:val="00FB65CD"/>
    <w:rsid w:val="00FB738F"/>
    <w:rsid w:val="00FB7FC8"/>
    <w:rsid w:val="00FC033F"/>
    <w:rsid w:val="00FC0A1D"/>
    <w:rsid w:val="00FC0C3A"/>
    <w:rsid w:val="00FC1A69"/>
    <w:rsid w:val="00FC2740"/>
    <w:rsid w:val="00FC3D99"/>
    <w:rsid w:val="00FC40B0"/>
    <w:rsid w:val="00FC4209"/>
    <w:rsid w:val="00FC4318"/>
    <w:rsid w:val="00FC558B"/>
    <w:rsid w:val="00FC5C9C"/>
    <w:rsid w:val="00FC5EA4"/>
    <w:rsid w:val="00FC60A5"/>
    <w:rsid w:val="00FC62D5"/>
    <w:rsid w:val="00FC67C2"/>
    <w:rsid w:val="00FC6864"/>
    <w:rsid w:val="00FC6D7B"/>
    <w:rsid w:val="00FC6EC3"/>
    <w:rsid w:val="00FC7DFC"/>
    <w:rsid w:val="00FC7DFE"/>
    <w:rsid w:val="00FD07DB"/>
    <w:rsid w:val="00FD0881"/>
    <w:rsid w:val="00FD0F47"/>
    <w:rsid w:val="00FD0FD0"/>
    <w:rsid w:val="00FD1A85"/>
    <w:rsid w:val="00FD1BB2"/>
    <w:rsid w:val="00FD2685"/>
    <w:rsid w:val="00FD27D7"/>
    <w:rsid w:val="00FD2C21"/>
    <w:rsid w:val="00FD3723"/>
    <w:rsid w:val="00FD3844"/>
    <w:rsid w:val="00FD3C44"/>
    <w:rsid w:val="00FD41C5"/>
    <w:rsid w:val="00FD4707"/>
    <w:rsid w:val="00FD5C68"/>
    <w:rsid w:val="00FD5C82"/>
    <w:rsid w:val="00FD6A07"/>
    <w:rsid w:val="00FD6A5E"/>
    <w:rsid w:val="00FD6CA2"/>
    <w:rsid w:val="00FD6FAA"/>
    <w:rsid w:val="00FD79BD"/>
    <w:rsid w:val="00FD7C21"/>
    <w:rsid w:val="00FD7DF2"/>
    <w:rsid w:val="00FE00F2"/>
    <w:rsid w:val="00FE0EDA"/>
    <w:rsid w:val="00FE0F5B"/>
    <w:rsid w:val="00FE1531"/>
    <w:rsid w:val="00FE15A1"/>
    <w:rsid w:val="00FE1650"/>
    <w:rsid w:val="00FE1655"/>
    <w:rsid w:val="00FE16AB"/>
    <w:rsid w:val="00FE1FDB"/>
    <w:rsid w:val="00FE25EF"/>
    <w:rsid w:val="00FE2ADC"/>
    <w:rsid w:val="00FE2D57"/>
    <w:rsid w:val="00FE2EAD"/>
    <w:rsid w:val="00FE3572"/>
    <w:rsid w:val="00FE4063"/>
    <w:rsid w:val="00FE4DC4"/>
    <w:rsid w:val="00FE5A81"/>
    <w:rsid w:val="00FE7108"/>
    <w:rsid w:val="00FE71E3"/>
    <w:rsid w:val="00FE750E"/>
    <w:rsid w:val="00FE75DA"/>
    <w:rsid w:val="00FE7EA7"/>
    <w:rsid w:val="00FF120A"/>
    <w:rsid w:val="00FF23DF"/>
    <w:rsid w:val="00FF2522"/>
    <w:rsid w:val="00FF2544"/>
    <w:rsid w:val="00FF2561"/>
    <w:rsid w:val="00FF289E"/>
    <w:rsid w:val="00FF3D33"/>
    <w:rsid w:val="00FF4040"/>
    <w:rsid w:val="00FF42EA"/>
    <w:rsid w:val="00FF47D5"/>
    <w:rsid w:val="00FF48BA"/>
    <w:rsid w:val="00FF5EB6"/>
    <w:rsid w:val="00FF6E91"/>
    <w:rsid w:val="00FF6EB1"/>
    <w:rsid w:val="00FF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9C21EE"/>
    <w:pPr>
      <w:keepNext/>
      <w:ind w:firstLine="720"/>
      <w:jc w:val="both"/>
      <w:outlineLvl w:val="0"/>
    </w:pPr>
    <w:rPr>
      <w:b/>
      <w:bCs/>
      <w:i/>
      <w:iCs/>
      <w:u w:val="single"/>
      <w:lang w:val="uk-UA"/>
    </w:rPr>
  </w:style>
  <w:style w:type="paragraph" w:styleId="2">
    <w:name w:val="heading 2"/>
    <w:basedOn w:val="a"/>
    <w:next w:val="a"/>
    <w:link w:val="20"/>
    <w:qFormat/>
    <w:rsid w:val="009C21EE"/>
    <w:pPr>
      <w:keepNext/>
      <w:jc w:val="both"/>
      <w:outlineLvl w:val="1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C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CF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05CD6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05CD6"/>
    <w:rPr>
      <w:color w:val="0000FF"/>
      <w:u w:val="single"/>
    </w:rPr>
  </w:style>
  <w:style w:type="paragraph" w:customStyle="1" w:styleId="rvps7">
    <w:name w:val="rvps7"/>
    <w:basedOn w:val="a"/>
    <w:rsid w:val="00656511"/>
    <w:pPr>
      <w:spacing w:before="100" w:beforeAutospacing="1" w:after="100" w:afterAutospacing="1"/>
    </w:pPr>
    <w:rPr>
      <w:lang w:eastAsia="uk-UA"/>
    </w:rPr>
  </w:style>
  <w:style w:type="paragraph" w:customStyle="1" w:styleId="rvps17">
    <w:name w:val="rvps17"/>
    <w:basedOn w:val="a"/>
    <w:rsid w:val="00656511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656511"/>
  </w:style>
  <w:style w:type="paragraph" w:styleId="a7">
    <w:name w:val="Body Text"/>
    <w:basedOn w:val="a"/>
    <w:link w:val="a8"/>
    <w:rsid w:val="00A86573"/>
    <w:pPr>
      <w:jc w:val="both"/>
    </w:pPr>
    <w:rPr>
      <w:lang w:val="uk-UA"/>
    </w:rPr>
  </w:style>
  <w:style w:type="character" w:customStyle="1" w:styleId="a8">
    <w:name w:val="Основной текст Знак"/>
    <w:basedOn w:val="a0"/>
    <w:link w:val="a7"/>
    <w:rsid w:val="00A865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A86573"/>
    <w:pPr>
      <w:spacing w:before="100" w:beforeAutospacing="1" w:after="100" w:afterAutospacing="1"/>
    </w:pPr>
    <w:rPr>
      <w:lang w:val="ru-RU" w:eastAsia="ru-RU"/>
    </w:rPr>
  </w:style>
  <w:style w:type="paragraph" w:styleId="aa">
    <w:name w:val="List Paragraph"/>
    <w:basedOn w:val="a"/>
    <w:uiPriority w:val="34"/>
    <w:qFormat/>
    <w:rsid w:val="00A86573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A86573"/>
    <w:rPr>
      <w:rFonts w:ascii="Times New Roman" w:hAnsi="Times New Roman" w:cs="Times New Roman"/>
      <w:sz w:val="30"/>
      <w:szCs w:val="30"/>
    </w:rPr>
  </w:style>
  <w:style w:type="paragraph" w:styleId="21">
    <w:name w:val="Body Text Indent 2"/>
    <w:basedOn w:val="a"/>
    <w:link w:val="22"/>
    <w:uiPriority w:val="99"/>
    <w:unhideWhenUsed/>
    <w:rsid w:val="009C21E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C21E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3">
    <w:name w:val="Body Text Indent 3"/>
    <w:basedOn w:val="a"/>
    <w:link w:val="30"/>
    <w:uiPriority w:val="99"/>
    <w:semiHidden/>
    <w:unhideWhenUsed/>
    <w:rsid w:val="009C21E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C21E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10">
    <w:name w:val="Заголовок 1 Знак"/>
    <w:basedOn w:val="a0"/>
    <w:link w:val="1"/>
    <w:rsid w:val="009C21EE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20">
    <w:name w:val="Заголовок 2 Знак"/>
    <w:basedOn w:val="a0"/>
    <w:link w:val="2"/>
    <w:rsid w:val="009C21E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b">
    <w:name w:val="Title"/>
    <w:basedOn w:val="a"/>
    <w:link w:val="ac"/>
    <w:qFormat/>
    <w:rsid w:val="00C05C0E"/>
    <w:pPr>
      <w:jc w:val="center"/>
    </w:pPr>
    <w:rPr>
      <w:b/>
      <w:lang w:val="uk-UA" w:eastAsia="ru-RU"/>
    </w:rPr>
  </w:style>
  <w:style w:type="character" w:customStyle="1" w:styleId="ac">
    <w:name w:val="Название Знак"/>
    <w:basedOn w:val="a0"/>
    <w:link w:val="ab"/>
    <w:rsid w:val="00C05C0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3B70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9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7"/>
      <c:hPercent val="31"/>
      <c:rotY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Sheet1!$A$3</c:f>
              <c:strCache>
                <c:ptCount val="1"/>
                <c:pt idx="0">
                  <c:v>2025 рік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Sheet1!$B$2:$E$2</c:f>
              <c:strCache>
                <c:ptCount val="4"/>
                <c:pt idx="0">
                  <c:v>залишок на                                                        початок                                                                              року</c:v>
                </c:pt>
                <c:pt idx="1">
                  <c:v>на розгляді                                               перебувало                                 кримінальних                 справ(пров)</c:v>
                </c:pt>
                <c:pt idx="2">
                  <c:v> розглянуто </c:v>
                </c:pt>
                <c:pt idx="3">
                  <c:v>                                                                залишок                      на кінець року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237</c:v>
                </c:pt>
                <c:pt idx="1">
                  <c:v>621</c:v>
                </c:pt>
                <c:pt idx="2">
                  <c:v>405</c:v>
                </c:pt>
                <c:pt idx="3">
                  <c:v>216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  <c:pt idx="0">
                  <c:v>2024 рік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cat>
            <c:strRef>
              <c:f>Sheet1!$B$2:$E$2</c:f>
              <c:strCache>
                <c:ptCount val="4"/>
                <c:pt idx="0">
                  <c:v>залишок на                                                        початок                                                                              року</c:v>
                </c:pt>
                <c:pt idx="1">
                  <c:v>на розгляді                                               перебувало                                 кримінальних                 справ(пров)</c:v>
                </c:pt>
                <c:pt idx="2">
                  <c:v> розглянуто </c:v>
                </c:pt>
                <c:pt idx="3">
                  <c:v>                                                                залишок                      на кінець року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154</c:v>
                </c:pt>
                <c:pt idx="1">
                  <c:v>537</c:v>
                </c:pt>
                <c:pt idx="2">
                  <c:v>300</c:v>
                </c:pt>
                <c:pt idx="3">
                  <c:v>237</c:v>
                </c:pt>
              </c:numCache>
            </c:numRef>
          </c:val>
        </c:ser>
        <c:gapDepth val="0"/>
        <c:shape val="box"/>
        <c:axId val="138948992"/>
        <c:axId val="138950912"/>
        <c:axId val="0"/>
      </c:bar3DChart>
      <c:catAx>
        <c:axId val="13894899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8950912"/>
        <c:crosses val="autoZero"/>
        <c:auto val="1"/>
        <c:lblAlgn val="ctr"/>
        <c:lblOffset val="100"/>
        <c:tickLblSkip val="1"/>
        <c:tickMarkSkip val="1"/>
      </c:catAx>
      <c:valAx>
        <c:axId val="138950912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8948992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79421351400842333"/>
          <c:y val="0.39361702127659581"/>
          <c:w val="0.12818134651773191"/>
          <c:h val="0.38253082001113475"/>
        </c:manualLayout>
      </c:layout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2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4247787610619468E-2"/>
          <c:y val="2.6595744680851092E-2"/>
          <c:w val="0.84808259587020429"/>
          <c:h val="0.75531914893617025"/>
        </c:manualLayout>
      </c:layout>
      <c:bar3DChart>
        <c:barDir val="col"/>
        <c:grouping val="clustered"/>
        <c:ser>
          <c:idx val="1"/>
          <c:order val="0"/>
          <c:tx>
            <c:strRef>
              <c:f>Sheet1!$A$5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993366"/>
            </a:solidFill>
            <a:ln w="1267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Цивільні справи</c:v>
                </c:pt>
                <c:pt idx="1">
                  <c:v>Наказне провадження</c:v>
                </c:pt>
                <c:pt idx="2">
                  <c:v>Окреме провадження</c:v>
                </c:pt>
                <c:pt idx="3">
                  <c:v>Адмінпозови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3032</c:v>
                </c:pt>
                <c:pt idx="1">
                  <c:v>1624</c:v>
                </c:pt>
                <c:pt idx="2">
                  <c:v>148</c:v>
                </c:pt>
                <c:pt idx="3">
                  <c:v>88</c:v>
                </c:pt>
              </c:numCache>
            </c:numRef>
          </c:val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FFCC"/>
            </a:solidFill>
            <a:ln w="1267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Цивільні справи</c:v>
                </c:pt>
                <c:pt idx="1">
                  <c:v>Наказне провадження</c:v>
                </c:pt>
                <c:pt idx="2">
                  <c:v>Окреме провадження</c:v>
                </c:pt>
                <c:pt idx="3">
                  <c:v>Адмінпозови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2223</c:v>
                </c:pt>
                <c:pt idx="1">
                  <c:v>4697</c:v>
                </c:pt>
                <c:pt idx="2">
                  <c:v>167</c:v>
                </c:pt>
                <c:pt idx="3">
                  <c:v>41</c:v>
                </c:pt>
              </c:numCache>
            </c:numRef>
          </c:val>
        </c:ser>
        <c:ser>
          <c:idx val="3"/>
          <c:order val="2"/>
          <c:tx>
            <c:strRef>
              <c:f>Sheet1!#ССЫЛКА!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rgbClr val="CCFFFF"/>
            </a:solidFill>
            <a:ln w="1267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Цивільні справи</c:v>
                </c:pt>
                <c:pt idx="1">
                  <c:v>Наказне провадження</c:v>
                </c:pt>
                <c:pt idx="2">
                  <c:v>Окреме провадження</c:v>
                </c:pt>
                <c:pt idx="3">
                  <c:v>Адмінпозови</c:v>
                </c:pt>
              </c:strCache>
            </c:strRef>
          </c:cat>
          <c:val>
            <c:numRef>
              <c:f>Sheet1!#ССЫЛКА!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3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67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Цивільні справи</c:v>
                </c:pt>
                <c:pt idx="1">
                  <c:v>Наказне провадження</c:v>
                </c:pt>
                <c:pt idx="2">
                  <c:v>Окреме провадження</c:v>
                </c:pt>
                <c:pt idx="3">
                  <c:v>Адмінпозови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144099584"/>
        <c:axId val="150577920"/>
        <c:axId val="0"/>
      </c:bar3DChart>
      <c:catAx>
        <c:axId val="144099584"/>
        <c:scaling>
          <c:orientation val="minMax"/>
        </c:scaling>
        <c:axPos val="b"/>
        <c:numFmt formatCode="General" sourceLinked="1"/>
        <c:tickLblPos val="low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50577920"/>
        <c:crosses val="autoZero"/>
        <c:auto val="1"/>
        <c:lblAlgn val="ctr"/>
        <c:lblOffset val="100"/>
        <c:tickLblSkip val="1"/>
        <c:tickMarkSkip val="1"/>
      </c:catAx>
      <c:valAx>
        <c:axId val="150577920"/>
        <c:scaling>
          <c:orientation val="minMax"/>
        </c:scaling>
        <c:axPos val="l"/>
        <c:majorGridlines>
          <c:spPr>
            <a:ln w="316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4099584"/>
        <c:crosses val="autoZero"/>
        <c:crossBetween val="between"/>
      </c:valAx>
      <c:spPr>
        <a:noFill/>
        <a:ln w="25343">
          <a:noFill/>
        </a:ln>
      </c:spPr>
    </c:plotArea>
    <c:legend>
      <c:legendPos val="r"/>
      <c:layout>
        <c:manualLayout>
          <c:xMode val="edge"/>
          <c:yMode val="edge"/>
          <c:x val="0.83280429511232923"/>
          <c:y val="0.29255319148936182"/>
          <c:w val="0.16129596648821345"/>
          <c:h val="0.40957446808510728"/>
        </c:manualLayout>
      </c:layout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75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2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1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4247787610619468E-2"/>
          <c:y val="2.6595744680851092E-2"/>
          <c:w val="0.84808259587020463"/>
          <c:h val="0.75531914893617025"/>
        </c:manualLayout>
      </c:layout>
      <c:bar3DChart>
        <c:barDir val="col"/>
        <c:grouping val="clustered"/>
        <c:ser>
          <c:idx val="1"/>
          <c:order val="0"/>
          <c:tx>
            <c:strRef>
              <c:f>Sheet1!$A$3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993366"/>
            </a:solidFill>
            <a:ln w="1267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Цивільні справи</c:v>
                </c:pt>
                <c:pt idx="1">
                  <c:v>Наказне провадження</c:v>
                </c:pt>
                <c:pt idx="2">
                  <c:v>Окреме провадження</c:v>
                </c:pt>
                <c:pt idx="3">
                  <c:v>Адмінпозови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2560</c:v>
                </c:pt>
                <c:pt idx="1">
                  <c:v>1615</c:v>
                </c:pt>
                <c:pt idx="2">
                  <c:v>160</c:v>
                </c:pt>
                <c:pt idx="3">
                  <c:v>23</c:v>
                </c:pt>
              </c:numCache>
            </c:numRef>
          </c:val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FFCC"/>
            </a:solidFill>
            <a:ln w="1267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Цивільні справи</c:v>
                </c:pt>
                <c:pt idx="1">
                  <c:v>Наказне провадження</c:v>
                </c:pt>
                <c:pt idx="2">
                  <c:v>Окреме провадження</c:v>
                </c:pt>
                <c:pt idx="3">
                  <c:v>Адмінпозови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1816</c:v>
                </c:pt>
                <c:pt idx="1">
                  <c:v>4633</c:v>
                </c:pt>
                <c:pt idx="2">
                  <c:v>122</c:v>
                </c:pt>
                <c:pt idx="3">
                  <c:v>35</c:v>
                </c:pt>
              </c:numCache>
            </c:numRef>
          </c:val>
        </c:ser>
        <c:ser>
          <c:idx val="3"/>
          <c:order val="2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67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Цивільні справи</c:v>
                </c:pt>
                <c:pt idx="1">
                  <c:v>Наказне провадження</c:v>
                </c:pt>
                <c:pt idx="2">
                  <c:v>Окреме провадження</c:v>
                </c:pt>
                <c:pt idx="3">
                  <c:v>Адмінпозови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</c:numCache>
            </c:numRef>
          </c:val>
        </c:ser>
        <c:ser>
          <c:idx val="4"/>
          <c:order val="3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2672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Цивільні справи</c:v>
                </c:pt>
                <c:pt idx="1">
                  <c:v>Наказне провадження</c:v>
                </c:pt>
                <c:pt idx="2">
                  <c:v>Окреме провадження</c:v>
                </c:pt>
                <c:pt idx="3">
                  <c:v>Адмінпозови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</c:numCache>
            </c:numRef>
          </c:val>
        </c:ser>
        <c:gapDepth val="0"/>
        <c:shape val="box"/>
        <c:axId val="138270208"/>
        <c:axId val="142632832"/>
        <c:axId val="0"/>
      </c:bar3DChart>
      <c:catAx>
        <c:axId val="138270208"/>
        <c:scaling>
          <c:orientation val="minMax"/>
        </c:scaling>
        <c:axPos val="b"/>
        <c:numFmt formatCode="General" sourceLinked="1"/>
        <c:tickLblPos val="low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42632832"/>
        <c:crosses val="autoZero"/>
        <c:auto val="1"/>
        <c:lblAlgn val="ctr"/>
        <c:lblOffset val="100"/>
        <c:tickLblSkip val="1"/>
        <c:tickMarkSkip val="1"/>
      </c:catAx>
      <c:valAx>
        <c:axId val="142632832"/>
        <c:scaling>
          <c:orientation val="minMax"/>
        </c:scaling>
        <c:axPos val="l"/>
        <c:majorGridlines>
          <c:spPr>
            <a:ln w="316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8270208"/>
        <c:crosses val="autoZero"/>
        <c:crossBetween val="between"/>
      </c:valAx>
      <c:spPr>
        <a:noFill/>
        <a:ln w="25343">
          <a:noFill/>
        </a:ln>
      </c:spPr>
    </c:plotArea>
    <c:legend>
      <c:legendPos val="r"/>
      <c:layout>
        <c:manualLayout>
          <c:xMode val="edge"/>
          <c:yMode val="edge"/>
          <c:x val="0.83280429511232923"/>
          <c:y val="0.29255319148936182"/>
          <c:w val="0.16129596648821345"/>
          <c:h val="0.40957446808510717"/>
        </c:manualLayout>
      </c:layout>
      <c:spPr>
        <a:noFill/>
        <a:ln w="3168">
          <a:solidFill>
            <a:srgbClr val="000000"/>
          </a:solidFill>
          <a:prstDash val="solid"/>
        </a:ln>
      </c:spPr>
      <c:txPr>
        <a:bodyPr/>
        <a:lstStyle/>
        <a:p>
          <a:pPr>
            <a:defRPr sz="75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2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1699D-AFE6-42D5-9D7F-CE2819BE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619-5</dc:creator>
  <cp:lastModifiedBy>User</cp:lastModifiedBy>
  <cp:revision>11</cp:revision>
  <cp:lastPrinted>2026-01-16T10:35:00Z</cp:lastPrinted>
  <dcterms:created xsi:type="dcterms:W3CDTF">2026-01-09T09:39:00Z</dcterms:created>
  <dcterms:modified xsi:type="dcterms:W3CDTF">2026-01-19T13:47:00Z</dcterms:modified>
</cp:coreProperties>
</file>