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D04" w:rsidRDefault="005C4D04" w:rsidP="005C4D04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Опис вакансії</w:t>
      </w:r>
    </w:p>
    <w:p w:rsidR="005C4D04" w:rsidRPr="00034F20" w:rsidRDefault="005C4D04" w:rsidP="005C4D04">
      <w:pPr>
        <w:shd w:val="clear" w:color="auto" w:fill="FFFFFF"/>
        <w:ind w:left="448" w:right="448"/>
        <w:jc w:val="center"/>
        <w:rPr>
          <w:color w:val="000000"/>
          <w:sz w:val="28"/>
          <w:szCs w:val="28"/>
          <w:lang w:val="uk-UA"/>
        </w:rPr>
      </w:pPr>
      <w:r w:rsidRPr="00034F20">
        <w:rPr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"/>
        <w:gridCol w:w="2768"/>
        <w:gridCol w:w="6324"/>
      </w:tblGrid>
      <w:tr w:rsidR="005C4D04" w:rsidRPr="00556C0B" w:rsidTr="00350DC5">
        <w:trPr>
          <w:trHeight w:val="1017"/>
        </w:trPr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C335D8" w:rsidRDefault="005C4D04" w:rsidP="00350DC5">
            <w:pPr>
              <w:spacing w:after="150"/>
              <w:ind w:left="142"/>
              <w:rPr>
                <w:lang w:val="uk-UA"/>
              </w:rPr>
            </w:pPr>
            <w:bookmarkStart w:id="0" w:name="n766"/>
            <w:bookmarkEnd w:id="0"/>
            <w:r w:rsidRPr="00C335D8">
              <w:rPr>
                <w:lang w:val="uk-UA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556C0B" w:rsidRDefault="005C4D04" w:rsidP="00350DC5">
            <w:pPr>
              <w:shd w:val="clear" w:color="auto" w:fill="FFFFFF"/>
              <w:ind w:left="103" w:right="450"/>
              <w:jc w:val="both"/>
              <w:rPr>
                <w:iCs/>
                <w:color w:val="000000"/>
                <w:lang w:val="uk-UA"/>
              </w:rPr>
            </w:pPr>
            <w:r>
              <w:rPr>
                <w:bCs/>
                <w:noProof/>
                <w:lang w:val="uk-UA"/>
              </w:rPr>
              <w:t>Судовий розпорядник Бережанського районного суду Тернопільської області</w:t>
            </w:r>
            <w:r w:rsidRPr="00556C0B">
              <w:rPr>
                <w:iCs/>
                <w:color w:val="000000"/>
                <w:lang w:val="uk-UA"/>
              </w:rPr>
              <w:t xml:space="preserve">, посада державної служби </w:t>
            </w:r>
            <w:r>
              <w:rPr>
                <w:bCs/>
                <w:noProof/>
                <w:lang w:val="uk-UA"/>
              </w:rPr>
              <w:t>категорії  «В»</w:t>
            </w:r>
            <w:r w:rsidRPr="00556C0B">
              <w:rPr>
                <w:bCs/>
                <w:noProof/>
                <w:lang w:val="uk-UA"/>
              </w:rPr>
              <w:t>.</w:t>
            </w:r>
          </w:p>
        </w:tc>
      </w:tr>
      <w:tr w:rsidR="005C4D04" w:rsidRPr="00BF18AB" w:rsidTr="00350DC5">
        <w:trPr>
          <w:trHeight w:val="605"/>
        </w:trPr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after="150"/>
              <w:ind w:left="142"/>
              <w:rPr>
                <w:lang w:val="uk-UA"/>
              </w:rPr>
            </w:pPr>
            <w:r w:rsidRPr="00034F20">
              <w:rPr>
                <w:lang w:val="uk-UA"/>
              </w:rPr>
              <w:t>Посадові обов’язки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90119F" w:rsidRDefault="005C4D04" w:rsidP="00350DC5">
            <w:pPr>
              <w:jc w:val="both"/>
            </w:pPr>
            <w:r w:rsidRPr="00EC24BA">
              <w:rPr>
                <w:color w:val="000000"/>
              </w:rPr>
              <w:t xml:space="preserve">1) </w:t>
            </w:r>
            <w:proofErr w:type="spellStart"/>
            <w:r w:rsidRPr="0090119F">
              <w:t>Здійснення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заходів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щодо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створення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належних</w:t>
            </w:r>
            <w:proofErr w:type="spellEnd"/>
            <w:r w:rsidRPr="0090119F">
              <w:t xml:space="preserve"> умов для </w:t>
            </w:r>
            <w:proofErr w:type="spellStart"/>
            <w:r w:rsidRPr="0090119F">
              <w:t>проведення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>:</w:t>
            </w:r>
          </w:p>
          <w:p w:rsidR="005C4D04" w:rsidRPr="0090119F" w:rsidRDefault="005C4D04" w:rsidP="00350DC5">
            <w:pPr>
              <w:jc w:val="both"/>
            </w:pPr>
            <w:r w:rsidRPr="0090119F">
              <w:t xml:space="preserve">- </w:t>
            </w:r>
            <w:proofErr w:type="spellStart"/>
            <w:r w:rsidRPr="0090119F">
              <w:t>здійснення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перевірки</w:t>
            </w:r>
            <w:proofErr w:type="spellEnd"/>
            <w:r w:rsidRPr="0090119F">
              <w:t xml:space="preserve"> та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готовності</w:t>
            </w:r>
            <w:proofErr w:type="spellEnd"/>
            <w:r w:rsidRPr="0090119F">
              <w:t xml:space="preserve"> залу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чи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приміщення</w:t>
            </w:r>
            <w:proofErr w:type="spellEnd"/>
            <w:r w:rsidRPr="0090119F">
              <w:t xml:space="preserve">, в </w:t>
            </w:r>
            <w:proofErr w:type="spellStart"/>
            <w:r w:rsidRPr="0090119F">
              <w:t>якому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планується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проведення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виїзного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, до </w:t>
            </w:r>
            <w:proofErr w:type="spellStart"/>
            <w:r w:rsidRPr="0090119F">
              <w:t>слухання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справи</w:t>
            </w:r>
            <w:proofErr w:type="spellEnd"/>
            <w:r w:rsidRPr="0090119F">
              <w:t>;</w:t>
            </w:r>
          </w:p>
          <w:p w:rsidR="005C4D04" w:rsidRPr="0090119F" w:rsidRDefault="005C4D04" w:rsidP="00350DC5">
            <w:pPr>
              <w:jc w:val="both"/>
            </w:pPr>
            <w:r w:rsidRPr="0090119F">
              <w:t xml:space="preserve">- </w:t>
            </w:r>
            <w:proofErr w:type="spellStart"/>
            <w:r w:rsidRPr="0090119F">
              <w:t>визначення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можливої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кількісті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осіб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що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можуть</w:t>
            </w:r>
            <w:proofErr w:type="spellEnd"/>
            <w:r w:rsidRPr="0090119F">
              <w:t xml:space="preserve"> бути </w:t>
            </w:r>
            <w:proofErr w:type="spellStart"/>
            <w:r w:rsidRPr="0090119F">
              <w:t>присутні</w:t>
            </w:r>
            <w:proofErr w:type="spellEnd"/>
            <w:r w:rsidRPr="0090119F">
              <w:t xml:space="preserve"> в </w:t>
            </w:r>
            <w:proofErr w:type="spellStart"/>
            <w:r w:rsidRPr="0090119F">
              <w:t>залі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, та </w:t>
            </w:r>
            <w:proofErr w:type="spellStart"/>
            <w:r w:rsidRPr="0090119F">
              <w:t>визначення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конкретних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місць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їх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розміщення</w:t>
            </w:r>
            <w:proofErr w:type="spellEnd"/>
            <w:r w:rsidRPr="0090119F">
              <w:t xml:space="preserve">, з </w:t>
            </w:r>
            <w:proofErr w:type="spellStart"/>
            <w:r w:rsidRPr="0090119F">
              <w:t>урахуванням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кількості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місць</w:t>
            </w:r>
            <w:proofErr w:type="spellEnd"/>
            <w:r w:rsidRPr="0090119F">
              <w:t xml:space="preserve"> та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порядку </w:t>
            </w:r>
            <w:proofErr w:type="spellStart"/>
            <w:r w:rsidRPr="0090119F">
              <w:t>під</w:t>
            </w:r>
            <w:proofErr w:type="spellEnd"/>
            <w:r w:rsidRPr="0090119F">
              <w:t xml:space="preserve"> час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; </w:t>
            </w:r>
          </w:p>
          <w:p w:rsidR="005C4D04" w:rsidRPr="0003396E" w:rsidRDefault="005C4D04" w:rsidP="00350DC5">
            <w:pPr>
              <w:jc w:val="both"/>
              <w:rPr>
                <w:lang w:val="uk-UA"/>
              </w:rPr>
            </w:pPr>
            <w:r w:rsidRPr="0090119F">
              <w:t xml:space="preserve">-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виконання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учасниками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процесу</w:t>
            </w:r>
            <w:proofErr w:type="spellEnd"/>
            <w:r w:rsidRPr="0090119F">
              <w:t xml:space="preserve"> та особами, </w:t>
            </w:r>
            <w:proofErr w:type="spellStart"/>
            <w:r w:rsidRPr="0090119F">
              <w:t>які</w:t>
            </w:r>
            <w:proofErr w:type="spellEnd"/>
            <w:r w:rsidRPr="0090119F">
              <w:t xml:space="preserve"> є в </w:t>
            </w:r>
            <w:proofErr w:type="spellStart"/>
            <w:r w:rsidRPr="0090119F">
              <w:t>залі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засі</w:t>
            </w:r>
            <w:r>
              <w:t>дання</w:t>
            </w:r>
            <w:proofErr w:type="spellEnd"/>
            <w:r>
              <w:t xml:space="preserve">, </w:t>
            </w:r>
            <w:proofErr w:type="spellStart"/>
            <w:r>
              <w:t>розпоряджень</w:t>
            </w:r>
            <w:proofErr w:type="spellEnd"/>
            <w:r>
              <w:t xml:space="preserve"> </w:t>
            </w:r>
            <w:proofErr w:type="spellStart"/>
            <w:r>
              <w:t>головуючого</w:t>
            </w:r>
            <w:proofErr w:type="spellEnd"/>
            <w:r>
              <w:rPr>
                <w:lang w:val="uk-UA"/>
              </w:rPr>
              <w:t>;</w:t>
            </w:r>
          </w:p>
          <w:p w:rsidR="005C4D04" w:rsidRPr="0090119F" w:rsidRDefault="005C4D04" w:rsidP="00350DC5">
            <w:pPr>
              <w:jc w:val="both"/>
            </w:pPr>
            <w:r w:rsidRPr="00EC24BA">
              <w:rPr>
                <w:color w:val="000000"/>
                <w:lang w:val="uk-UA"/>
              </w:rPr>
              <w:t>2)</w:t>
            </w:r>
            <w:r w:rsidRPr="00EC24BA">
              <w:rPr>
                <w:color w:val="000000"/>
              </w:rPr>
              <w:t xml:space="preserve">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додержання</w:t>
            </w:r>
            <w:proofErr w:type="spellEnd"/>
            <w:r w:rsidRPr="0090119F">
              <w:t xml:space="preserve"> особами, </w:t>
            </w:r>
            <w:proofErr w:type="spellStart"/>
            <w:r w:rsidRPr="0090119F">
              <w:t>які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перебувають</w:t>
            </w:r>
            <w:proofErr w:type="spellEnd"/>
            <w:r w:rsidRPr="0090119F">
              <w:t xml:space="preserve"> у </w:t>
            </w:r>
            <w:proofErr w:type="spellStart"/>
            <w:r w:rsidRPr="0090119F">
              <w:t>суді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встановлених</w:t>
            </w:r>
            <w:proofErr w:type="spellEnd"/>
            <w:r w:rsidRPr="0090119F">
              <w:t xml:space="preserve"> правил та </w:t>
            </w:r>
            <w:proofErr w:type="spellStart"/>
            <w:r w:rsidRPr="0090119F">
              <w:t>виконання</w:t>
            </w:r>
            <w:proofErr w:type="spellEnd"/>
            <w:r w:rsidRPr="0090119F">
              <w:t xml:space="preserve"> ними </w:t>
            </w:r>
            <w:proofErr w:type="spellStart"/>
            <w:r w:rsidRPr="0090119F">
              <w:t>розпоряджень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головуючого</w:t>
            </w:r>
            <w:proofErr w:type="spellEnd"/>
            <w:r w:rsidRPr="0090119F">
              <w:t xml:space="preserve"> в судовому </w:t>
            </w:r>
            <w:proofErr w:type="spellStart"/>
            <w:r w:rsidRPr="0090119F">
              <w:t>засіданні</w:t>
            </w:r>
            <w:proofErr w:type="spellEnd"/>
            <w:r w:rsidRPr="0090119F">
              <w:t>:</w:t>
            </w:r>
          </w:p>
          <w:p w:rsidR="005C4D04" w:rsidRPr="0090119F" w:rsidRDefault="005C4D04" w:rsidP="00350DC5">
            <w:pPr>
              <w:jc w:val="both"/>
            </w:pPr>
            <w:r w:rsidRPr="0090119F">
              <w:t xml:space="preserve">- </w:t>
            </w:r>
            <w:proofErr w:type="spellStart"/>
            <w:r w:rsidRPr="0090119F">
              <w:t>оголошення</w:t>
            </w:r>
            <w:proofErr w:type="spellEnd"/>
            <w:r w:rsidRPr="0090119F">
              <w:t xml:space="preserve"> про </w:t>
            </w:r>
            <w:proofErr w:type="spellStart"/>
            <w:r w:rsidRPr="0090119F">
              <w:t>вхід</w:t>
            </w:r>
            <w:proofErr w:type="spellEnd"/>
            <w:r w:rsidRPr="0090119F">
              <w:t xml:space="preserve"> і </w:t>
            </w:r>
            <w:proofErr w:type="spellStart"/>
            <w:r w:rsidRPr="0090119F">
              <w:t>вихід</w:t>
            </w:r>
            <w:proofErr w:type="spellEnd"/>
            <w:r w:rsidRPr="0090119F">
              <w:t xml:space="preserve"> суду та </w:t>
            </w:r>
            <w:proofErr w:type="spellStart"/>
            <w:r w:rsidRPr="0090119F">
              <w:t>пропонує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всім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присутнім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встати</w:t>
            </w:r>
            <w:proofErr w:type="spellEnd"/>
            <w:r w:rsidRPr="0090119F">
              <w:t>;</w:t>
            </w:r>
          </w:p>
          <w:p w:rsidR="005C4D04" w:rsidRPr="0090119F" w:rsidRDefault="005C4D04" w:rsidP="00350DC5">
            <w:pPr>
              <w:jc w:val="both"/>
            </w:pPr>
            <w:r w:rsidRPr="0090119F">
              <w:t xml:space="preserve">- </w:t>
            </w:r>
            <w:proofErr w:type="spellStart"/>
            <w:r w:rsidRPr="0090119F">
              <w:t>запрошення</w:t>
            </w:r>
            <w:proofErr w:type="spellEnd"/>
            <w:r w:rsidRPr="0090119F">
              <w:t xml:space="preserve"> за </w:t>
            </w:r>
            <w:proofErr w:type="spellStart"/>
            <w:r w:rsidRPr="0090119F">
              <w:t>розпорядженням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головуючого</w:t>
            </w:r>
            <w:proofErr w:type="spellEnd"/>
            <w:r w:rsidRPr="0090119F">
              <w:t xml:space="preserve">, </w:t>
            </w:r>
            <w:proofErr w:type="gramStart"/>
            <w:r w:rsidRPr="0090119F">
              <w:t>до залу</w:t>
            </w:r>
            <w:proofErr w:type="gram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свідків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експертів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перекладачів</w:t>
            </w:r>
            <w:proofErr w:type="spellEnd"/>
            <w:r w:rsidRPr="0090119F">
              <w:t xml:space="preserve"> та </w:t>
            </w:r>
            <w:proofErr w:type="spellStart"/>
            <w:r w:rsidRPr="0090119F">
              <w:t>інших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учасників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процесу</w:t>
            </w:r>
            <w:proofErr w:type="spellEnd"/>
            <w:r w:rsidRPr="0090119F">
              <w:t xml:space="preserve">; </w:t>
            </w:r>
          </w:p>
          <w:p w:rsidR="005C4D04" w:rsidRPr="0090119F" w:rsidRDefault="005C4D04" w:rsidP="00350DC5">
            <w:pPr>
              <w:jc w:val="both"/>
            </w:pPr>
            <w:r w:rsidRPr="0090119F">
              <w:t xml:space="preserve">- </w:t>
            </w:r>
            <w:proofErr w:type="spellStart"/>
            <w:r w:rsidRPr="0090119F">
              <w:t>виконання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розпорядження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головуючого</w:t>
            </w:r>
            <w:proofErr w:type="spellEnd"/>
            <w:r w:rsidRPr="0090119F">
              <w:t xml:space="preserve"> про </w:t>
            </w:r>
            <w:proofErr w:type="spellStart"/>
            <w:r w:rsidRPr="0090119F">
              <w:t>приведення</w:t>
            </w:r>
            <w:proofErr w:type="spellEnd"/>
            <w:r w:rsidRPr="0090119F">
              <w:t xml:space="preserve"> до присяги </w:t>
            </w:r>
            <w:proofErr w:type="spellStart"/>
            <w:r w:rsidRPr="0090119F">
              <w:t>перекладача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експерта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відповідно</w:t>
            </w:r>
            <w:proofErr w:type="spellEnd"/>
            <w:r w:rsidRPr="0090119F">
              <w:t xml:space="preserve"> до </w:t>
            </w:r>
            <w:proofErr w:type="spellStart"/>
            <w:r w:rsidRPr="0090119F">
              <w:t>законодавства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запрошення</w:t>
            </w:r>
            <w:proofErr w:type="spellEnd"/>
            <w:r w:rsidRPr="0090119F">
              <w:t xml:space="preserve"> </w:t>
            </w:r>
            <w:proofErr w:type="gramStart"/>
            <w:r w:rsidRPr="0090119F">
              <w:t>до залу</w:t>
            </w:r>
            <w:proofErr w:type="gram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свідків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приведення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їх</w:t>
            </w:r>
            <w:proofErr w:type="spellEnd"/>
            <w:r w:rsidRPr="0090119F">
              <w:t xml:space="preserve"> до присяги;</w:t>
            </w:r>
          </w:p>
          <w:p w:rsidR="005C4D04" w:rsidRPr="0090119F" w:rsidRDefault="005C4D04" w:rsidP="00350DC5">
            <w:pPr>
              <w:jc w:val="both"/>
            </w:pPr>
            <w: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заходів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щодо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видалення</w:t>
            </w:r>
            <w:proofErr w:type="spellEnd"/>
            <w:r w:rsidRPr="0090119F">
              <w:t xml:space="preserve">, за </w:t>
            </w:r>
            <w:proofErr w:type="spellStart"/>
            <w:r w:rsidRPr="0090119F">
              <w:t>розпорядженням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головуючого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із</w:t>
            </w:r>
            <w:proofErr w:type="spellEnd"/>
            <w:r w:rsidRPr="0090119F">
              <w:t xml:space="preserve"> залу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осіб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які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проявляють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неповагу</w:t>
            </w:r>
            <w:proofErr w:type="spellEnd"/>
            <w:r w:rsidRPr="0090119F">
              <w:t xml:space="preserve"> </w:t>
            </w:r>
            <w:proofErr w:type="gramStart"/>
            <w:r w:rsidRPr="0090119F">
              <w:t>до суду</w:t>
            </w:r>
            <w:proofErr w:type="gramEnd"/>
            <w:r w:rsidRPr="0090119F">
              <w:t xml:space="preserve"> </w:t>
            </w:r>
            <w:proofErr w:type="spellStart"/>
            <w:r w:rsidRPr="0090119F">
              <w:t>або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порушують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громадський</w:t>
            </w:r>
            <w:proofErr w:type="spellEnd"/>
            <w:r w:rsidRPr="0090119F">
              <w:t xml:space="preserve"> порядок; </w:t>
            </w:r>
          </w:p>
          <w:p w:rsidR="005C4D04" w:rsidRPr="0090119F" w:rsidRDefault="005C4D04" w:rsidP="00350DC5">
            <w:pPr>
              <w:jc w:val="both"/>
            </w:pPr>
            <w:r w:rsidRPr="0090119F">
              <w:t xml:space="preserve">- </w:t>
            </w:r>
            <w:proofErr w:type="spellStart"/>
            <w:r w:rsidRPr="0090119F">
              <w:t>р</w:t>
            </w:r>
            <w:r w:rsidRPr="0090119F">
              <w:rPr>
                <w:rStyle w:val="rvts0"/>
              </w:rPr>
              <w:t>озд</w:t>
            </w:r>
            <w:r w:rsidRPr="0090119F">
              <w:t>ає</w:t>
            </w:r>
            <w:proofErr w:type="spellEnd"/>
            <w:r w:rsidRPr="0090119F">
              <w:t xml:space="preserve"> особам, </w:t>
            </w:r>
            <w:proofErr w:type="spellStart"/>
            <w:r w:rsidRPr="0090119F">
              <w:t>які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беруть</w:t>
            </w:r>
            <w:proofErr w:type="spellEnd"/>
            <w:r w:rsidRPr="0090119F">
              <w:t xml:space="preserve"> участь у судовому </w:t>
            </w:r>
            <w:proofErr w:type="spellStart"/>
            <w:r w:rsidRPr="0090119F">
              <w:t>розгляді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пам'ятку</w:t>
            </w:r>
            <w:proofErr w:type="spellEnd"/>
            <w:r w:rsidRPr="0090119F">
              <w:t xml:space="preserve"> про </w:t>
            </w:r>
            <w:proofErr w:type="spellStart"/>
            <w:r w:rsidRPr="0090119F">
              <w:t>їхні</w:t>
            </w:r>
            <w:proofErr w:type="spellEnd"/>
            <w:r w:rsidRPr="0090119F">
              <w:t xml:space="preserve"> права та </w:t>
            </w:r>
            <w:proofErr w:type="spellStart"/>
            <w:r w:rsidRPr="0090119F">
              <w:t>обов'язки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передбачені</w:t>
            </w:r>
            <w:proofErr w:type="spellEnd"/>
            <w:r w:rsidRPr="0090119F">
              <w:t xml:space="preserve"> КПК;</w:t>
            </w:r>
          </w:p>
          <w:p w:rsidR="005C4D04" w:rsidRPr="0003396E" w:rsidRDefault="005C4D04" w:rsidP="00350DC5">
            <w:pPr>
              <w:ind w:left="48" w:right="142"/>
              <w:jc w:val="both"/>
              <w:rPr>
                <w:color w:val="000000"/>
                <w:lang w:val="uk-UA"/>
              </w:rPr>
            </w:pPr>
            <w:r w:rsidRPr="0090119F">
              <w:t xml:space="preserve">- за </w:t>
            </w:r>
            <w:proofErr w:type="spellStart"/>
            <w:r w:rsidRPr="0090119F">
              <w:t>вказівкою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головуючого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під</w:t>
            </w:r>
            <w:proofErr w:type="spellEnd"/>
            <w:r w:rsidRPr="0090119F">
              <w:t xml:space="preserve"> час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отримання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від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учасників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процесу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документів</w:t>
            </w:r>
            <w:proofErr w:type="spellEnd"/>
            <w:r w:rsidRPr="0090119F">
              <w:t xml:space="preserve"> та </w:t>
            </w:r>
            <w:proofErr w:type="spellStart"/>
            <w:r w:rsidRPr="0090119F">
              <w:t>інших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матеріалів</w:t>
            </w:r>
            <w:proofErr w:type="spellEnd"/>
            <w:r w:rsidRPr="0090119F">
              <w:t xml:space="preserve">.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доставки до </w:t>
            </w:r>
            <w:proofErr w:type="spellStart"/>
            <w:r w:rsidRPr="0090119F">
              <w:t>місця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проведення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справи</w:t>
            </w:r>
            <w:proofErr w:type="spellEnd"/>
            <w:r w:rsidRPr="0090119F">
              <w:t xml:space="preserve"> та </w:t>
            </w:r>
            <w:proofErr w:type="spellStart"/>
            <w:r w:rsidRPr="0090119F">
              <w:t>речових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доказів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їх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збереження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під</w:t>
            </w:r>
            <w:proofErr w:type="spellEnd"/>
            <w:r w:rsidRPr="0090119F">
              <w:t xml:space="preserve"> час </w:t>
            </w:r>
            <w:proofErr w:type="spellStart"/>
            <w:r w:rsidRPr="0090119F">
              <w:t>розгляду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справи</w:t>
            </w:r>
            <w:proofErr w:type="spellEnd"/>
            <w:r w:rsidRPr="0090119F">
              <w:t xml:space="preserve"> та</w:t>
            </w:r>
            <w:r>
              <w:t xml:space="preserve"> </w:t>
            </w:r>
            <w:proofErr w:type="spellStart"/>
            <w:r>
              <w:t>повернення</w:t>
            </w:r>
            <w:proofErr w:type="spellEnd"/>
            <w:r>
              <w:t xml:space="preserve"> до </w:t>
            </w:r>
            <w:proofErr w:type="spellStart"/>
            <w:r>
              <w:t>канцелярії</w:t>
            </w:r>
            <w:proofErr w:type="spellEnd"/>
            <w:r>
              <w:t xml:space="preserve"> суду</w:t>
            </w:r>
            <w:r>
              <w:rPr>
                <w:lang w:val="uk-UA"/>
              </w:rPr>
              <w:t>;</w:t>
            </w:r>
          </w:p>
          <w:p w:rsidR="005C4D04" w:rsidRDefault="005C4D04" w:rsidP="00350DC5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03396E">
              <w:rPr>
                <w:color w:val="000000"/>
                <w:lang w:val="uk-UA"/>
              </w:rPr>
              <w:t xml:space="preserve"> </w:t>
            </w:r>
            <w:r w:rsidRPr="00EC24BA">
              <w:rPr>
                <w:color w:val="000000"/>
                <w:lang w:val="uk-UA"/>
              </w:rPr>
              <w:t>3)</w:t>
            </w:r>
            <w:r w:rsidRPr="0003396E">
              <w:rPr>
                <w:color w:val="000000"/>
                <w:lang w:val="uk-UA"/>
              </w:rPr>
              <w:t xml:space="preserve"> </w:t>
            </w:r>
            <w:r w:rsidRPr="0003396E">
              <w:rPr>
                <w:lang w:val="uk-UA"/>
              </w:rPr>
              <w:t>Здійснення взаємодії із службою судової охорони</w:t>
            </w:r>
            <w:r w:rsidRPr="0003396E">
              <w:rPr>
                <w:color w:val="FF0000"/>
                <w:lang w:val="uk-UA"/>
              </w:rPr>
              <w:t xml:space="preserve"> </w:t>
            </w:r>
            <w:r w:rsidRPr="0003396E">
              <w:rPr>
                <w:lang w:val="uk-UA"/>
              </w:rPr>
              <w:t>та органами поліції з питань спільних дій щодо підтримання громадського порядку в приміщенні су</w:t>
            </w:r>
            <w:r>
              <w:rPr>
                <w:lang w:val="uk-UA"/>
              </w:rPr>
              <w:t>ду та в залі судового засідання;</w:t>
            </w:r>
            <w:r w:rsidRPr="0003396E">
              <w:rPr>
                <w:color w:val="000000"/>
                <w:lang w:val="uk-UA"/>
              </w:rPr>
              <w:t xml:space="preserve"> </w:t>
            </w:r>
          </w:p>
          <w:p w:rsidR="005C4D04" w:rsidRPr="00156495" w:rsidRDefault="005C4D04" w:rsidP="00350DC5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  <w:lang w:val="uk-UA"/>
              </w:rPr>
              <w:t xml:space="preserve">4) </w:t>
            </w:r>
            <w:proofErr w:type="spellStart"/>
            <w:r w:rsidRPr="00693637">
              <w:t>Забезпечення</w:t>
            </w:r>
            <w:proofErr w:type="spellEnd"/>
            <w:r w:rsidRPr="00693637">
              <w:t xml:space="preserve"> </w:t>
            </w:r>
            <w:proofErr w:type="spellStart"/>
            <w:r w:rsidRPr="00693637">
              <w:t>координації</w:t>
            </w:r>
            <w:proofErr w:type="spellEnd"/>
            <w:r w:rsidRPr="00693637">
              <w:t xml:space="preserve"> </w:t>
            </w:r>
            <w:proofErr w:type="spellStart"/>
            <w:r w:rsidRPr="00693637">
              <w:t>діяльності</w:t>
            </w:r>
            <w:proofErr w:type="spellEnd"/>
            <w:r w:rsidRPr="00693637">
              <w:t xml:space="preserve"> </w:t>
            </w:r>
            <w:proofErr w:type="spellStart"/>
            <w:r w:rsidRPr="00693637">
              <w:t>щодо</w:t>
            </w:r>
            <w:proofErr w:type="spellEnd"/>
            <w:r w:rsidRPr="00693637">
              <w:t xml:space="preserve"> доставки в </w:t>
            </w:r>
            <w:proofErr w:type="spellStart"/>
            <w:r w:rsidRPr="00693637">
              <w:t>судове</w:t>
            </w:r>
            <w:proofErr w:type="spellEnd"/>
            <w:r w:rsidRPr="00693637">
              <w:t xml:space="preserve"> </w:t>
            </w:r>
            <w:proofErr w:type="spellStart"/>
            <w:r w:rsidRPr="00693637">
              <w:t>засідання</w:t>
            </w:r>
            <w:proofErr w:type="spellEnd"/>
            <w:r w:rsidRPr="00693637"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тримаються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</w:t>
            </w:r>
            <w:proofErr w:type="spellStart"/>
            <w:r>
              <w:t>вартою</w:t>
            </w:r>
            <w:proofErr w:type="spellEnd"/>
            <w:r>
              <w:rPr>
                <w:lang w:val="uk-UA"/>
              </w:rPr>
              <w:t>;</w:t>
            </w:r>
          </w:p>
          <w:p w:rsidR="005C4D04" w:rsidRPr="002505B4" w:rsidRDefault="005C4D04" w:rsidP="00350DC5">
            <w:pPr>
              <w:ind w:left="146" w:right="142"/>
              <w:jc w:val="both"/>
              <w:rPr>
                <w:color w:val="000000"/>
                <w:lang w:val="uk-UA"/>
              </w:rPr>
            </w:pPr>
            <w:r w:rsidRPr="00EC24BA">
              <w:rPr>
                <w:color w:val="000000"/>
                <w:lang w:val="uk-UA"/>
              </w:rPr>
              <w:t xml:space="preserve">5)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виконання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вимог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процесуального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законодавства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щодо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організації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проведення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закритого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та </w:t>
            </w:r>
            <w:proofErr w:type="spellStart"/>
            <w:r w:rsidRPr="0090119F">
              <w:t>вжиття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заходів</w:t>
            </w:r>
            <w:proofErr w:type="spellEnd"/>
            <w:r w:rsidRPr="0090119F">
              <w:t xml:space="preserve"> до </w:t>
            </w:r>
            <w:proofErr w:type="spellStart"/>
            <w:r w:rsidRPr="0090119F">
              <w:t>обмеження</w:t>
            </w:r>
            <w:proofErr w:type="spellEnd"/>
            <w:r w:rsidRPr="0090119F">
              <w:t xml:space="preserve"> входу до залу судового </w:t>
            </w:r>
            <w:proofErr w:type="spellStart"/>
            <w:r w:rsidRPr="0090119F">
              <w:t>засідання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сторонніх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осіб</w:t>
            </w:r>
            <w:proofErr w:type="spellEnd"/>
            <w:r w:rsidRPr="0090119F">
              <w:t xml:space="preserve">, </w:t>
            </w:r>
            <w:proofErr w:type="spellStart"/>
            <w:r w:rsidRPr="0090119F">
              <w:t>виключення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можливості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спілкування</w:t>
            </w:r>
            <w:proofErr w:type="spellEnd"/>
            <w:r w:rsidRPr="0090119F">
              <w:t xml:space="preserve"> </w:t>
            </w:r>
            <w:proofErr w:type="spellStart"/>
            <w:r>
              <w:t>свідків</w:t>
            </w:r>
            <w:proofErr w:type="spellEnd"/>
            <w:r>
              <w:t xml:space="preserve">, </w:t>
            </w:r>
            <w:proofErr w:type="spellStart"/>
            <w:r>
              <w:t>яких</w:t>
            </w:r>
            <w:proofErr w:type="spellEnd"/>
            <w:r>
              <w:t xml:space="preserve"> суд </w:t>
            </w:r>
            <w:proofErr w:type="spellStart"/>
            <w:r>
              <w:t>ще</w:t>
            </w:r>
            <w:proofErr w:type="spellEnd"/>
            <w:r>
              <w:t xml:space="preserve"> не </w:t>
            </w:r>
            <w:proofErr w:type="spellStart"/>
            <w:r>
              <w:t>допитав</w:t>
            </w:r>
            <w:proofErr w:type="spellEnd"/>
            <w:r>
              <w:rPr>
                <w:lang w:val="uk-UA"/>
              </w:rPr>
              <w:t>;</w:t>
            </w:r>
          </w:p>
          <w:p w:rsidR="005C4D04" w:rsidRDefault="005C4D04" w:rsidP="00350DC5">
            <w:pPr>
              <w:ind w:left="146" w:right="142"/>
              <w:jc w:val="both"/>
              <w:rPr>
                <w:lang w:val="uk-UA"/>
              </w:rPr>
            </w:pPr>
            <w:r w:rsidRPr="00EC24BA">
              <w:rPr>
                <w:color w:val="000000"/>
                <w:lang w:val="uk-UA"/>
              </w:rPr>
              <w:t xml:space="preserve">6) </w:t>
            </w:r>
            <w:r w:rsidRPr="0090119F">
              <w:rPr>
                <w:lang w:val="uk-UA"/>
              </w:rPr>
              <w:t>Організація, за розпорядженням головуючого, термінової доставки в установи та організації, а також фізичним особам листів, викликів, інших документів з метою забезпечення невідкладного розгляду справи з питань, що виникли в процесі її слухання</w:t>
            </w:r>
            <w:r>
              <w:rPr>
                <w:lang w:val="uk-UA"/>
              </w:rPr>
              <w:t>;</w:t>
            </w:r>
          </w:p>
          <w:p w:rsidR="005C4D04" w:rsidRDefault="005C4D04" w:rsidP="00350DC5">
            <w:pPr>
              <w:ind w:left="146" w:right="142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7)</w:t>
            </w:r>
            <w:r w:rsidRPr="0090119F">
              <w:t xml:space="preserve"> </w:t>
            </w:r>
            <w:proofErr w:type="spellStart"/>
            <w:r w:rsidRPr="0090119F">
              <w:t>Забезпечення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заходів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безпеки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щодо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недопущення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виведення</w:t>
            </w:r>
            <w:proofErr w:type="spellEnd"/>
            <w:r w:rsidRPr="0090119F">
              <w:t xml:space="preserve"> з ладу </w:t>
            </w:r>
            <w:proofErr w:type="spellStart"/>
            <w:r w:rsidRPr="0090119F">
              <w:t>засобів</w:t>
            </w:r>
            <w:proofErr w:type="spellEnd"/>
            <w:r w:rsidRPr="0090119F">
              <w:t xml:space="preserve"> </w:t>
            </w:r>
            <w:proofErr w:type="spellStart"/>
            <w:r w:rsidRPr="0090119F">
              <w:t>фіксування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процесу</w:t>
            </w:r>
            <w:proofErr w:type="spellEnd"/>
            <w:r w:rsidRPr="0090119F">
              <w:t xml:space="preserve"> особами, </w:t>
            </w:r>
            <w:proofErr w:type="spellStart"/>
            <w:r w:rsidRPr="0090119F">
              <w:t>присутніми</w:t>
            </w:r>
            <w:proofErr w:type="spellEnd"/>
            <w:r w:rsidRPr="0090119F">
              <w:t xml:space="preserve"> в </w:t>
            </w:r>
            <w:proofErr w:type="spellStart"/>
            <w:r w:rsidRPr="0090119F">
              <w:t>залі</w:t>
            </w:r>
            <w:proofErr w:type="spellEnd"/>
            <w:r w:rsidRPr="0090119F">
              <w:t xml:space="preserve"> судового </w:t>
            </w:r>
            <w:proofErr w:type="spellStart"/>
            <w:r w:rsidRPr="0090119F">
              <w:t>засідання</w:t>
            </w:r>
            <w:proofErr w:type="spellEnd"/>
            <w:r>
              <w:rPr>
                <w:lang w:val="uk-UA"/>
              </w:rPr>
              <w:t>;</w:t>
            </w:r>
          </w:p>
          <w:p w:rsidR="005C4D04" w:rsidRPr="007C665B" w:rsidRDefault="005C4D04" w:rsidP="00350DC5">
            <w:pPr>
              <w:ind w:left="146" w:right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8)</w:t>
            </w:r>
            <w:r w:rsidRPr="0090119F">
              <w:rPr>
                <w:lang w:val="uk-UA"/>
              </w:rPr>
              <w:t xml:space="preserve"> Повідомлення керівництв</w:t>
            </w:r>
            <w:r>
              <w:rPr>
                <w:lang w:val="uk-UA"/>
              </w:rPr>
              <w:t>а</w:t>
            </w:r>
            <w:r w:rsidRPr="0090119F">
              <w:rPr>
                <w:lang w:val="uk-UA"/>
              </w:rPr>
              <w:t xml:space="preserve"> суду при виникненні надзвичайних обставин (пожежа, виявлення вибухонебезпечних предметів, затоплення тощо) та організація виклику спеціальних служб.</w:t>
            </w:r>
          </w:p>
        </w:tc>
      </w:tr>
      <w:tr w:rsidR="005C4D04" w:rsidRPr="00556C0B" w:rsidTr="00350DC5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ind w:left="142"/>
              <w:rPr>
                <w:lang w:val="uk-UA"/>
              </w:rPr>
            </w:pPr>
            <w:r w:rsidRPr="00034F20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Default="005C4D04" w:rsidP="00350DC5">
            <w:pPr>
              <w:spacing w:before="150"/>
              <w:ind w:left="103" w:right="143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 Посадовий оклад 8591</w:t>
            </w:r>
            <w:r w:rsidRPr="00556C0B">
              <w:rPr>
                <w:lang w:val="uk-UA"/>
              </w:rPr>
              <w:t>,00</w:t>
            </w:r>
            <w:r w:rsidRPr="00556C0B">
              <w:rPr>
                <w:color w:val="000000"/>
                <w:lang w:val="uk-UA"/>
              </w:rPr>
              <w:t xml:space="preserve"> грн., відповідно до постанови  КМУ </w:t>
            </w:r>
            <w:r w:rsidRPr="00075F8D">
              <w:rPr>
                <w:rFonts w:cs="Tahoma"/>
                <w:lang w:val="uk-UA"/>
              </w:rPr>
              <w:t xml:space="preserve">«Питання оплати праці державних службовців на </w:t>
            </w:r>
            <w:r>
              <w:rPr>
                <w:rFonts w:cs="Tahoma"/>
                <w:lang w:val="uk-UA"/>
              </w:rPr>
              <w:t>основі класифікації посад у 2025</w:t>
            </w:r>
            <w:r w:rsidRPr="00075F8D">
              <w:rPr>
                <w:rFonts w:cs="Tahoma"/>
                <w:lang w:val="uk-UA"/>
              </w:rPr>
              <w:t xml:space="preserve"> році» від 29.12.2023 року № 1409</w:t>
            </w:r>
            <w:r w:rsidRPr="00556C0B">
              <w:rPr>
                <w:color w:val="000000"/>
                <w:lang w:val="uk-UA"/>
              </w:rPr>
              <w:t>.</w:t>
            </w:r>
          </w:p>
          <w:p w:rsidR="005C4D04" w:rsidRPr="00CB61BA" w:rsidRDefault="005C4D04" w:rsidP="00350DC5">
            <w:pPr>
              <w:spacing w:before="150"/>
              <w:ind w:left="103" w:right="143"/>
              <w:jc w:val="both"/>
              <w:rPr>
                <w:color w:val="000000"/>
                <w:lang w:val="uk-UA"/>
              </w:rPr>
            </w:pPr>
            <w:r w:rsidRPr="00556C0B">
              <w:rPr>
                <w:color w:val="000000"/>
                <w:lang w:val="uk-UA"/>
              </w:rPr>
              <w:t>2. Надбавки, доплати та премії, відповідно до статей 50, 52 Закону України «Про державну службу».</w:t>
            </w:r>
          </w:p>
        </w:tc>
      </w:tr>
      <w:tr w:rsidR="005C4D04" w:rsidRPr="00556C0B" w:rsidTr="00350DC5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ind w:left="142"/>
              <w:rPr>
                <w:lang w:val="uk-UA"/>
              </w:rPr>
            </w:pPr>
            <w:r w:rsidRPr="00034F20">
              <w:rPr>
                <w:lang w:val="uk-UA"/>
              </w:rPr>
              <w:t>Інформація про строковість призначення на посаду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556C0B" w:rsidRDefault="005C4D04" w:rsidP="00350DC5">
            <w:pPr>
              <w:spacing w:before="150" w:after="150"/>
              <w:ind w:left="103" w:right="143"/>
              <w:jc w:val="both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Строково на період дії воєнного стану, д</w:t>
            </w:r>
            <w:r w:rsidRPr="00556C0B">
              <w:rPr>
                <w:noProof/>
                <w:lang w:val="uk-UA"/>
              </w:rPr>
              <w:t>о призначення на цю посаду переможця конкурсу, або до спливу дванадцятимісячного строку з дня припинення чи скасування воєнного стану.</w:t>
            </w:r>
          </w:p>
        </w:tc>
      </w:tr>
      <w:tr w:rsidR="005C4D04" w:rsidRPr="00556C0B" w:rsidTr="00350DC5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ind w:left="142"/>
              <w:rPr>
                <w:lang w:val="uk-UA"/>
              </w:rPr>
            </w:pPr>
            <w:r w:rsidRPr="004E62E7">
              <w:rPr>
                <w:lang w:val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556C0B" w:rsidRDefault="005C4D04" w:rsidP="00350DC5">
            <w:pPr>
              <w:ind w:left="103" w:right="143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556C0B">
              <w:rPr>
                <w:color w:val="000000"/>
                <w:shd w:val="clear" w:color="auto" w:fill="FFFFFF"/>
                <w:lang w:val="uk-UA"/>
              </w:rPr>
              <w:t>1. Резюме</w:t>
            </w:r>
            <w:r w:rsidRPr="00556C0B">
              <w:t xml:space="preserve"> </w:t>
            </w:r>
            <w:r w:rsidRPr="00556C0B">
              <w:rPr>
                <w:color w:val="000000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</w:t>
            </w:r>
          </w:p>
          <w:p w:rsidR="005C4D04" w:rsidRDefault="005C4D04" w:rsidP="00350DC5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5C4D04" w:rsidRDefault="005C4D04" w:rsidP="00350DC5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val="uk-UA" w:eastAsia="en-US"/>
              </w:rPr>
              <w:t xml:space="preserve">3. Копію паспорта громадянина України. </w:t>
            </w:r>
          </w:p>
          <w:p w:rsidR="005C4D04" w:rsidRPr="009B7B09" w:rsidRDefault="005C4D04" w:rsidP="00350DC5">
            <w:pPr>
              <w:pStyle w:val="a4"/>
              <w:ind w:left="103" w:right="143" w:firstLine="10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034F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  <w:r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C4D04" w:rsidRPr="00982C29" w:rsidRDefault="00982C29" w:rsidP="00350DC5">
            <w:pPr>
              <w:ind w:left="103" w:right="143"/>
              <w:jc w:val="both"/>
              <w:rPr>
                <w:b/>
                <w:bCs/>
                <w:u w:val="single"/>
                <w:lang w:val="en-US"/>
              </w:rPr>
            </w:pPr>
            <w:proofErr w:type="spellStart"/>
            <w:r w:rsidRPr="00FA5A0B">
              <w:rPr>
                <w:color w:val="000000"/>
              </w:rPr>
              <w:t>Інформаці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прий</w:t>
            </w:r>
            <w:proofErr w:type="spellEnd"/>
            <w:r>
              <w:rPr>
                <w:color w:val="000000"/>
                <w:lang w:val="uk-UA"/>
              </w:rPr>
              <w:t>мається</w:t>
            </w:r>
            <w:r>
              <w:rPr>
                <w:color w:val="000000"/>
              </w:rPr>
              <w:t xml:space="preserve"> з </w:t>
            </w:r>
            <w:r w:rsidRPr="00ED1DD8">
              <w:rPr>
                <w:color w:val="000000"/>
              </w:rPr>
              <w:t>10</w:t>
            </w:r>
            <w:r w:rsidRPr="002B08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ED1DD8">
              <w:rPr>
                <w:color w:val="000000"/>
              </w:rPr>
              <w:t>31</w:t>
            </w:r>
            <w:r>
              <w:rPr>
                <w:color w:val="000000"/>
                <w:lang w:val="uk-UA"/>
              </w:rPr>
              <w:t xml:space="preserve"> березня</w:t>
            </w:r>
            <w:r w:rsidRPr="00FA5A0B">
              <w:rPr>
                <w:color w:val="000000"/>
              </w:rPr>
              <w:t xml:space="preserve"> 202</w:t>
            </w: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року </w:t>
            </w:r>
            <w:proofErr w:type="spellStart"/>
            <w:r>
              <w:rPr>
                <w:color w:val="000000"/>
              </w:rPr>
              <w:t>включно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вигляді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FA5A0B">
              <w:rPr>
                <w:color w:val="000000"/>
              </w:rPr>
              <w:t xml:space="preserve">за </w:t>
            </w:r>
            <w:proofErr w:type="spellStart"/>
            <w:r w:rsidRPr="00FA5A0B">
              <w:rPr>
                <w:color w:val="000000"/>
              </w:rPr>
              <w:t>адресою</w:t>
            </w:r>
            <w:proofErr w:type="spellEnd"/>
            <w:r w:rsidRPr="00FA5A0B">
              <w:rPr>
                <w:color w:val="000000"/>
              </w:rPr>
              <w:t xml:space="preserve">: </w:t>
            </w:r>
            <w:r>
              <w:rPr>
                <w:b/>
                <w:i/>
                <w:sz w:val="18"/>
              </w:rPr>
              <w:t xml:space="preserve"> </w:t>
            </w:r>
            <w:hyperlink r:id="rId4" w:history="1">
              <w:r w:rsidRPr="00A879EF">
                <w:rPr>
                  <w:rStyle w:val="a3"/>
                </w:rPr>
                <w:t>inbox@</w:t>
              </w:r>
              <w:r w:rsidRPr="00A879EF">
                <w:rPr>
                  <w:rStyle w:val="a3"/>
                  <w:lang w:val="en-US"/>
                </w:rPr>
                <w:t>bg</w:t>
              </w:r>
              <w:r w:rsidRPr="00A879EF">
                <w:rPr>
                  <w:rStyle w:val="a3"/>
                </w:rPr>
                <w:t>.te.court.</w:t>
              </w:r>
              <w:r w:rsidRPr="00A879EF">
                <w:rPr>
                  <w:rStyle w:val="a3"/>
                  <w:lang w:val="en-US"/>
                </w:rPr>
                <w:t>g</w:t>
              </w:r>
              <w:r w:rsidRPr="00A879EF">
                <w:rPr>
                  <w:rStyle w:val="a3"/>
                </w:rPr>
                <w:t>ov.ua</w:t>
              </w:r>
            </w:hyperlink>
            <w:r>
              <w:rPr>
                <w:lang w:val="en-US"/>
              </w:rPr>
              <w:t xml:space="preserve"> </w:t>
            </w:r>
            <w:bookmarkStart w:id="1" w:name="_GoBack"/>
            <w:bookmarkEnd w:id="1"/>
          </w:p>
        </w:tc>
      </w:tr>
      <w:tr w:rsidR="005C4D04" w:rsidRPr="00993AE6" w:rsidTr="00350DC5">
        <w:tc>
          <w:tcPr>
            <w:tcW w:w="32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ind w:left="142"/>
              <w:rPr>
                <w:lang w:val="uk-UA"/>
              </w:rPr>
            </w:pPr>
            <w:r w:rsidRPr="009B7B09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556C0B" w:rsidRDefault="005C4D04" w:rsidP="00350DC5">
            <w:pPr>
              <w:rPr>
                <w:iCs/>
                <w:lang w:val="uk-UA"/>
              </w:rPr>
            </w:pPr>
          </w:p>
          <w:p w:rsidR="005C4D04" w:rsidRPr="00556C0B" w:rsidRDefault="005C4D04" w:rsidP="00350DC5">
            <w:pPr>
              <w:ind w:left="103"/>
              <w:rPr>
                <w:iCs/>
                <w:lang w:val="uk-UA"/>
              </w:rPr>
            </w:pPr>
            <w:proofErr w:type="spellStart"/>
            <w:r>
              <w:rPr>
                <w:iCs/>
                <w:lang w:val="uk-UA"/>
              </w:rPr>
              <w:t>Скавінська</w:t>
            </w:r>
            <w:proofErr w:type="spellEnd"/>
            <w:r>
              <w:rPr>
                <w:iCs/>
                <w:lang w:val="uk-UA"/>
              </w:rPr>
              <w:t xml:space="preserve"> Галина Ігорівна</w:t>
            </w:r>
          </w:p>
          <w:p w:rsidR="005C4D04" w:rsidRPr="00556C0B" w:rsidRDefault="005C4D04" w:rsidP="00350DC5">
            <w:pPr>
              <w:ind w:left="103"/>
              <w:rPr>
                <w:iCs/>
                <w:lang w:val="uk-UA"/>
              </w:rPr>
            </w:pPr>
            <w:r w:rsidRPr="00556C0B">
              <w:rPr>
                <w:iCs/>
                <w:lang w:val="uk-UA"/>
              </w:rPr>
              <w:t>(03</w:t>
            </w:r>
            <w:r>
              <w:rPr>
                <w:iCs/>
                <w:lang w:val="uk-UA"/>
              </w:rPr>
              <w:t>548</w:t>
            </w:r>
            <w:r w:rsidRPr="00556C0B">
              <w:rPr>
                <w:iCs/>
                <w:lang w:val="uk-UA"/>
              </w:rPr>
              <w:t xml:space="preserve">) </w:t>
            </w:r>
            <w:r>
              <w:rPr>
                <w:iCs/>
                <w:lang w:val="uk-UA"/>
              </w:rPr>
              <w:t>2-36-96</w:t>
            </w:r>
          </w:p>
          <w:p w:rsidR="005C4D04" w:rsidRPr="00205C98" w:rsidRDefault="005C4D04" w:rsidP="00350DC5">
            <w:pPr>
              <w:ind w:left="103"/>
              <w:rPr>
                <w:lang w:val="uk-UA"/>
              </w:rPr>
            </w:pPr>
            <w:r w:rsidRPr="00993AE6">
              <w:rPr>
                <w:lang w:val="uk-UA"/>
              </w:rPr>
              <w:t xml:space="preserve"> </w:t>
            </w:r>
            <w:hyperlink r:id="rId5" w:history="1">
              <w:r w:rsidRPr="00993AE6">
                <w:rPr>
                  <w:rStyle w:val="a3"/>
                </w:rPr>
                <w:t>inbox</w:t>
              </w:r>
              <w:r w:rsidRPr="00993AE6">
                <w:rPr>
                  <w:rStyle w:val="a3"/>
                  <w:lang w:val="uk-UA"/>
                </w:rPr>
                <w:t>@</w:t>
              </w:r>
              <w:r w:rsidRPr="00993AE6">
                <w:rPr>
                  <w:rStyle w:val="a3"/>
                  <w:lang w:val="en-US"/>
                </w:rPr>
                <w:t>bg</w:t>
              </w:r>
              <w:r w:rsidRPr="00993AE6">
                <w:rPr>
                  <w:rStyle w:val="a3"/>
                  <w:lang w:val="uk-UA"/>
                </w:rPr>
                <w:t>.</w:t>
              </w:r>
              <w:r w:rsidRPr="00993AE6">
                <w:rPr>
                  <w:rStyle w:val="a3"/>
                </w:rPr>
                <w:t>te</w:t>
              </w:r>
              <w:r w:rsidRPr="00993AE6">
                <w:rPr>
                  <w:rStyle w:val="a3"/>
                  <w:lang w:val="uk-UA"/>
                </w:rPr>
                <w:t>.</w:t>
              </w:r>
              <w:r w:rsidRPr="00993AE6">
                <w:rPr>
                  <w:rStyle w:val="a3"/>
                </w:rPr>
                <w:t>court</w:t>
              </w:r>
              <w:r w:rsidRPr="00993AE6">
                <w:rPr>
                  <w:rStyle w:val="a3"/>
                  <w:lang w:val="uk-UA"/>
                </w:rPr>
                <w:t>.</w:t>
              </w:r>
              <w:r w:rsidRPr="00993AE6">
                <w:rPr>
                  <w:rStyle w:val="a3"/>
                  <w:lang w:val="en-US"/>
                </w:rPr>
                <w:t>g</w:t>
              </w:r>
            </w:hyperlink>
            <w:r w:rsidRPr="00993AE6">
              <w:t>ov</w:t>
            </w:r>
            <w:r w:rsidRPr="00993AE6">
              <w:rPr>
                <w:lang w:val="uk-UA"/>
              </w:rPr>
              <w:t>.</w:t>
            </w:r>
            <w:r w:rsidRPr="00993AE6">
              <w:t>ua</w:t>
            </w:r>
          </w:p>
        </w:tc>
      </w:tr>
      <w:tr w:rsidR="005C4D04" w:rsidRPr="00556C0B" w:rsidTr="00350DC5">
        <w:trPr>
          <w:trHeight w:val="482"/>
        </w:trPr>
        <w:tc>
          <w:tcPr>
            <w:tcW w:w="9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jc w:val="center"/>
              <w:rPr>
                <w:lang w:val="uk-UA"/>
              </w:rPr>
            </w:pPr>
            <w:r>
              <w:rPr>
                <w:lang w:val="uk-UA"/>
              </w:rPr>
              <w:t>Кваліфікаційні в</w:t>
            </w:r>
            <w:r w:rsidRPr="00034F20">
              <w:rPr>
                <w:lang w:val="uk-UA"/>
              </w:rPr>
              <w:t>имоги</w:t>
            </w:r>
          </w:p>
        </w:tc>
      </w:tr>
      <w:tr w:rsidR="005C4D04" w:rsidRPr="00B517BB" w:rsidTr="00350DC5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1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Освіта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3C2970" w:rsidRDefault="005C4D04" w:rsidP="00350DC5">
            <w:pPr>
              <w:spacing w:before="150" w:after="150"/>
              <w:ind w:left="103" w:right="143"/>
              <w:rPr>
                <w:lang w:val="uk-UA"/>
              </w:rPr>
            </w:pPr>
            <w:r w:rsidRPr="003C2970">
              <w:rPr>
                <w:lang w:val="uk-UA"/>
              </w:rPr>
              <w:t>В</w:t>
            </w:r>
            <w:r w:rsidRPr="00B517BB">
              <w:rPr>
                <w:lang w:val="uk-UA"/>
              </w:rPr>
              <w:t>ищ</w:t>
            </w:r>
            <w:r w:rsidRPr="003C2970">
              <w:rPr>
                <w:lang w:val="uk-UA"/>
              </w:rPr>
              <w:t>а</w:t>
            </w:r>
            <w:r w:rsidRPr="00B517BB">
              <w:rPr>
                <w:lang w:val="uk-UA"/>
              </w:rPr>
              <w:t xml:space="preserve"> освіт</w:t>
            </w:r>
            <w:r w:rsidRPr="003C2970">
              <w:rPr>
                <w:lang w:val="uk-UA"/>
              </w:rPr>
              <w:t>а</w:t>
            </w:r>
            <w:r w:rsidRPr="00B517BB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галузі знань</w:t>
            </w:r>
            <w:r w:rsidRPr="00B517BB">
              <w:rPr>
                <w:lang w:val="uk-UA"/>
              </w:rPr>
              <w:t xml:space="preserve"> "Право" з освітньо-кваліфікаційним рівнем </w:t>
            </w:r>
            <w:r>
              <w:rPr>
                <w:lang w:val="uk-UA"/>
              </w:rPr>
              <w:t>не нижче молодшого бакалавра або бакалавра.</w:t>
            </w:r>
          </w:p>
        </w:tc>
      </w:tr>
      <w:tr w:rsidR="005C4D04" w:rsidRPr="00556C0B" w:rsidTr="00350DC5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2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Досвід роботи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3C2970" w:rsidRDefault="005C4D04" w:rsidP="00350DC5">
            <w:pPr>
              <w:spacing w:before="150" w:after="150"/>
              <w:ind w:left="103" w:right="143"/>
              <w:rPr>
                <w:lang w:val="uk-UA"/>
              </w:rPr>
            </w:pPr>
            <w:r>
              <w:rPr>
                <w:lang w:val="uk-UA"/>
              </w:rPr>
              <w:t>Без вимог щодо стажу роботи.</w:t>
            </w:r>
          </w:p>
        </w:tc>
      </w:tr>
      <w:tr w:rsidR="005C4D04" w:rsidRPr="00556C0B" w:rsidTr="00350DC5">
        <w:trPr>
          <w:trHeight w:val="68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3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Володіння державною мовою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2B7DAF" w:rsidRDefault="005C4D04" w:rsidP="00350DC5">
            <w:pPr>
              <w:spacing w:before="150" w:after="150"/>
              <w:ind w:left="103" w:right="143"/>
              <w:rPr>
                <w:lang w:val="uk-UA"/>
              </w:rPr>
            </w:pPr>
            <w:r w:rsidRPr="002B7DAF">
              <w:rPr>
                <w:lang w:val="uk-UA"/>
              </w:rPr>
              <w:t>Вільне володіння державною мовою</w:t>
            </w:r>
          </w:p>
        </w:tc>
      </w:tr>
      <w:tr w:rsidR="005C4D04" w:rsidRPr="00556C0B" w:rsidTr="00350DC5">
        <w:trPr>
          <w:trHeight w:val="69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jc w:val="center"/>
              <w:rPr>
                <w:lang w:val="uk-UA"/>
              </w:rPr>
            </w:pPr>
            <w:r w:rsidRPr="00034F20">
              <w:rPr>
                <w:lang w:val="uk-UA"/>
              </w:rPr>
              <w:t>4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034F20" w:rsidRDefault="005C4D04" w:rsidP="00350DC5">
            <w:pPr>
              <w:spacing w:before="150" w:after="150"/>
              <w:rPr>
                <w:lang w:val="uk-UA"/>
              </w:rPr>
            </w:pPr>
            <w:r w:rsidRPr="00034F20">
              <w:rPr>
                <w:lang w:val="uk-UA"/>
              </w:rPr>
              <w:t>Володіння іноземною мовою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D04" w:rsidRPr="002B7DAF" w:rsidRDefault="005C4D04" w:rsidP="00350DC5">
            <w:pPr>
              <w:ind w:left="103" w:right="143"/>
              <w:rPr>
                <w:lang w:val="uk-UA"/>
              </w:rPr>
            </w:pPr>
            <w:r w:rsidRPr="002B7DAF">
              <w:rPr>
                <w:lang w:val="uk-UA"/>
              </w:rPr>
              <w:t>Не потребує</w:t>
            </w:r>
          </w:p>
        </w:tc>
      </w:tr>
    </w:tbl>
    <w:p w:rsidR="00DC7172" w:rsidRDefault="00DC7172" w:rsidP="005C4D04">
      <w:bookmarkStart w:id="2" w:name="n568"/>
      <w:bookmarkEnd w:id="2"/>
    </w:p>
    <w:sectPr w:rsidR="00DC7172" w:rsidSect="005C4D04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04"/>
    <w:rsid w:val="005C4D04"/>
    <w:rsid w:val="00982C29"/>
    <w:rsid w:val="00D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EC0"/>
  <w15:chartTrackingRefBased/>
  <w15:docId w15:val="{AFDF821D-CD04-46E9-9F5C-41D57944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D04"/>
    <w:rPr>
      <w:color w:val="0000FF"/>
      <w:u w:val="single"/>
    </w:rPr>
  </w:style>
  <w:style w:type="paragraph" w:customStyle="1" w:styleId="rvps2">
    <w:name w:val="rvps2"/>
    <w:basedOn w:val="a"/>
    <w:rsid w:val="005C4D04"/>
    <w:pPr>
      <w:spacing w:before="100" w:beforeAutospacing="1" w:after="100" w:afterAutospacing="1"/>
    </w:pPr>
    <w:rPr>
      <w:rFonts w:eastAsia="Calibri"/>
    </w:rPr>
  </w:style>
  <w:style w:type="paragraph" w:customStyle="1" w:styleId="a4">
    <w:name w:val="Нормальний текст"/>
    <w:basedOn w:val="a"/>
    <w:rsid w:val="005C4D04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character" w:customStyle="1" w:styleId="rvts0">
    <w:name w:val="rvts0"/>
    <w:rsid w:val="005C4D04"/>
    <w:rPr>
      <w:rFonts w:cs="Times New Roman"/>
    </w:rPr>
  </w:style>
  <w:style w:type="character" w:styleId="a5">
    <w:name w:val="Unresolved Mention"/>
    <w:basedOn w:val="a0"/>
    <w:uiPriority w:val="99"/>
    <w:semiHidden/>
    <w:unhideWhenUsed/>
    <w:rsid w:val="0098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box@bg.te.court.g" TargetMode="External"/><Relationship Id="rId4" Type="http://schemas.openxmlformats.org/officeDocument/2006/relationships/hyperlink" Target="mailto:inbox@bg.te.cour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3208</Words>
  <Characters>1830</Characters>
  <Application>Microsoft Office Word</Application>
  <DocSecurity>0</DocSecurity>
  <Lines>15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2025-02-05T10:19:00Z</dcterms:created>
  <dcterms:modified xsi:type="dcterms:W3CDTF">2025-03-11T09:20:00Z</dcterms:modified>
</cp:coreProperties>
</file>