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>Додаток 1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D70F8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D70F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.№</w:t>
      </w:r>
      <w:r w:rsidR="007D7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секретар судового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</w:t>
      </w:r>
      <w:r w:rsidRPr="00B524F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підозрюваних та обвинувачених осіб, готує копії відповідних судових рішень.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2. Здійснює оформлення та розміщення списків справ, призначених до розгляду. 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Перевіряє наявність і з’ясовує причини відсутності осіб, яких викликано до суду, і доповідає про це головуючому судді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4.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5. Здійснює технічне фіксування судового процесу (судового засідання) технічними засобами відповідно до «Інструкції про порядок роботи з технічними засобами фіксування судового процесу (судового засідання)» та «Інструкції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відеоконференції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під час судового засідання (кримінального провадження)». 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 Веде журнал судового засідання (протокол судового засідання).</w:t>
            </w:r>
          </w:p>
          <w:p w:rsidR="009D1E38" w:rsidRPr="0083382A" w:rsidRDefault="009D1E38" w:rsidP="009D1E38">
            <w:pPr>
              <w:numPr>
                <w:ilvl w:val="0"/>
                <w:numId w:val="2"/>
              </w:numPr>
              <w:ind w:left="0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Виготовляє копії судових рішень у справах, які знаходяться в провадженні судді.</w:t>
            </w:r>
          </w:p>
          <w:p w:rsidR="009D1E38" w:rsidRPr="0083382A" w:rsidRDefault="009D1E38" w:rsidP="009D1E38">
            <w:pPr>
              <w:numPr>
                <w:ilvl w:val="0"/>
                <w:numId w:val="2"/>
              </w:numPr>
              <w:ind w:left="0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Здійснює заходи щодо вручення копії вироку засудженому або виправданому відповідно до вимог Кримінально-процесуального кодексу України.</w:t>
            </w:r>
          </w:p>
          <w:p w:rsidR="009D1E38" w:rsidRPr="0083382A" w:rsidRDefault="009D1E38" w:rsidP="009D1E38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lang w:val="uk-UA" w:eastAsia="uk-UA"/>
              </w:rPr>
            </w:pPr>
            <w:r w:rsidRPr="0083382A">
              <w:rPr>
                <w:lang w:val="uk-UA" w:eastAsia="uk-UA"/>
              </w:rPr>
              <w:t>Здійснює оформлення для направлення копій судових рішень сторонам та іншим особам, які беруть участь у справі, й фактично не були присутніми в судовому засіданні при розгляді справи.</w:t>
            </w:r>
          </w:p>
          <w:p w:rsidR="009D1E38" w:rsidRPr="0083382A" w:rsidRDefault="009D1E38" w:rsidP="009D1E38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lang w:val="uk-UA" w:eastAsia="uk-UA"/>
              </w:rPr>
            </w:pPr>
            <w:r w:rsidRPr="0083382A">
              <w:rPr>
                <w:color w:val="000000"/>
                <w:lang w:val="uk-UA" w:eastAsia="uk-UA"/>
              </w:rPr>
              <w:t>Готує виконавчі листи у справах, за якими передбачено негайне виконання.</w:t>
            </w:r>
          </w:p>
          <w:p w:rsidR="009D1E38" w:rsidRPr="0083382A" w:rsidRDefault="009D1E38" w:rsidP="00B666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11. Оформлює матеріали судових справ і здійснює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передачу справ до канцелярії суду.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 Здійснює внесення відомостей до автоматизованої системи документообігу суду згідно прав доступу користувача до системи, визначених наказом керівника апарату суду.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 У разі відсутності в судовому засіданні судового розпорядника виконує його функції.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14. Виконує інші доручення судді, керівника апарату суду, що стосуються організації розгляду судових справ.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 w:rsidR="000A4B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D70F8" w:rsidRPr="0083382A" w:rsidRDefault="007D70F8" w:rsidP="007D70F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Документи подаються власноручно або на електронну адресу суду:</w:t>
            </w: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8338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23.03.2026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закриття вакансії.</w:t>
            </w:r>
          </w:p>
          <w:p w:rsidR="007D70F8" w:rsidRPr="000A4BDF" w:rsidRDefault="007D70F8" w:rsidP="007D70F8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0A4BDF"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 w:rsidRPr="000A4BDF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  <w:p w:rsidR="009D1E38" w:rsidRDefault="009D1E38" w:rsidP="007D70F8">
            <w:pPr>
              <w:shd w:val="clear" w:color="auto" w:fill="FFFFFF"/>
              <w:ind w:firstLine="450"/>
              <w:jc w:val="both"/>
              <w:rPr>
                <w:rFonts w:ascii="HelveticaNeueCyr-Roman" w:hAnsi="HelveticaNeueCyr-Roman"/>
                <w:lang w:val="uk-UA"/>
              </w:rPr>
            </w:pP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042163"/>
    <w:rsid w:val="000A4BDF"/>
    <w:rsid w:val="00370192"/>
    <w:rsid w:val="007D3E61"/>
    <w:rsid w:val="007D70F8"/>
    <w:rsid w:val="00934A0B"/>
    <w:rsid w:val="009D1E38"/>
    <w:rsid w:val="00FA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zd.rv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2026-02-17T08:47:00Z</dcterms:created>
  <dcterms:modified xsi:type="dcterms:W3CDTF">2026-03-23T08:36:00Z</dcterms:modified>
</cp:coreProperties>
</file>