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41" w:rsidRDefault="004D7141" w:rsidP="004D7141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B476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ВІТ </w:t>
      </w:r>
    </w:p>
    <w:p w:rsidR="004D7141" w:rsidRDefault="004D7141" w:rsidP="004D7141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щодо </w:t>
      </w:r>
      <w:r w:rsidRPr="00902C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результатів розгляду судом інформаційних запитів, які надійшли </w:t>
      </w:r>
      <w:r w:rsidRPr="00902C9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в порядку Законів України «Про доступ до публічної інформації», «Про звернення громадян»,  «Про адвокатуру та адвокатську діяльність» </w:t>
      </w:r>
      <w:r w:rsidRPr="00902C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протягом І півріччя 202</w:t>
      </w:r>
      <w:r w:rsidR="00D36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5</w:t>
      </w:r>
      <w:r w:rsidRPr="00902C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року</w:t>
      </w:r>
    </w:p>
    <w:p w:rsidR="004D7141" w:rsidRDefault="004D7141" w:rsidP="004D7141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Протягом звітного періоду до суду надійшло </w:t>
      </w:r>
      <w:r w:rsidR="004841E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32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інформаційн</w:t>
      </w:r>
      <w:r w:rsidR="004841E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запит</w:t>
      </w:r>
      <w:r w:rsidR="004841E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, з яких, в порядку Закону України «Про доступ до публічної інформації» - </w:t>
      </w:r>
      <w:r w:rsidR="00D509F3" w:rsidRPr="004841E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</w:t>
      </w:r>
      <w:r w:rsidR="00D36F4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, в порядку Закону України «Про звернення громадян» - </w:t>
      </w:r>
      <w:r w:rsidR="004841E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14,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 порядку Закону України «Про адвокатуру та адвокатську діяльність» - адвокатських запитів -</w:t>
      </w:r>
      <w:r w:rsidR="00D36F4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 w:rsidR="00D509F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</w:p>
    <w:p w:rsidR="004D7141" w:rsidRDefault="004D7141" w:rsidP="004D7141">
      <w:pPr>
        <w:pStyle w:val="a3"/>
        <w:numPr>
          <w:ilvl w:val="0"/>
          <w:numId w:val="1"/>
        </w:numPr>
        <w:spacing w:before="120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48D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 порядку Закону України «Про доступ до публічної інформації» д</w:t>
      </w:r>
      <w:r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суду надійшли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36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інформаційних запитів, з яких:</w:t>
      </w:r>
    </w:p>
    <w:p w:rsidR="004D7141" w:rsidRPr="002148D1" w:rsidRDefault="00D36F44" w:rsidP="004D7141">
      <w:pPr>
        <w:pStyle w:val="a3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4D71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запитів переслано</w:t>
      </w:r>
      <w:r w:rsidR="004D7141"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виконання до МОАС</w:t>
      </w:r>
      <w:r w:rsidR="004D71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ДСА України; </w:t>
      </w:r>
    </w:p>
    <w:p w:rsidR="004D7141" w:rsidRPr="002148D1" w:rsidRDefault="00D36F44" w:rsidP="004D7141">
      <w:pPr>
        <w:pStyle w:val="a3"/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D71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запитів</w:t>
      </w:r>
      <w:r w:rsidR="004D7141" w:rsidRPr="00214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довільній письмовій формі. </w:t>
      </w:r>
      <w:r w:rsidR="004D71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D7141" w:rsidRPr="002148D1"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  <w:t> </w:t>
      </w:r>
    </w:p>
    <w:p w:rsidR="004D7141" w:rsidRPr="00E53200" w:rsidRDefault="004D7141" w:rsidP="004D7141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E5320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Запити стосувалися, зокрема, надання:</w:t>
      </w:r>
    </w:p>
    <w:p w:rsidR="000D6A74" w:rsidRPr="000D6A74" w:rsidRDefault="004D7141" w:rsidP="002655C8">
      <w:pPr>
        <w:pStyle w:val="a3"/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142" w:firstLine="851"/>
        <w:jc w:val="both"/>
        <w:rPr>
          <w:rFonts w:ascii="Symbol" w:eastAsia="Symbol" w:hAnsi="Symbol" w:cs="Symbol"/>
          <w:sz w:val="28"/>
          <w:szCs w:val="28"/>
          <w:lang w:val="uk-UA" w:eastAsia="ru-RU"/>
        </w:rPr>
      </w:pPr>
      <w:r w:rsidRPr="005B67EF">
        <w:rPr>
          <w:rFonts w:ascii="Times New Roman" w:eastAsia="Symbol" w:hAnsi="Times New Roman" w:cs="Times New Roman"/>
          <w:sz w:val="28"/>
          <w:szCs w:val="28"/>
          <w:lang w:val="uk-UA" w:eastAsia="ru-RU"/>
        </w:rPr>
        <w:t>інформації  щодо</w:t>
      </w:r>
      <w:r w:rsidR="00556FE6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 </w:t>
      </w:r>
      <w:r w:rsidR="000D6A74">
        <w:rPr>
          <w:rFonts w:ascii="Times New Roman" w:eastAsia="Symbol" w:hAnsi="Times New Roman" w:cs="Times New Roman"/>
          <w:sz w:val="28"/>
          <w:szCs w:val="28"/>
          <w:lang w:val="uk-UA" w:eastAsia="ru-RU"/>
        </w:rPr>
        <w:t>судових рішень у кримінальному провадженні;</w:t>
      </w:r>
    </w:p>
    <w:p w:rsidR="00880261" w:rsidRPr="00880261" w:rsidRDefault="000D6A74" w:rsidP="002655C8">
      <w:pPr>
        <w:pStyle w:val="a3"/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142" w:firstLine="851"/>
        <w:jc w:val="both"/>
        <w:rPr>
          <w:rFonts w:ascii="Symbol" w:eastAsia="Symbol" w:hAnsi="Symbol" w:cs="Symbol"/>
          <w:sz w:val="28"/>
          <w:szCs w:val="28"/>
          <w:lang w:val="uk-UA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uk-UA" w:eastAsia="ru-RU"/>
        </w:rPr>
        <w:t>інформації щодо назви установи, коду ЄДРПОУ, повної адреси з індексом, телефону, електронної пошти; інформації про суддів та помічників Миколаївського окружного адміністративного суду</w:t>
      </w:r>
      <w:r w:rsidR="00880261">
        <w:rPr>
          <w:rFonts w:ascii="Times New Roman" w:eastAsia="Symbol" w:hAnsi="Times New Roman" w:cs="Times New Roman"/>
          <w:sz w:val="28"/>
          <w:szCs w:val="28"/>
          <w:lang w:val="uk-UA" w:eastAsia="ru-RU"/>
        </w:rPr>
        <w:t>;</w:t>
      </w:r>
    </w:p>
    <w:p w:rsidR="000D6A74" w:rsidRPr="000D6A74" w:rsidRDefault="000D6A74" w:rsidP="002655C8">
      <w:pPr>
        <w:pStyle w:val="a3"/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142" w:firstLine="851"/>
        <w:jc w:val="both"/>
        <w:rPr>
          <w:rFonts w:ascii="Symbol" w:eastAsia="Symbol" w:hAnsi="Symbol" w:cs="Symbol"/>
          <w:sz w:val="28"/>
          <w:szCs w:val="28"/>
          <w:lang w:val="uk-UA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uk-UA" w:eastAsia="ru-RU"/>
        </w:rPr>
        <w:t>інформації щодо керівництва Миколаївського окружного адміністративного суду;</w:t>
      </w:r>
    </w:p>
    <w:p w:rsidR="000D6A74" w:rsidRPr="000D6A74" w:rsidRDefault="000D6A74" w:rsidP="002655C8">
      <w:pPr>
        <w:pStyle w:val="a3"/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142" w:firstLine="851"/>
        <w:jc w:val="both"/>
        <w:rPr>
          <w:rFonts w:ascii="Symbol" w:eastAsia="Symbol" w:hAnsi="Symbol" w:cs="Symbol"/>
          <w:sz w:val="28"/>
          <w:szCs w:val="28"/>
          <w:lang w:val="uk-UA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uk-UA" w:eastAsia="ru-RU"/>
        </w:rPr>
        <w:t>інформації щодо розгляду справ;</w:t>
      </w:r>
    </w:p>
    <w:p w:rsidR="00880261" w:rsidRPr="00880261" w:rsidRDefault="000D6A74" w:rsidP="002655C8">
      <w:pPr>
        <w:pStyle w:val="a3"/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142" w:firstLine="851"/>
        <w:jc w:val="both"/>
        <w:rPr>
          <w:rFonts w:ascii="Symbol" w:eastAsia="Symbol" w:hAnsi="Symbol" w:cs="Symbol"/>
          <w:sz w:val="28"/>
          <w:szCs w:val="28"/>
          <w:lang w:val="uk-UA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uk-UA" w:eastAsia="ru-RU"/>
        </w:rPr>
        <w:t>інформації щодо сплаченого судового збору ПрАТ «Авіакомпанія «Міжнародні авіалінії України»»</w:t>
      </w:r>
      <w:r w:rsidR="00211DB8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, в </w:t>
      </w:r>
      <w:proofErr w:type="spellStart"/>
      <w:r w:rsidR="00211DB8">
        <w:rPr>
          <w:rFonts w:ascii="Times New Roman" w:eastAsia="Symbol" w:hAnsi="Times New Roman" w:cs="Times New Roman"/>
          <w:sz w:val="28"/>
          <w:szCs w:val="28"/>
          <w:lang w:val="uk-UA" w:eastAsia="ru-RU"/>
        </w:rPr>
        <w:t>т.ч</w:t>
      </w:r>
      <w:proofErr w:type="spellEnd"/>
      <w:r w:rsidR="00211DB8">
        <w:rPr>
          <w:rFonts w:ascii="Times New Roman" w:eastAsia="Symbol" w:hAnsi="Times New Roman" w:cs="Times New Roman"/>
          <w:sz w:val="28"/>
          <w:szCs w:val="28"/>
          <w:lang w:val="uk-UA" w:eastAsia="ru-RU"/>
        </w:rPr>
        <w:t>. суми відшкодування ПДВ</w:t>
      </w:r>
      <w:r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  </w:t>
      </w:r>
      <w:r w:rsidR="00211DB8">
        <w:rPr>
          <w:rFonts w:ascii="Times New Roman" w:eastAsia="Symbol" w:hAnsi="Times New Roman" w:cs="Times New Roman"/>
          <w:sz w:val="28"/>
          <w:szCs w:val="28"/>
          <w:lang w:val="uk-UA" w:eastAsia="ru-RU"/>
        </w:rPr>
        <w:t>ПрАТ «Авіакомпанія «Міжнародні авіалінії України»»</w:t>
      </w:r>
      <w:r w:rsidR="003F6A7E">
        <w:rPr>
          <w:rFonts w:ascii="Times New Roman" w:eastAsia="Symbol" w:hAnsi="Times New Roman" w:cs="Times New Roman"/>
          <w:sz w:val="28"/>
          <w:szCs w:val="28"/>
          <w:lang w:val="uk-UA" w:eastAsia="ru-RU"/>
        </w:rPr>
        <w:t>;</w:t>
      </w:r>
    </w:p>
    <w:p w:rsidR="003F6A7E" w:rsidRPr="003F6A7E" w:rsidRDefault="00556FE6" w:rsidP="002655C8">
      <w:pPr>
        <w:pStyle w:val="a3"/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142" w:firstLine="851"/>
        <w:jc w:val="both"/>
        <w:rPr>
          <w:rFonts w:ascii="Symbol" w:eastAsia="Symbol" w:hAnsi="Symbol" w:cs="Symbol"/>
          <w:sz w:val="28"/>
          <w:szCs w:val="28"/>
          <w:lang w:val="uk-UA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 </w:t>
      </w:r>
      <w:r w:rsidR="005B67EF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 </w:t>
      </w:r>
      <w:r w:rsidR="003F6A7E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інформації щодо </w:t>
      </w:r>
      <w:r w:rsidR="00211DB8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сум виплачених у продовж 2022-2025 </w:t>
      </w:r>
      <w:proofErr w:type="spellStart"/>
      <w:r w:rsidR="00211DB8">
        <w:rPr>
          <w:rFonts w:ascii="Times New Roman" w:eastAsia="Symbol" w:hAnsi="Times New Roman" w:cs="Times New Roman"/>
          <w:sz w:val="28"/>
          <w:szCs w:val="28"/>
          <w:lang w:val="uk-UA" w:eastAsia="ru-RU"/>
        </w:rPr>
        <w:t>р.р</w:t>
      </w:r>
      <w:proofErr w:type="spellEnd"/>
      <w:r w:rsidR="00211DB8">
        <w:rPr>
          <w:rFonts w:ascii="Times New Roman" w:eastAsia="Symbol" w:hAnsi="Times New Roman" w:cs="Times New Roman"/>
          <w:sz w:val="28"/>
          <w:szCs w:val="28"/>
          <w:lang w:val="uk-UA" w:eastAsia="ru-RU"/>
        </w:rPr>
        <w:t>. грошових коштів, нарахованих суддям на підставі рішень адміністративних судів про зобов’язання вчинити дії та виплатити суддівську винагороду, з урахуванням прожиткового мінімуму для працездатних осіб, встановленого на 1 січня відповідного року</w:t>
      </w:r>
      <w:r w:rsidR="003F6A7E">
        <w:rPr>
          <w:rFonts w:ascii="Times New Roman" w:eastAsia="Symbol" w:hAnsi="Times New Roman" w:cs="Times New Roman"/>
          <w:sz w:val="28"/>
          <w:szCs w:val="28"/>
          <w:lang w:val="uk-UA" w:eastAsia="ru-RU"/>
        </w:rPr>
        <w:t>;</w:t>
      </w:r>
    </w:p>
    <w:p w:rsidR="00781AC1" w:rsidRPr="00781AC1" w:rsidRDefault="003F6A7E" w:rsidP="001350BD">
      <w:pPr>
        <w:pStyle w:val="a3"/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142" w:firstLine="851"/>
        <w:jc w:val="both"/>
        <w:rPr>
          <w:rFonts w:ascii="Symbol" w:eastAsia="Symbol" w:hAnsi="Symbol" w:cs="Symbol"/>
          <w:sz w:val="28"/>
          <w:szCs w:val="28"/>
          <w:lang w:val="uk-UA" w:eastAsia="ru-RU"/>
        </w:rPr>
      </w:pPr>
      <w:r w:rsidRPr="00781AC1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 </w:t>
      </w:r>
      <w:r w:rsidR="00DC541D" w:rsidRPr="00781AC1">
        <w:rPr>
          <w:rFonts w:ascii="Times New Roman" w:eastAsia="Symbol" w:hAnsi="Times New Roman" w:cs="Times New Roman"/>
          <w:sz w:val="28"/>
          <w:szCs w:val="28"/>
          <w:lang w:val="uk-UA" w:eastAsia="ru-RU"/>
        </w:rPr>
        <w:t>і</w:t>
      </w:r>
      <w:r w:rsidRPr="00781AC1">
        <w:rPr>
          <w:rFonts w:ascii="Times New Roman" w:eastAsia="Symbol" w:hAnsi="Times New Roman" w:cs="Times New Roman"/>
          <w:sz w:val="28"/>
          <w:szCs w:val="28"/>
          <w:lang w:val="uk-UA" w:eastAsia="ru-RU"/>
        </w:rPr>
        <w:t>нформації щодо</w:t>
      </w:r>
      <w:r w:rsidR="00211DB8" w:rsidRPr="00781AC1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 кількості справ, порушених Миколаївським окружним адміністративним судом протягом 2023-2024 років за позовами платників податків про визнання протиправними (незаконними) податкових повідомлень-рішень та/або їх скасування (визнання недійсними) за категорією справ з приводу </w:t>
      </w:r>
      <w:r w:rsidR="00E603A9" w:rsidRPr="00781AC1">
        <w:rPr>
          <w:rFonts w:ascii="Times New Roman" w:eastAsia="Symbol" w:hAnsi="Times New Roman" w:cs="Times New Roman"/>
          <w:sz w:val="28"/>
          <w:szCs w:val="28"/>
          <w:lang w:val="uk-UA" w:eastAsia="ru-RU"/>
        </w:rPr>
        <w:t>адміністрування податків, зборів, платежів, а також контролю за дотриманням вимог податкового законодавства</w:t>
      </w:r>
      <w:r w:rsidR="00DC541D" w:rsidRPr="00781AC1">
        <w:rPr>
          <w:rFonts w:ascii="Times New Roman" w:eastAsia="Symbol" w:hAnsi="Times New Roman" w:cs="Times New Roman"/>
          <w:sz w:val="28"/>
          <w:szCs w:val="28"/>
          <w:lang w:val="uk-UA" w:eastAsia="ru-RU"/>
        </w:rPr>
        <w:t>;</w:t>
      </w:r>
      <w:r w:rsidR="00E603A9" w:rsidRPr="00781AC1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 щодо кількості позовів платників податків до органів </w:t>
      </w:r>
      <w:r w:rsidR="009C596E" w:rsidRPr="00781AC1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Державної податкової служби України, поданих до Миколаївського окружного адміністративного суду, які протягом 2023-2024 роках були повернені судом або суд відмовив у відкритті провадження </w:t>
      </w:r>
      <w:r w:rsidR="009C596E" w:rsidRPr="00781AC1">
        <w:rPr>
          <w:rFonts w:ascii="Times New Roman" w:eastAsia="Symbol" w:hAnsi="Times New Roman" w:cs="Times New Roman"/>
          <w:sz w:val="28"/>
          <w:szCs w:val="28"/>
          <w:lang w:val="uk-UA" w:eastAsia="ru-RU"/>
        </w:rPr>
        <w:t>за позовами платників податків про визнання протиправними (незаконними) податкових повідомлень-рішень та/або їх скасування (визнання недійсними) за категорією справ з приводу адміністрування податків, зборів, платежів, а також контролю за дотриманням вимог податкового законодавства</w:t>
      </w:r>
      <w:r w:rsidR="009C596E" w:rsidRPr="00781AC1">
        <w:rPr>
          <w:rFonts w:ascii="Times New Roman" w:eastAsia="Symbol" w:hAnsi="Times New Roman" w:cs="Times New Roman"/>
          <w:sz w:val="28"/>
          <w:szCs w:val="28"/>
          <w:lang w:val="uk-UA" w:eastAsia="ru-RU"/>
        </w:rPr>
        <w:t>;</w:t>
      </w:r>
    </w:p>
    <w:p w:rsidR="00781AC1" w:rsidRPr="00781AC1" w:rsidRDefault="00DC541D" w:rsidP="001350BD">
      <w:pPr>
        <w:pStyle w:val="a3"/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142" w:firstLine="851"/>
        <w:jc w:val="both"/>
        <w:rPr>
          <w:rFonts w:ascii="Symbol" w:eastAsia="Symbol" w:hAnsi="Symbol" w:cs="Symbol"/>
          <w:sz w:val="28"/>
          <w:szCs w:val="28"/>
          <w:lang w:val="uk-UA" w:eastAsia="ru-RU"/>
        </w:rPr>
      </w:pPr>
      <w:r w:rsidRPr="00781AC1">
        <w:rPr>
          <w:rFonts w:ascii="Times New Roman" w:eastAsia="Symbol" w:hAnsi="Times New Roman" w:cs="Times New Roman"/>
          <w:sz w:val="28"/>
          <w:szCs w:val="28"/>
          <w:lang w:val="uk-UA" w:eastAsia="ru-RU"/>
        </w:rPr>
        <w:lastRenderedPageBreak/>
        <w:t>інформації щодо</w:t>
      </w:r>
      <w:r w:rsidR="00781AC1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 посадових осіб Миколаївського окружного адміністративного суду, відповідальних  за внесення первинних даних стосовно судової справи;</w:t>
      </w:r>
    </w:p>
    <w:p w:rsidR="00DC541D" w:rsidRPr="00781AC1" w:rsidRDefault="00781AC1" w:rsidP="001350BD">
      <w:pPr>
        <w:pStyle w:val="a3"/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142" w:firstLine="851"/>
        <w:jc w:val="both"/>
        <w:rPr>
          <w:rFonts w:ascii="Symbol" w:eastAsia="Symbol" w:hAnsi="Symbol" w:cs="Symbol"/>
          <w:sz w:val="28"/>
          <w:szCs w:val="28"/>
          <w:lang w:val="uk-UA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інформації щодо закордонних </w:t>
      </w:r>
      <w:proofErr w:type="spellStart"/>
      <w:r>
        <w:rPr>
          <w:rFonts w:ascii="Times New Roman" w:eastAsia="Symbol" w:hAnsi="Times New Roman" w:cs="Times New Roman"/>
          <w:sz w:val="28"/>
          <w:szCs w:val="28"/>
          <w:lang w:val="uk-UA" w:eastAsia="ru-RU"/>
        </w:rPr>
        <w:t>відряджень</w:t>
      </w:r>
      <w:proofErr w:type="spellEnd"/>
      <w:r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 суддів у період  </w:t>
      </w:r>
      <w:r w:rsidR="00DC541D" w:rsidRPr="00781AC1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Symbol" w:hAnsi="Times New Roman" w:cs="Times New Roman"/>
          <w:sz w:val="28"/>
          <w:szCs w:val="28"/>
          <w:lang w:val="uk-UA" w:eastAsia="ru-RU"/>
        </w:rPr>
        <w:t>з 01.01.2023 року по 10.02.2025 року</w:t>
      </w:r>
      <w:r w:rsidR="00DC541D" w:rsidRPr="00781AC1">
        <w:rPr>
          <w:rFonts w:ascii="Times New Roman" w:eastAsia="Symbol" w:hAnsi="Times New Roman" w:cs="Times New Roman"/>
          <w:sz w:val="28"/>
          <w:szCs w:val="28"/>
          <w:lang w:val="uk-UA" w:eastAsia="ru-RU"/>
        </w:rPr>
        <w:t>;</w:t>
      </w:r>
    </w:p>
    <w:p w:rsidR="00781AC1" w:rsidRPr="00781AC1" w:rsidRDefault="00DC541D" w:rsidP="002655C8">
      <w:pPr>
        <w:pStyle w:val="a3"/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142" w:firstLine="851"/>
        <w:jc w:val="both"/>
        <w:rPr>
          <w:rFonts w:ascii="Symbol" w:eastAsia="Symbol" w:hAnsi="Symbol" w:cs="Symbol"/>
          <w:sz w:val="28"/>
          <w:szCs w:val="28"/>
          <w:lang w:val="uk-UA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інформації щодо </w:t>
      </w:r>
      <w:r w:rsidR="00546D42">
        <w:rPr>
          <w:rFonts w:ascii="Times New Roman" w:eastAsia="Symbol" w:hAnsi="Times New Roman" w:cs="Times New Roman"/>
          <w:sz w:val="28"/>
          <w:szCs w:val="28"/>
          <w:lang w:val="uk-UA" w:eastAsia="ru-RU"/>
        </w:rPr>
        <w:t>службового житла, яке на даний момент знаходиться у користуванні суддів та інших працівників судової системи; щодо службового житла, яке було виведене з числа службового протягом останніх 10 року (2014-2024) із зазначенням місця розташування такого житла (місто, село, селище), підстав виведення з числа службового; про рівень заробітних плат (заробітна плата та всі види стимулюючих виплат) працівників судової системи, включаючи працівників апарату суду та суддів, за останні 5 років;</w:t>
      </w:r>
    </w:p>
    <w:p w:rsidR="00546D42" w:rsidRPr="00546D42" w:rsidRDefault="00546D42" w:rsidP="002655C8">
      <w:pPr>
        <w:pStyle w:val="a3"/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142" w:firstLine="851"/>
        <w:jc w:val="both"/>
        <w:rPr>
          <w:rFonts w:ascii="Symbol" w:eastAsia="Symbol" w:hAnsi="Symbol" w:cs="Symbol"/>
          <w:sz w:val="28"/>
          <w:szCs w:val="28"/>
          <w:lang w:val="uk-UA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uk-UA" w:eastAsia="ru-RU"/>
        </w:rPr>
        <w:t>інформації щодо справи Окружного адміністративного суду міста Києва;</w:t>
      </w:r>
    </w:p>
    <w:p w:rsidR="00546D42" w:rsidRPr="00546D42" w:rsidRDefault="00DC541D" w:rsidP="002655C8">
      <w:pPr>
        <w:pStyle w:val="a3"/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142" w:firstLine="851"/>
        <w:jc w:val="both"/>
        <w:rPr>
          <w:rFonts w:ascii="Symbol" w:eastAsia="Symbol" w:hAnsi="Symbol" w:cs="Symbol"/>
          <w:sz w:val="28"/>
          <w:szCs w:val="28"/>
          <w:lang w:val="uk-UA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uk-UA" w:eastAsia="ru-RU"/>
        </w:rPr>
        <w:t>інформації щодо</w:t>
      </w:r>
      <w:r w:rsidR="00546D42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 кількості суддів, які отримують доплату за науковий ступінь кандидата наук, доктора філософії, доктора наук;</w:t>
      </w:r>
    </w:p>
    <w:p w:rsidR="00DC541D" w:rsidRPr="00DC541D" w:rsidRDefault="00546D42" w:rsidP="002655C8">
      <w:pPr>
        <w:pStyle w:val="a3"/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142" w:firstLine="851"/>
        <w:jc w:val="both"/>
        <w:rPr>
          <w:rFonts w:ascii="Symbol" w:eastAsia="Symbol" w:hAnsi="Symbol" w:cs="Symbol"/>
          <w:sz w:val="28"/>
          <w:szCs w:val="28"/>
          <w:lang w:val="uk-UA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статистичних даних </w:t>
      </w:r>
      <w:r w:rsidR="00C21A43">
        <w:rPr>
          <w:rFonts w:ascii="Times New Roman" w:eastAsia="Symbol" w:hAnsi="Times New Roman" w:cs="Times New Roman"/>
          <w:sz w:val="28"/>
          <w:szCs w:val="28"/>
          <w:lang w:val="uk-UA" w:eastAsia="ru-RU"/>
        </w:rPr>
        <w:t xml:space="preserve">Миколаївського окружного адміністративного суду про кількість розглянутих справ  за період з 01.01.2024 року по 31.12.2024 року, нерозглянутих судових справ та матеріалів станом на 31.12.2024 року, судових справ та матеріалів, які перебувають на розгляді понад один рік; </w:t>
      </w:r>
      <w:r w:rsidR="00C21A43">
        <w:rPr>
          <w:rFonts w:ascii="Times New Roman" w:eastAsia="Symbol" w:hAnsi="Times New Roman" w:cs="Times New Roman"/>
          <w:sz w:val="28"/>
          <w:szCs w:val="28"/>
          <w:lang w:val="uk-UA" w:eastAsia="ru-RU"/>
        </w:rPr>
        <w:t>про кількість судових справ та матеріалів, які надійшли до Миколаївського окружного адміністративного суду за період з 01.01.2024 року по 31.12.2024 року</w:t>
      </w:r>
      <w:r w:rsidR="00C21A43">
        <w:rPr>
          <w:rFonts w:ascii="Times New Roman" w:eastAsia="Symbol" w:hAnsi="Times New Roman" w:cs="Times New Roman"/>
          <w:sz w:val="28"/>
          <w:szCs w:val="28"/>
          <w:lang w:val="uk-UA" w:eastAsia="ru-RU"/>
        </w:rPr>
        <w:t>, інформації про чисельність суддів з повноваженнями станом на 31.12.2024 року</w:t>
      </w:r>
      <w:r w:rsidR="00DC541D">
        <w:rPr>
          <w:rFonts w:ascii="Times New Roman" w:eastAsia="Symbol" w:hAnsi="Times New Roman" w:cs="Times New Roman"/>
          <w:sz w:val="28"/>
          <w:szCs w:val="28"/>
          <w:lang w:val="uk-UA" w:eastAsia="ru-RU"/>
        </w:rPr>
        <w:t>.</w:t>
      </w:r>
    </w:p>
    <w:p w:rsidR="004D7141" w:rsidRDefault="004D7141" w:rsidP="004D7141">
      <w:pPr>
        <w:pStyle w:val="a3"/>
        <w:tabs>
          <w:tab w:val="left" w:pos="720"/>
        </w:tabs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4D7141" w:rsidRDefault="004D7141" w:rsidP="004D7141">
      <w:pPr>
        <w:pStyle w:val="a3"/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Всі інформаційні запити розглянуті в порядку і строки Закону України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«Про доступ до публічної інформації».</w:t>
      </w:r>
    </w:p>
    <w:p w:rsidR="00521FA9" w:rsidRDefault="004D7141" w:rsidP="00521FA9">
      <w:pPr>
        <w:pStyle w:val="a3"/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A4752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 задоволенні </w:t>
      </w:r>
      <w:r w:rsidR="003F54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</w:t>
      </w:r>
      <w:r w:rsidRPr="00A4752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запит</w:t>
      </w:r>
      <w:r w:rsidR="003F54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ів</w:t>
      </w:r>
      <w:r w:rsidRPr="00A4752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було відмовлено</w:t>
      </w:r>
      <w:r w:rsidR="000F536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По одному запиту </w:t>
      </w:r>
      <w:r w:rsidR="00E6615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521FA9" w:rsidRPr="00521FA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запиту</w:t>
      </w:r>
      <w:r w:rsidR="00521F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валася </w:t>
      </w:r>
      <w:r w:rsidR="00521FA9" w:rsidRPr="00521FA9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інформація щодо конкретної адміністративної справи</w:t>
      </w:r>
      <w:r w:rsidR="00521F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 порядок </w:t>
      </w:r>
      <w:r w:rsidR="00521FA9" w:rsidRPr="00521F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отримання </w:t>
      </w:r>
      <w:r w:rsidR="00521FA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зазначеної і</w:t>
      </w:r>
      <w:r w:rsidR="00521FA9" w:rsidRPr="00521FA9">
        <w:rPr>
          <w:rFonts w:ascii="Times New Roman" w:hAnsi="Times New Roman" w:cs="Times New Roman"/>
          <w:color w:val="000000"/>
          <w:sz w:val="28"/>
          <w:szCs w:val="28"/>
          <w:lang w:val="uk-UA"/>
        </w:rPr>
        <w:t>нформації відбувається відповідно до норм Кодексу адміністративного судочинства України</w:t>
      </w:r>
      <w:r w:rsidR="00521F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 не </w:t>
      </w:r>
      <w:r w:rsidR="00521FA9" w:rsidRPr="00521FA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Закону України «Про доступ до публічної інформації»</w:t>
      </w:r>
      <w:r w:rsidR="000F536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 По  другому - Миколаївський окружний адміністративний суд не був адресатом запиту та не є розпорядником запитуваної інформації</w:t>
      </w:r>
      <w:r w:rsidR="00521FA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4D7141" w:rsidRPr="007B1B88" w:rsidRDefault="004D7141" w:rsidP="00521FA9">
      <w:pPr>
        <w:pStyle w:val="a3"/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7B1B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порядку Закону України «Про звернення громадян» відділом фінансової діяльності та господарського забезпечення </w:t>
      </w:r>
      <w:r w:rsidRPr="007B1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розглянуто </w:t>
      </w:r>
      <w:r w:rsidR="000F5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7B1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звернен</w:t>
      </w:r>
      <w:r w:rsidR="00521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7B1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повернення помилково сплаченого судового збору на рахунок суду (від фізичних осіб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0F5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від юридичних осіб - </w:t>
      </w:r>
      <w:r w:rsidR="000F5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7B1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4D7141" w:rsidRPr="00E6615C" w:rsidRDefault="004D7141" w:rsidP="00E6615C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6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того ж судом за перше півріччя 202</w:t>
      </w:r>
      <w:r w:rsidR="000F5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E66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розглянуто </w:t>
      </w:r>
      <w:r w:rsidR="000F5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E66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</w:t>
      </w:r>
      <w:r w:rsidR="000F5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66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0F5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6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посиланням на Закон України «Про звернення громадян». </w:t>
      </w:r>
    </w:p>
    <w:p w:rsidR="004D7141" w:rsidRPr="005D37CC" w:rsidRDefault="004D7141" w:rsidP="004D7141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F5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5D3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0F5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5D3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направлені до суду із використанням типової форми запиту, розміщеної на веб-сайті Миколаївського окружного адміністративного суду.</w:t>
      </w:r>
    </w:p>
    <w:p w:rsidR="00521FA9" w:rsidRDefault="004D7141" w:rsidP="004D714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Запити стосувалися, зокрема, щодо надання інформації </w:t>
      </w:r>
      <w:r w:rsidR="000F5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5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поновлення проваджень по адміністративним справам</w:t>
      </w:r>
      <w:r w:rsidR="001936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повернення судового збору </w:t>
      </w:r>
      <w:r w:rsidR="00521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справі</w:t>
      </w:r>
      <w:r w:rsidR="001936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D7141" w:rsidRPr="00385BF0" w:rsidRDefault="004D7141" w:rsidP="004D714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такі запити судом надані відповіді в порядку і строки Закону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країни «Про звернення громадян» та роз’яснено порядок отримання інформації по адміністративним справам,</w:t>
      </w:r>
      <w:r w:rsidRPr="00385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шляхом подачі відповідних заяв по конкретним справам, із зазначенням того, що відправлення правосуддя здійснюється виключно відповідно до положень Кодексу адміністративного судочинства України і не є предметом регулювання Закону України «Про звернення громадян». </w:t>
      </w:r>
    </w:p>
    <w:p w:rsidR="004D7141" w:rsidRDefault="004D7141" w:rsidP="004D7141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всі звернення надані відповіді в установленому законодавств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 строки.</w:t>
      </w:r>
    </w:p>
    <w:p w:rsidR="004D7141" w:rsidRPr="00FF4F8C" w:rsidRDefault="004D7141" w:rsidP="004D714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2A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порядку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Закону України «Про адвокатуру та адвокатську діяльність» до суду надійшло </w:t>
      </w:r>
      <w:r w:rsidR="0019360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адвокатських запитів</w:t>
      </w:r>
      <w:r w:rsidRPr="003F2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якім 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стосувалися, зокрема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інформації:</w:t>
      </w:r>
    </w:p>
    <w:p w:rsidR="004D7141" w:rsidRDefault="004D7141" w:rsidP="004D714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на</w:t>
      </w:r>
      <w:r w:rsidR="001936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правлення справи до апеляційної інстанції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5590D" w:rsidRDefault="004D7141" w:rsidP="004D714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щодо </w:t>
      </w:r>
      <w:r w:rsidR="005559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розгляду справи</w:t>
      </w:r>
      <w:r w:rsidR="001936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прийнятих рішень;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D7141" w:rsidRDefault="0055590D" w:rsidP="004D7141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щодо на</w:t>
      </w:r>
      <w:r w:rsidR="001936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правлення та отримання поштових листів або </w:t>
      </w:r>
      <w:proofErr w:type="spellStart"/>
      <w:r w:rsidR="001936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заказних</w:t>
      </w:r>
      <w:proofErr w:type="spellEnd"/>
      <w:r w:rsidR="001936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повідомлень АТ «</w:t>
      </w:r>
      <w:proofErr w:type="spellStart"/>
      <w:r w:rsidR="001936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Укрпошта»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D71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9360E" w:rsidRPr="00385BF0" w:rsidRDefault="0019360E" w:rsidP="0019360E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такі запити судом надані відповіді </w:t>
      </w:r>
      <w:r w:rsidR="008C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порядку і строки, передбачені 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8C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країни «Про адвокатуру та адвокатську діяльність»</w:t>
      </w:r>
      <w:r w:rsidR="008C5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роз’яснено порядок отримання інформації представниками по адміністративним справам,</w:t>
      </w:r>
      <w:r w:rsidRPr="00385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шляхом подачі відповідних заяв по конкретним справам, із зазначенням того, що відправлення правосуддя здійснюється виключно відповідно до положень Кодексу адміністративного судочинства України і суд може бути адресатом адвокатського запиту у тому разі, якщо він виступає не як орган правосуддя під час конкретної справи, а як державна установа, з інших питань своєї діяльності. </w:t>
      </w:r>
    </w:p>
    <w:p w:rsidR="0055590D" w:rsidRDefault="0055590D" w:rsidP="004D71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7141" w:rsidRPr="00902C98" w:rsidRDefault="004D7141" w:rsidP="004D71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складено на підставі номенклатурних справ суду 02-14 (Листування з розгляду звернень громадян в порядку ЗУ «Про звернення громадян» та ЗУ «Про доступ до публічної інформації»,</w:t>
      </w:r>
      <w:r w:rsidRPr="006006A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ЗУ «Про адвокатуру та адвокатську діяльність»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05-26 (Документи (листи, довідки) щодо сплати судового збору).</w:t>
      </w:r>
    </w:p>
    <w:p w:rsidR="004D7141" w:rsidRDefault="004D7141" w:rsidP="004D71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7141" w:rsidRDefault="004D7141" w:rsidP="004D71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7141" w:rsidRDefault="004D7141" w:rsidP="0055590D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В.о. керівника апарату                                                 А. В. Могильова</w:t>
      </w:r>
    </w:p>
    <w:p w:rsidR="00031E6B" w:rsidRDefault="00031E6B"/>
    <w:sectPr w:rsidR="00031E6B" w:rsidSect="008535A3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44143"/>
    <w:multiLevelType w:val="hybridMultilevel"/>
    <w:tmpl w:val="1EDAFA06"/>
    <w:lvl w:ilvl="0" w:tplc="F10E422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0394EF7"/>
    <w:multiLevelType w:val="hybridMultilevel"/>
    <w:tmpl w:val="85FA38E8"/>
    <w:lvl w:ilvl="0" w:tplc="32041C5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570E41"/>
    <w:multiLevelType w:val="hybridMultilevel"/>
    <w:tmpl w:val="21D8AD00"/>
    <w:lvl w:ilvl="0" w:tplc="9006DDEC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41"/>
    <w:rsid w:val="00031E6B"/>
    <w:rsid w:val="000D6A74"/>
    <w:rsid w:val="000F5360"/>
    <w:rsid w:val="00102551"/>
    <w:rsid w:val="0010472C"/>
    <w:rsid w:val="00131FF0"/>
    <w:rsid w:val="0019360E"/>
    <w:rsid w:val="00211DB8"/>
    <w:rsid w:val="002655C8"/>
    <w:rsid w:val="002E70C2"/>
    <w:rsid w:val="003F5468"/>
    <w:rsid w:val="003F6A7E"/>
    <w:rsid w:val="004841EC"/>
    <w:rsid w:val="004D7141"/>
    <w:rsid w:val="00521FA9"/>
    <w:rsid w:val="00546D42"/>
    <w:rsid w:val="0055590D"/>
    <w:rsid w:val="00556FE6"/>
    <w:rsid w:val="005706F3"/>
    <w:rsid w:val="005B67EF"/>
    <w:rsid w:val="006036A9"/>
    <w:rsid w:val="006E2518"/>
    <w:rsid w:val="00781AC1"/>
    <w:rsid w:val="008535A3"/>
    <w:rsid w:val="00880261"/>
    <w:rsid w:val="008C59D5"/>
    <w:rsid w:val="009C596E"/>
    <w:rsid w:val="009C7260"/>
    <w:rsid w:val="00C21A43"/>
    <w:rsid w:val="00D21598"/>
    <w:rsid w:val="00D36F44"/>
    <w:rsid w:val="00D509F3"/>
    <w:rsid w:val="00DA732E"/>
    <w:rsid w:val="00DB2AE8"/>
    <w:rsid w:val="00DC541D"/>
    <w:rsid w:val="00E53200"/>
    <w:rsid w:val="00E603A9"/>
    <w:rsid w:val="00E6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519B"/>
  <w15:chartTrackingRefBased/>
  <w15:docId w15:val="{8689B043-53C6-4AE1-9FB8-4660EAB5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1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1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6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2025-09-09T09:39:00Z</cp:lastPrinted>
  <dcterms:created xsi:type="dcterms:W3CDTF">2024-09-19T09:39:00Z</dcterms:created>
  <dcterms:modified xsi:type="dcterms:W3CDTF">2025-09-09T09:40:00Z</dcterms:modified>
</cp:coreProperties>
</file>