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21" w:rsidRDefault="00B44021" w:rsidP="00B4402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476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ВІТ </w:t>
      </w:r>
    </w:p>
    <w:p w:rsidR="00B44021" w:rsidRDefault="00B44021" w:rsidP="00394D6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щодо </w:t>
      </w:r>
      <w:r w:rsidRPr="0090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результатів розгляду судом інформаційних запитів, які надійшли </w:t>
      </w:r>
      <w:r w:rsidRPr="00902C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 порядку Законів України «Про доступ до публічної інформації», «Про звернення громадян»</w:t>
      </w:r>
      <w:r w:rsidR="00902C98" w:rsidRPr="00902C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, </w:t>
      </w:r>
      <w:r w:rsidRPr="00902C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="00902C98" w:rsidRPr="00902C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«Про адвокатуру та адвокатську діяльність» </w:t>
      </w:r>
      <w:r w:rsidR="00F70170" w:rsidRPr="0090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протягом І</w:t>
      </w:r>
      <w:r w:rsidR="00463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І</w:t>
      </w:r>
      <w:r w:rsidR="00F70170" w:rsidRPr="0090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півріччя 202</w:t>
      </w:r>
      <w:r w:rsidR="005505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4</w:t>
      </w:r>
      <w:r w:rsidRPr="0090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року</w:t>
      </w:r>
    </w:p>
    <w:p w:rsidR="00B44021" w:rsidRDefault="00B44021" w:rsidP="00B44021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Протягом звіт</w:t>
      </w:r>
      <w:r w:rsidR="005D37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ного періоду до суду надійшло </w:t>
      </w:r>
      <w:r w:rsidR="005505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43</w:t>
      </w:r>
      <w:r w:rsidR="005D37C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інформаційних запитів, з яких, в порядку Закону України «Про дост</w:t>
      </w:r>
      <w:r w:rsidR="00B850E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уп до публічної інформації» - </w:t>
      </w:r>
      <w:r w:rsidR="005505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в порядку Закону України</w:t>
      </w:r>
      <w:r w:rsidR="00B850E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«Про</w:t>
      </w:r>
      <w:r w:rsidR="00BC2D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звернення громадян» - </w:t>
      </w:r>
      <w:r w:rsidR="005505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18</w:t>
      </w:r>
      <w:r w:rsidR="00BC2D8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в порядку Закону України «Про а</w:t>
      </w:r>
      <w:r w:rsidR="00B850E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двокатуру та адвокатську діяльність» - адвокатських запитів -</w:t>
      </w:r>
      <w:r w:rsidR="0055050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="00AD65A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B850E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B44021" w:rsidRDefault="00B44021" w:rsidP="00DC39AC">
      <w:pPr>
        <w:pStyle w:val="a3"/>
        <w:numPr>
          <w:ilvl w:val="0"/>
          <w:numId w:val="1"/>
        </w:numPr>
        <w:spacing w:before="120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48D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порядку Закону України «Про доступ до публічної інформації» д</w:t>
      </w:r>
      <w:r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суду надійшл</w:t>
      </w:r>
      <w:r w:rsidR="00AD6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8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запитів, з яких:</w:t>
      </w:r>
    </w:p>
    <w:p w:rsidR="00B44021" w:rsidRPr="002148D1" w:rsidRDefault="009F5F8A" w:rsidP="00B44021">
      <w:pPr>
        <w:pStyle w:val="a3"/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B85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85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переслано</w:t>
      </w:r>
      <w:r w:rsidR="00B44021"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до МОАС</w:t>
      </w:r>
      <w:r w:rsidR="0095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ДСА </w:t>
      </w:r>
      <w:r w:rsidR="0095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DC4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B44021" w:rsidRPr="002148D1" w:rsidRDefault="009F5F8A" w:rsidP="00B44021">
      <w:pPr>
        <w:pStyle w:val="a3"/>
        <w:numPr>
          <w:ilvl w:val="0"/>
          <w:numId w:val="2"/>
        </w:numPr>
        <w:tabs>
          <w:tab w:val="num" w:pos="360"/>
          <w:tab w:val="left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C4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95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44021"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направлені до суду із використанням типової форми запиту, розміщеної на веб-сайті Миколаївського окру</w:t>
      </w:r>
      <w:r w:rsidR="00B44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жного адміністративного суду</w:t>
      </w:r>
      <w:r w:rsidR="00B44021"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4021" w:rsidRPr="002148D1" w:rsidRDefault="009F5F8A" w:rsidP="00B44021">
      <w:pPr>
        <w:pStyle w:val="a3"/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C4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B44021"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довільній письмовій формі. </w:t>
      </w:r>
      <w:r w:rsidR="00B440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44021" w:rsidRPr="002148D1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> </w:t>
      </w:r>
    </w:p>
    <w:p w:rsidR="00B44021" w:rsidRDefault="00B44021" w:rsidP="00B44021">
      <w:pPr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81D2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Запити стосувалися, зокрема, надання:</w:t>
      </w:r>
    </w:p>
    <w:p w:rsidR="009B11F5" w:rsidRPr="009F5F8A" w:rsidRDefault="00BC2D86" w:rsidP="00520122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</w:t>
      </w:r>
      <w:r w:rsidR="00FE6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4021" w:rsidRPr="00F845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рішень по адміністративним справам;</w:t>
      </w:r>
    </w:p>
    <w:p w:rsidR="009F5F8A" w:rsidRPr="009F5F8A" w:rsidRDefault="009F5F8A" w:rsidP="00520122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подання позовів ГУ ДПС в Миколаївській області за останні три роки в розрізі років;</w:t>
      </w:r>
    </w:p>
    <w:p w:rsidR="009F5F8A" w:rsidRPr="00D3761C" w:rsidRDefault="00D3761C" w:rsidP="00520122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найменування, місцезнаходження суду та перелік вакантних посад;</w:t>
      </w:r>
    </w:p>
    <w:p w:rsidR="00D3761C" w:rsidRPr="00D3761C" w:rsidRDefault="00D3761C" w:rsidP="00520122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про стан розгляду справ та направлення копій судових рішень;</w:t>
      </w:r>
    </w:p>
    <w:p w:rsidR="00D3761C" w:rsidRPr="00D3761C" w:rsidRDefault="00D3761C" w:rsidP="00520122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відомості про періоди відпусток, </w:t>
      </w:r>
      <w:proofErr w:type="spellStart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відряджень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, тимчасової непрацездатності суддів у період з 01.01.2023 р. по 19.07.2024 р. (щодо </w:t>
      </w:r>
      <w:proofErr w:type="spellStart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відряджень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надання копій відповідного акту про відправлення в відрядження та правову підставу для його видання);</w:t>
      </w:r>
    </w:p>
    <w:p w:rsidR="00D3761C" w:rsidRPr="00941A6F" w:rsidRDefault="00D3761C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інформації про програму чи сайт, де здійснюється формування списків згрупованих рекомендованих відправлень для надіслання листів, 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згрупованих рекомендованих відправлень для надіслання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посилок; кількості листів та посилок відправлених в травні 2024 р.; про укладання </w:t>
      </w:r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АТ «Укрпошта»</w:t>
      </w:r>
      <w:r w:rsidR="00941A6F" w:rsidRP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договору</w:t>
      </w:r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з пересилання відправлень</w:t>
      </w:r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«Укрпошта Стандарт» та «Укрпошта </w:t>
      </w:r>
      <w:proofErr w:type="spellStart"/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Експресс</w:t>
      </w:r>
      <w:proofErr w:type="spellEnd"/>
      <w:r w:rsidR="00941A6F">
        <w:rPr>
          <w:rFonts w:ascii="Times New Roman" w:eastAsia="Symbol" w:hAnsi="Times New Roman" w:cs="Times New Roman"/>
          <w:sz w:val="28"/>
          <w:szCs w:val="28"/>
          <w:lang w:val="uk-UA" w:eastAsia="ru-RU"/>
        </w:rPr>
        <w:t>»;</w:t>
      </w:r>
    </w:p>
    <w:p w:rsidR="00941A6F" w:rsidRPr="00941A6F" w:rsidRDefault="00941A6F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про кількість справ та матеріалів, що перебувають в провадженні суду; про кількість суддів, що перебувають у штаті суду; про навантаження суду;</w:t>
      </w:r>
    </w:p>
    <w:p w:rsidR="00941A6F" w:rsidRPr="0040335B" w:rsidRDefault="0040335B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про найменування суду; коду суду; літерного коду суду; області; інстанції-коду; інстанції; судочинства; дії; причини того, що не діє; документа щодо такого стану роботи суду; номера та дати документа; міста, де знаходиться суд; електронної адреси суду; підключення суду до ВКЗ; кількості суддів; кількості залів із ВКЗ;</w:t>
      </w:r>
    </w:p>
    <w:p w:rsidR="0040335B" w:rsidRPr="0040335B" w:rsidRDefault="0040335B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lastRenderedPageBreak/>
        <w:t>інформації щодо підстав відсутності суддів на робочому місці чи увільнення від роботи 10 жовтня 2024 р.;</w:t>
      </w:r>
    </w:p>
    <w:p w:rsidR="0040335B" w:rsidRPr="0040335B" w:rsidRDefault="0040335B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про прізвища, імена та по батькові усіх діючих суддів з помічниками суддів, які за ними закріплені;</w:t>
      </w:r>
    </w:p>
    <w:p w:rsidR="0091583D" w:rsidRPr="0091583D" w:rsidRDefault="0091583D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інформації про суддів, які упродовж 2023-2024 років </w:t>
      </w:r>
      <w:proofErr w:type="spellStart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напрвлялися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у відрядження закордон із зазначенням строків, дат та мети, місць таких </w:t>
      </w:r>
      <w:proofErr w:type="spellStart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відряджень</w:t>
      </w:r>
      <w:proofErr w:type="spellEnd"/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;</w:t>
      </w:r>
    </w:p>
    <w:p w:rsidR="0091583D" w:rsidRPr="0091583D" w:rsidRDefault="0091583D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участі голови суду, суддів та працівників апарату у міжнародній освітній програмі для українських суддів та працівників апарату суду, організованій Міжнародною культурно-освітньою асоціацією та долучення до роботи Міжнародного форуму «</w:t>
      </w:r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Rebirth</w:t>
      </w:r>
      <w:r w:rsidRPr="0091583D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of</w:t>
      </w:r>
      <w:r w:rsidRPr="0091583D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Ukraine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»;</w:t>
      </w:r>
    </w:p>
    <w:p w:rsidR="0091583D" w:rsidRPr="0091583D" w:rsidRDefault="0091583D" w:rsidP="00D3761C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спеціалізації суддів;</w:t>
      </w:r>
    </w:p>
    <w:p w:rsidR="00D3761C" w:rsidRPr="00BE59F5" w:rsidRDefault="0091583D" w:rsidP="00D70A8E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 w:rsidRPr="0091583D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інформації про посадові оклади суддів протягом 2020-2024 років; офіційні зарплати (з урахуванням надбавок, премій, компенсацій та інших додаткових виплат) </w:t>
      </w:r>
      <w:r w:rsidRPr="0091583D">
        <w:rPr>
          <w:rFonts w:ascii="Times New Roman" w:eastAsia="Symbol" w:hAnsi="Times New Roman" w:cs="Times New Roman"/>
          <w:sz w:val="28"/>
          <w:szCs w:val="28"/>
          <w:lang w:val="uk-UA" w:eastAsia="ru-RU"/>
        </w:rPr>
        <w:t>суддів</w:t>
      </w:r>
      <w:r w:rsidR="00BE59F5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з вказанням середнього, найменшого та найбільшого їх розміру; переліку та розміру надбавок, премій, компенсації та інших додаткових виплат, передбачених для суддів, за 2020-2024 роки;</w:t>
      </w:r>
    </w:p>
    <w:p w:rsidR="00BE59F5" w:rsidRPr="00BE59F5" w:rsidRDefault="00BE59F5" w:rsidP="00D70A8E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посад, на які оголошено набір; про відкриті вакансії; вимоги до кандидатів для кожної вакансії; процедури подачі заявок на вакансії; терміни подачі заявок та контактні дані для подальших запитів;</w:t>
      </w:r>
    </w:p>
    <w:p w:rsidR="00BE59F5" w:rsidRPr="0091583D" w:rsidRDefault="007674BD" w:rsidP="00781D26">
      <w:pPr>
        <w:pStyle w:val="a3"/>
        <w:numPr>
          <w:ilvl w:val="0"/>
          <w:numId w:val="3"/>
        </w:num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інформації щодо кількості витрачених коштів з державного бюджету на заробітну плату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>, на доплати до посадового окладу, на соціальні виплати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суддям в період з 01.01.2024 р. по 23.12.2024 р.; кількості суддів, відправлених у відставку, в  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період з 01.01.2024 р. по 23.12.2024 р</w:t>
      </w:r>
      <w:r>
        <w:rPr>
          <w:rFonts w:ascii="Times New Roman" w:eastAsia="Symbol" w:hAnsi="Times New Roman" w:cs="Times New Roman"/>
          <w:sz w:val="28"/>
          <w:szCs w:val="28"/>
          <w:lang w:val="uk-UA" w:eastAsia="ru-RU"/>
        </w:rPr>
        <w:t>.;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кількості витрачених коштів з державного бюджету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з 01.01.2024 р. по 23.12.2024 р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. на пенсії суддям; кількості запланованих витрат коштів 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>з державного бюджету</w:t>
      </w:r>
      <w:r w:rsidR="00781D26">
        <w:rPr>
          <w:rFonts w:ascii="Times New Roman" w:eastAsia="Symbol" w:hAnsi="Times New Roman" w:cs="Times New Roman"/>
          <w:sz w:val="28"/>
          <w:szCs w:val="28"/>
          <w:lang w:val="uk-UA" w:eastAsia="ru-RU"/>
        </w:rPr>
        <w:t xml:space="preserve"> з 01.01.2025 р. по 31.01.2025 р. на доплати до посадового окладу суддям.</w:t>
      </w:r>
    </w:p>
    <w:p w:rsidR="0091583D" w:rsidRDefault="0091583D" w:rsidP="0091583D">
      <w:pPr>
        <w:tabs>
          <w:tab w:val="left" w:pos="1260"/>
        </w:tabs>
        <w:spacing w:before="120" w:after="0" w:line="240" w:lineRule="auto"/>
        <w:jc w:val="both"/>
        <w:rPr>
          <w:rFonts w:ascii="Symbol" w:eastAsia="Symbol" w:hAnsi="Symbol" w:cs="Symbol"/>
          <w:sz w:val="28"/>
          <w:szCs w:val="28"/>
          <w:lang w:val="uk-UA" w:eastAsia="ru-RU"/>
        </w:rPr>
      </w:pPr>
    </w:p>
    <w:p w:rsidR="00B44021" w:rsidRDefault="00B44021" w:rsidP="00781D26">
      <w:pPr>
        <w:pStyle w:val="a3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Всі інформаційні запити розглянуті в порядку і строки Закону України</w:t>
      </w:r>
      <w:r w:rsidR="00781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«Про доступ до публічної інформації».</w:t>
      </w:r>
    </w:p>
    <w:p w:rsidR="00B44021" w:rsidRPr="00A4752D" w:rsidRDefault="00520122" w:rsidP="00B44021">
      <w:pPr>
        <w:pStyle w:val="a3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 запит</w:t>
      </w:r>
      <w:r w:rsidR="00B44021"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було </w:t>
      </w:r>
      <w:r w:rsidR="00781D2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задоволено частково</w:t>
      </w:r>
      <w:r w:rsidR="00B44021"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у зв’язку </w:t>
      </w:r>
      <w:r w:rsidR="000467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підстав визначених п. 1</w:t>
      </w:r>
      <w:r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0467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ч.1</w:t>
      </w:r>
      <w:r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ст. 22 Закону України «Про доступ до публічної інформації»</w:t>
      </w:r>
      <w:r w:rsidR="00B44021" w:rsidRPr="00A4752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: </w:t>
      </w:r>
    </w:p>
    <w:p w:rsidR="005D37CC" w:rsidRDefault="0004674E" w:rsidP="007B1B88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4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</w:t>
      </w:r>
      <w:r w:rsidR="007B1B88" w:rsidRPr="0004674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9F5F8A" w:rsidRPr="0004674E" w:rsidRDefault="009F5F8A" w:rsidP="009F5F8A">
      <w:pPr>
        <w:pStyle w:val="a3"/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5D37CC" w:rsidRPr="007B1B88" w:rsidRDefault="00B44021" w:rsidP="00DC39A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B1B8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порядку Закону України «Про звернення громадян» відділом фінансової діяльності та господарського забезпечення </w:t>
      </w:r>
      <w:r w:rsidR="007C7ECC" w:rsidRPr="007B1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розглянуто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B1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7B1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повернення помилково сплаченого судового збору на р</w:t>
      </w:r>
      <w:r w:rsidR="007C7ECC" w:rsidRPr="007B1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ахунок суду (від фізичних осіб</w:t>
      </w:r>
      <w:r w:rsidR="00EE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04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E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юридичних осіб -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D37CC" w:rsidRPr="007B1B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D37CC" w:rsidRDefault="005D37CC" w:rsidP="005D37C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ab/>
      </w:r>
      <w:r w:rsidR="00B4402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того ж судом за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друге</w:t>
      </w:r>
      <w:r w:rsidR="00F8451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402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півріччя 20</w:t>
      </w:r>
      <w:r w:rsidR="00F8451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402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розглянуто </w:t>
      </w:r>
      <w:r w:rsidR="00EE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44021"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інформаційних запитів з посиланням на Закон України «Про звернення громадян». </w:t>
      </w:r>
    </w:p>
    <w:p w:rsidR="00B44021" w:rsidRPr="005D37CC" w:rsidRDefault="005D37CC" w:rsidP="005D37C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</w:t>
      </w:r>
      <w:r w:rsidR="00EE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направлені до суду із використанням типової форми запиту, розміщеної на веб-сайті Миколаївського окружного адміністративного суду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більшість із яких, запити на отримання інформації відправлення правосуддя, </w:t>
      </w:r>
      <w:r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F5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36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0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D36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E0015" w:rsidRPr="002148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довільній письмовій формі</w:t>
      </w:r>
      <w:r w:rsidRP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4021" w:rsidRPr="00FF4F8C" w:rsidRDefault="00B44021" w:rsidP="00B4402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Запити стосувалися, зокрема, щодо надання інформації:</w:t>
      </w:r>
    </w:p>
    <w:p w:rsidR="00F210C0" w:rsidRDefault="00B44021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F845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загальної кількості позовних заяв за пері</w:t>
      </w:r>
      <w:r w:rsidR="00D36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з 01.01.2023 р. по 31.12.2023 р.; середнього навантаження на суддю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період з 01.01.2023 р. по 31.12.2023 р.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надходження кількості позовних заяв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р.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були залишені без руху;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кількості позовних заяв у 2023 р.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були повернуті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надходження кількості позовних заяв у 2023 р. та були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залишені без розгляду; 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надходження кількості позовних заяв у 2023 р.</w:t>
      </w:r>
      <w:r w:rsidR="00F21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яких судом було прийнято ухвалу про роз’єднання позовних вимог; залишок позовних заяв, по яких не прийнято жодного процесуального рішення;</w:t>
      </w:r>
    </w:p>
    <w:p w:rsidR="00F210C0" w:rsidRDefault="00F210C0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щодо стану розгляду справ;</w:t>
      </w:r>
    </w:p>
    <w:p w:rsidR="00F210C0" w:rsidRDefault="00F210C0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щодо надходження позовної заяви;</w:t>
      </w:r>
    </w:p>
    <w:p w:rsidR="00F210C0" w:rsidRDefault="00F210C0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 повідомлення про злочин</w:t>
      </w:r>
      <w:r w:rsidR="004A4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210C0" w:rsidRDefault="00F210C0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щодо пропозиці</w:t>
      </w:r>
      <w:r w:rsidR="004A4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розгляду звернен</w:t>
      </w:r>
      <w:r w:rsidR="004A4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зборах суддів; </w:t>
      </w:r>
    </w:p>
    <w:p w:rsidR="004A4B73" w:rsidRDefault="004A4B73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щодо виявлення та надавання журналістам відомостей про суддів, які мають ознаки незаконного збагачення;</w:t>
      </w:r>
    </w:p>
    <w:p w:rsidR="004A4B73" w:rsidRDefault="004A4B73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щодо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направлення рішень суду та виконавчих листів по справам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A4B73" w:rsidRDefault="004A4B73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 виправлення помилки у виконавчому листі.</w:t>
      </w:r>
    </w:p>
    <w:p w:rsidR="00F210C0" w:rsidRDefault="00F210C0" w:rsidP="00F8451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4B73" w:rsidRDefault="00B44021" w:rsidP="00B4402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такі запити судом надані відповіді в порядку і строки Закону У</w:t>
      </w:r>
      <w:r w:rsid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«Про звернення громадян»</w:t>
      </w:r>
      <w:r w:rsidR="004A4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C2734" w:rsidRDefault="004A4B73" w:rsidP="00B4402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запити </w:t>
      </w:r>
      <w:proofErr w:type="spellStart"/>
      <w:r w:rsidR="001C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перенаправлені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належністю до Головного управління Національної поліції в Миколаївській області.</w:t>
      </w:r>
      <w:r w:rsid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44021" w:rsidRPr="00385BF0" w:rsidRDefault="001C2734" w:rsidP="00B44021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заявникам</w:t>
      </w:r>
      <w:r w:rsid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роз’яснено порядок отримання інформації по адміністративним справам</w:t>
      </w:r>
      <w:r w:rsidR="0038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85BF0" w:rsidRPr="0038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подачі відповідних заяв по конкретним справам</w:t>
      </w:r>
      <w:r w:rsid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8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зазначенням того, що відправлення правосуддя здійснюється виключно відповідно до положень Кодексу адміністративного судочинства України і не є предметом регулювання Закону України «Про звернення громадян».</w:t>
      </w:r>
      <w:r w:rsidR="005D3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C2734" w:rsidRDefault="001C2734" w:rsidP="003F2AE5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3F2AE5" w:rsidRDefault="00B3275B" w:rsidP="003F2AE5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75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BC2D86" w:rsidRPr="003F2A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 порядку </w:t>
      </w:r>
      <w:r w:rsidR="003F2A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Закону України «Про адвокатуру та адвокатську діяльність» до суду надійшло </w:t>
      </w:r>
      <w:r w:rsidR="009F5F8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</w:t>
      </w:r>
      <w:r w:rsidR="003F2A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адвокатських запитів</w:t>
      </w:r>
      <w:r w:rsidR="00BC2D86" w:rsidRPr="003F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F2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r w:rsidR="003F2AE5" w:rsidRPr="00FF4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стосувалися, </w:t>
      </w:r>
      <w:r w:rsidR="003F2AE5" w:rsidRPr="001C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 інформації:</w:t>
      </w:r>
    </w:p>
    <w:p w:rsidR="00AC0494" w:rsidRDefault="00AC0494" w:rsidP="003F2AE5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щодо </w:t>
      </w:r>
      <w:r w:rsidR="001C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розгляду справ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C2734" w:rsidRDefault="00AC0494" w:rsidP="003F2AE5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щодо </w:t>
      </w:r>
      <w:r w:rsidR="001C2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набрання рішенням законної сили.</w:t>
      </w:r>
    </w:p>
    <w:p w:rsidR="001C2734" w:rsidRDefault="001C2734" w:rsidP="003F2AE5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352" w:rsidRPr="00385BF0" w:rsidRDefault="002B2352" w:rsidP="002B2352">
      <w:pPr>
        <w:tabs>
          <w:tab w:val="left" w:pos="126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4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такі запити судом надані відповіді в порядку і строки Закону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«Про адвокатуру та адвокатську діяльність»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роз’яснено порядок отримання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інформації представниками по адміністративним справам,</w:t>
      </w:r>
      <w:r w:rsidRPr="00385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подачі відповідних заяв по конкретним справам, із зазначенням того, що відправлення правосуддя здійснюється виключно відповідно до положень Кодексу адміністративного судочинства України і суд може бути адресатом адвокатського запиту у тому разі, якщо він виступає не як орган правосуддя під час конкретної справи, а як державна установа, з інших питань своєї діяльності. </w:t>
      </w:r>
    </w:p>
    <w:p w:rsidR="005C2616" w:rsidRDefault="005C2616" w:rsidP="00902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021" w:rsidRPr="00902C98" w:rsidRDefault="00B44021" w:rsidP="00902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складено на підставі номенклатурних справ суду 02-14 (Листування з розгляду звернень громадян в порядку ЗУ «Про звернення громадян» та ЗУ «Про доступ до публічної інформації»</w:t>
      </w:r>
      <w:r w:rsidR="00902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006A1" w:rsidRPr="006006A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6006A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ЗУ «Про адвокатуру та адвокатську діяльність»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05-26 (Документи (листи, довідки) щодо сплати судового збору).</w:t>
      </w:r>
    </w:p>
    <w:p w:rsidR="00B44021" w:rsidRDefault="00B44021" w:rsidP="00B44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021" w:rsidRDefault="00B44021" w:rsidP="00B440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021" w:rsidRDefault="005C2616" w:rsidP="00B3275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</w:t>
      </w:r>
      <w:r w:rsidR="00B440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керівника апарату                                      </w:t>
      </w:r>
      <w:r w:rsidR="001C3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3A2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 В. Могильова</w:t>
      </w:r>
    </w:p>
    <w:p w:rsidR="00FB124C" w:rsidRDefault="00FB124C"/>
    <w:sectPr w:rsidR="00FB124C" w:rsidSect="007161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143"/>
    <w:multiLevelType w:val="hybridMultilevel"/>
    <w:tmpl w:val="1EDAFA06"/>
    <w:lvl w:ilvl="0" w:tplc="F10E422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394EF7"/>
    <w:multiLevelType w:val="hybridMultilevel"/>
    <w:tmpl w:val="85FA38E8"/>
    <w:lvl w:ilvl="0" w:tplc="32041C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570E41"/>
    <w:multiLevelType w:val="hybridMultilevel"/>
    <w:tmpl w:val="21D8AD00"/>
    <w:lvl w:ilvl="0" w:tplc="9006DDEC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5"/>
    <w:rsid w:val="0002390A"/>
    <w:rsid w:val="0004674E"/>
    <w:rsid w:val="000D0B3B"/>
    <w:rsid w:val="001B1D50"/>
    <w:rsid w:val="001C2734"/>
    <w:rsid w:val="001C38EA"/>
    <w:rsid w:val="00255F9C"/>
    <w:rsid w:val="002B2352"/>
    <w:rsid w:val="002B7F28"/>
    <w:rsid w:val="002D5207"/>
    <w:rsid w:val="00385BF0"/>
    <w:rsid w:val="00394D6D"/>
    <w:rsid w:val="003A2E26"/>
    <w:rsid w:val="003F2AE5"/>
    <w:rsid w:val="0040335B"/>
    <w:rsid w:val="00437915"/>
    <w:rsid w:val="004636CD"/>
    <w:rsid w:val="004A4B73"/>
    <w:rsid w:val="00520122"/>
    <w:rsid w:val="0055050A"/>
    <w:rsid w:val="00560618"/>
    <w:rsid w:val="005C2616"/>
    <w:rsid w:val="005D37CC"/>
    <w:rsid w:val="006006A1"/>
    <w:rsid w:val="00675B7B"/>
    <w:rsid w:val="006B0785"/>
    <w:rsid w:val="0071619F"/>
    <w:rsid w:val="00752184"/>
    <w:rsid w:val="007674BD"/>
    <w:rsid w:val="00781D26"/>
    <w:rsid w:val="007B1B88"/>
    <w:rsid w:val="007C7ECC"/>
    <w:rsid w:val="008253D6"/>
    <w:rsid w:val="008D0125"/>
    <w:rsid w:val="00902C98"/>
    <w:rsid w:val="0091583D"/>
    <w:rsid w:val="00935FA4"/>
    <w:rsid w:val="00941A6F"/>
    <w:rsid w:val="00954E62"/>
    <w:rsid w:val="009B11F5"/>
    <w:rsid w:val="009F5F8A"/>
    <w:rsid w:val="00A10DEB"/>
    <w:rsid w:val="00A4752D"/>
    <w:rsid w:val="00AC0494"/>
    <w:rsid w:val="00AD65AC"/>
    <w:rsid w:val="00B3275B"/>
    <w:rsid w:val="00B34B02"/>
    <w:rsid w:val="00B44021"/>
    <w:rsid w:val="00B850EE"/>
    <w:rsid w:val="00BC2D86"/>
    <w:rsid w:val="00BE59F5"/>
    <w:rsid w:val="00C156CC"/>
    <w:rsid w:val="00C52C49"/>
    <w:rsid w:val="00CE17D7"/>
    <w:rsid w:val="00CF4D30"/>
    <w:rsid w:val="00D36962"/>
    <w:rsid w:val="00D3761C"/>
    <w:rsid w:val="00D6553C"/>
    <w:rsid w:val="00DC39AC"/>
    <w:rsid w:val="00DC4A1E"/>
    <w:rsid w:val="00EE0015"/>
    <w:rsid w:val="00F210C0"/>
    <w:rsid w:val="00F50C04"/>
    <w:rsid w:val="00F70170"/>
    <w:rsid w:val="00F84511"/>
    <w:rsid w:val="00FB124C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775C"/>
  <w15:chartTrackingRefBased/>
  <w15:docId w15:val="{9DAB5BE2-6B1B-4BAA-BD9B-54F27414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2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2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2024-01-24T13:18:00Z</cp:lastPrinted>
  <dcterms:created xsi:type="dcterms:W3CDTF">2023-08-09T09:44:00Z</dcterms:created>
  <dcterms:modified xsi:type="dcterms:W3CDTF">2025-02-19T11:30:00Z</dcterms:modified>
</cp:coreProperties>
</file>