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9F05DD">
              <w:rPr>
                <w:b/>
                <w:bCs/>
                <w:sz w:val="18"/>
                <w:szCs w:val="18"/>
                <w:u w:val="single"/>
                <w:lang w:val="uk-UA"/>
              </w:rPr>
              <w:t>за червень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403F99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0F2B60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173 700</w:t>
            </w:r>
          </w:p>
          <w:p w:rsidR="00EF002B" w:rsidRPr="000F2B60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66" w:type="dxa"/>
          </w:tcPr>
          <w:p w:rsidR="00FD58A8" w:rsidRPr="00D353EE" w:rsidRDefault="00403F99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2</w:t>
            </w:r>
            <w:r w:rsidR="00DA5459">
              <w:rPr>
                <w:b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0F2B60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118 525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403F99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3</w:t>
            </w:r>
            <w:r w:rsidR="00125E7C">
              <w:rPr>
                <w:b/>
                <w:bCs/>
                <w:lang w:val="uk-UA"/>
              </w:rPr>
              <w:t>2,50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69665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2551" w:type="dxa"/>
          </w:tcPr>
          <w:p w:rsidR="000F2B60" w:rsidRPr="00503348" w:rsidRDefault="00403F99" w:rsidP="0050334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68 830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403F9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6D3C9A">
              <w:rPr>
                <w:b/>
                <w:bCs/>
                <w:lang w:val="uk-UA"/>
              </w:rPr>
              <w:t>3</w:t>
            </w:r>
            <w:r w:rsidR="00DA5459">
              <w:rPr>
                <w:b/>
                <w:bCs/>
                <w:lang w:val="uk-UA"/>
              </w:rPr>
              <w:t>,00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696655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DA5459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31 142</w:t>
            </w:r>
          </w:p>
          <w:p w:rsidR="000F2B60" w:rsidRPr="005B233F" w:rsidRDefault="000F2B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403F99">
              <w:rPr>
                <w:b/>
                <w:bCs/>
                <w:lang w:val="uk-UA"/>
              </w:rPr>
              <w:t>2</w:t>
            </w:r>
            <w:r w:rsidR="00DA5459">
              <w:rPr>
                <w:b/>
                <w:bCs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0F2B60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31 142</w:t>
            </w:r>
          </w:p>
        </w:tc>
        <w:tc>
          <w:tcPr>
            <w:tcW w:w="1966" w:type="dxa"/>
          </w:tcPr>
          <w:p w:rsidR="009551D2" w:rsidRPr="00880F34" w:rsidRDefault="00403F99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DA5459">
              <w:rPr>
                <w:b/>
                <w:bCs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0F2B60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47 940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403F99">
              <w:rPr>
                <w:b/>
                <w:bCs/>
                <w:lang w:val="uk-UA"/>
              </w:rPr>
              <w:t xml:space="preserve">  2</w:t>
            </w:r>
            <w:r w:rsidR="0052308E">
              <w:rPr>
                <w:b/>
                <w:bCs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125E7C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34 400</w:t>
            </w:r>
          </w:p>
        </w:tc>
        <w:tc>
          <w:tcPr>
            <w:tcW w:w="1966" w:type="dxa"/>
          </w:tcPr>
          <w:p w:rsidR="00733A82" w:rsidRPr="005B233F" w:rsidRDefault="00403F9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52308E">
              <w:rPr>
                <w:b/>
                <w:bCs/>
                <w:lang w:val="uk-UA"/>
              </w:rPr>
              <w:t>0,00</w:t>
            </w:r>
          </w:p>
        </w:tc>
      </w:tr>
      <w:tr w:rsidR="00FD58A8" w:rsidRPr="00DE26A5" w:rsidTr="00403F99">
        <w:trPr>
          <w:trHeight w:val="51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03F99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52308E" w:rsidRDefault="00403F99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35 900</w:t>
            </w:r>
          </w:p>
        </w:tc>
        <w:tc>
          <w:tcPr>
            <w:tcW w:w="1966" w:type="dxa"/>
          </w:tcPr>
          <w:p w:rsidR="00EF00CB" w:rsidRPr="00880F34" w:rsidRDefault="00DA67D6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186,67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0F2B60" w:rsidRDefault="00DA67D6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62 643</w:t>
            </w:r>
          </w:p>
        </w:tc>
        <w:tc>
          <w:tcPr>
            <w:tcW w:w="1966" w:type="dxa"/>
          </w:tcPr>
          <w:p w:rsidR="00FD58A8" w:rsidRPr="008558D3" w:rsidRDefault="00DA67D6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933A60">
              <w:rPr>
                <w:b/>
                <w:bCs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0F2B60" w:rsidRDefault="00DA67D6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62 643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DA67D6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  <w:r w:rsidR="00933A60">
              <w:rPr>
                <w:b/>
                <w:bCs/>
                <w:lang w:val="uk-UA"/>
              </w:rPr>
              <w:t>0,00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0F2B60" w:rsidRDefault="00DA67D6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34 000</w:t>
            </w:r>
          </w:p>
        </w:tc>
        <w:tc>
          <w:tcPr>
            <w:tcW w:w="1966" w:type="dxa"/>
          </w:tcPr>
          <w:p w:rsidR="00FD58A8" w:rsidRPr="005B233F" w:rsidRDefault="00220A21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163,33</w:t>
            </w:r>
          </w:p>
        </w:tc>
      </w:tr>
    </w:tbl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  <w:r w:rsidR="009440FE">
        <w:rPr>
          <w:lang w:val="uk-UA"/>
        </w:rPr>
        <w:t xml:space="preserve">    </w:t>
      </w:r>
    </w:p>
    <w:p w:rsidR="009440FE" w:rsidRDefault="009440FE" w:rsidP="009440FE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</w:t>
      </w:r>
      <w:r w:rsidR="00BA4F78">
        <w:rPr>
          <w:lang w:val="uk-UA"/>
        </w:rPr>
        <w:t xml:space="preserve">керівника та </w:t>
      </w:r>
      <w:r>
        <w:rPr>
          <w:lang w:val="uk-UA"/>
        </w:rPr>
        <w:t xml:space="preserve">заступників керівника апарату збільшено за </w:t>
      </w:r>
      <w:r w:rsidR="00E34B49">
        <w:rPr>
          <w:lang w:val="uk-UA"/>
        </w:rPr>
        <w:t>рахунок виплати поточної премії, допомоги на оздоровлення та  виплати відпускних за липень.</w:t>
      </w:r>
    </w:p>
    <w:p w:rsidR="00CB3D9F" w:rsidRDefault="00CB3D9F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12024">
        <w:rPr>
          <w:lang w:val="uk-UA"/>
        </w:rPr>
        <w:t>,</w:t>
      </w:r>
      <w:r w:rsidR="00D8148C">
        <w:rPr>
          <w:lang w:val="uk-UA"/>
        </w:rPr>
        <w:t xml:space="preserve"> </w:t>
      </w:r>
      <w:r w:rsidR="00AF698D">
        <w:rPr>
          <w:lang w:val="uk-UA"/>
        </w:rPr>
        <w:t>доплату</w:t>
      </w:r>
      <w:r w:rsidR="00AF698D" w:rsidRPr="00AF698D">
        <w:rPr>
          <w:lang w:val="uk-UA"/>
        </w:rPr>
        <w:t xml:space="preserve"> за роботу, що передбачає доступ до державної таємниці</w:t>
      </w:r>
      <w:r w:rsidR="005274FA">
        <w:rPr>
          <w:lang w:val="uk-UA"/>
        </w:rPr>
        <w:t xml:space="preserve">, </w:t>
      </w:r>
      <w:r w:rsidR="00E34B49">
        <w:rPr>
          <w:lang w:val="uk-UA"/>
        </w:rPr>
        <w:t xml:space="preserve">виплати поточної премії, допомоги на оздоровлення та </w:t>
      </w:r>
      <w:r w:rsidR="00C03C87">
        <w:rPr>
          <w:lang w:val="uk-UA"/>
        </w:rPr>
        <w:t>виплати відпускних за липень.</w:t>
      </w:r>
    </w:p>
    <w:p w:rsidR="000B0870" w:rsidRDefault="000B0870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головних спеціалістів збільшено за </w:t>
      </w:r>
      <w:r w:rsidR="00A41F64">
        <w:rPr>
          <w:lang w:val="uk-UA"/>
        </w:rPr>
        <w:t>рахунок</w:t>
      </w:r>
      <w:r w:rsidR="00585527">
        <w:rPr>
          <w:lang w:val="uk-UA"/>
        </w:rPr>
        <w:t xml:space="preserve"> </w:t>
      </w:r>
      <w:r w:rsidR="00EA4309">
        <w:rPr>
          <w:lang w:val="uk-UA"/>
        </w:rPr>
        <w:t>доплати</w:t>
      </w:r>
      <w:r w:rsidR="00EA4309" w:rsidRPr="00AF698D">
        <w:rPr>
          <w:lang w:val="uk-UA"/>
        </w:rPr>
        <w:t xml:space="preserve"> за роботу, що передбачає доступ до державної таємниці</w:t>
      </w:r>
      <w:r w:rsidR="005274FA">
        <w:rPr>
          <w:lang w:val="uk-UA"/>
        </w:rPr>
        <w:t>,</w:t>
      </w:r>
    </w:p>
    <w:p w:rsidR="00EA4309" w:rsidRDefault="005274FA" w:rsidP="00AF698D">
      <w:pPr>
        <w:jc w:val="both"/>
        <w:rPr>
          <w:lang w:val="uk-UA"/>
        </w:rPr>
      </w:pPr>
      <w:r>
        <w:rPr>
          <w:lang w:val="uk-UA"/>
        </w:rPr>
        <w:t>виплати поточної премії, допомоги на оздоровлення та виплати відпускних за липень.</w:t>
      </w:r>
    </w:p>
    <w:p w:rsidR="00006704" w:rsidRDefault="00564326" w:rsidP="00564326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>
        <w:rPr>
          <w:lang w:val="uk-UA"/>
        </w:rPr>
        <w:t>місяць</w:t>
      </w:r>
      <w:r w:rsidRPr="005D6148">
        <w:rPr>
          <w:lang w:val="uk-UA"/>
        </w:rPr>
        <w:t xml:space="preserve"> секретарів судового засідання збільшено за ра</w:t>
      </w:r>
      <w:r>
        <w:rPr>
          <w:lang w:val="uk-UA"/>
        </w:rPr>
        <w:t>хун</w:t>
      </w:r>
      <w:r w:rsidR="005274FA">
        <w:rPr>
          <w:lang w:val="uk-UA"/>
        </w:rPr>
        <w:t xml:space="preserve">ок виплати відпускних за липень,  допомоги на оздоровлення, </w:t>
      </w:r>
      <w:r w:rsidR="00E274DC">
        <w:rPr>
          <w:lang w:val="uk-UA"/>
        </w:rPr>
        <w:t xml:space="preserve"> виплати поточної премії та компенсації невикористаної відпустки при звільнені.</w:t>
      </w:r>
      <w:r w:rsidRPr="005D6148">
        <w:rPr>
          <w:lang w:val="uk-UA"/>
        </w:rPr>
        <w:t xml:space="preserve"> </w:t>
      </w:r>
    </w:p>
    <w:p w:rsidR="00564326" w:rsidRPr="00A81DEF" w:rsidRDefault="00006704" w:rsidP="00006704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</w:t>
      </w:r>
      <w:r w:rsidR="00DF6EF2">
        <w:rPr>
          <w:lang w:val="uk-UA"/>
        </w:rPr>
        <w:t xml:space="preserve"> місяць </w:t>
      </w:r>
      <w:r>
        <w:rPr>
          <w:lang w:val="uk-UA"/>
        </w:rPr>
        <w:t xml:space="preserve"> секретарів суду збільшено за рахуно</w:t>
      </w:r>
      <w:r w:rsidR="00DF6EF2">
        <w:rPr>
          <w:lang w:val="uk-UA"/>
        </w:rPr>
        <w:t>к виплати  відпускних за липень</w:t>
      </w:r>
      <w:r>
        <w:rPr>
          <w:lang w:val="uk-UA"/>
        </w:rPr>
        <w:t>,  допомоги на оздоровлення та  виплати поточної премії.</w:t>
      </w:r>
    </w:p>
    <w:p w:rsidR="00AA18CD" w:rsidRDefault="00C75D81" w:rsidP="008B436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</w:t>
      </w:r>
      <w:r w:rsidR="00CB3D9F" w:rsidRPr="00DD2C4D">
        <w:rPr>
          <w:lang w:val="uk-UA"/>
        </w:rPr>
        <w:t xml:space="preserve">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A90DE4">
        <w:rPr>
          <w:lang w:val="uk-UA"/>
        </w:rPr>
        <w:t xml:space="preserve">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966094">
        <w:rPr>
          <w:lang w:val="uk-UA"/>
        </w:rPr>
        <w:t>.</w:t>
      </w:r>
    </w:p>
    <w:p w:rsidR="0033436C" w:rsidRDefault="0033436C" w:rsidP="008B4362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05279D">
        <w:rPr>
          <w:lang w:val="uk-UA"/>
        </w:rPr>
        <w:t>Середній розмір заробітної плати за звітний місяць помічників суддів збільшено за рахунок ви</w:t>
      </w:r>
      <w:r w:rsidR="00DE21A8">
        <w:rPr>
          <w:lang w:val="uk-UA"/>
        </w:rPr>
        <w:t>плати поточної премі</w:t>
      </w:r>
      <w:r w:rsidR="00B24189">
        <w:rPr>
          <w:lang w:val="uk-UA"/>
        </w:rPr>
        <w:t xml:space="preserve">ї, допомоги на оздоровлення та виплати </w:t>
      </w:r>
      <w:r w:rsidR="00DE21A8">
        <w:rPr>
          <w:lang w:val="uk-UA"/>
        </w:rPr>
        <w:t>відпускних за липень.</w:t>
      </w:r>
    </w:p>
    <w:p w:rsidR="009857DF" w:rsidRDefault="009F4B66" w:rsidP="00CB3D9F">
      <w:pPr>
        <w:jc w:val="both"/>
        <w:rPr>
          <w:lang w:val="uk-UA"/>
        </w:rPr>
      </w:pPr>
      <w:r>
        <w:rPr>
          <w:lang w:val="uk-UA"/>
        </w:rPr>
        <w:t xml:space="preserve">                   </w:t>
      </w:r>
      <w:r w:rsidR="00CD1EF7">
        <w:rPr>
          <w:lang w:val="uk-UA"/>
        </w:rPr>
        <w:t xml:space="preserve"> </w:t>
      </w:r>
      <w:r w:rsidR="00CB3D9F" w:rsidRPr="0074373D">
        <w:rPr>
          <w:lang w:val="uk-UA"/>
        </w:rPr>
        <w:t>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="00CB3D9F"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A83CBD">
        <w:rPr>
          <w:lang w:val="uk-UA"/>
        </w:rPr>
        <w:t>,</w:t>
      </w:r>
      <w:r w:rsidR="00D14CC2">
        <w:rPr>
          <w:lang w:val="uk-UA"/>
        </w:rPr>
        <w:t xml:space="preserve"> </w:t>
      </w:r>
      <w:r w:rsidR="008315AB">
        <w:rPr>
          <w:lang w:val="uk-UA"/>
        </w:rPr>
        <w:t>доплату за шк</w:t>
      </w:r>
      <w:r w:rsidR="00A83CBD">
        <w:rPr>
          <w:lang w:val="uk-UA"/>
        </w:rPr>
        <w:t>ідливість, допомогу на оздоровлення та</w:t>
      </w:r>
      <w:r w:rsidR="00D46A99">
        <w:rPr>
          <w:lang w:val="uk-UA"/>
        </w:rPr>
        <w:t xml:space="preserve"> виплати</w:t>
      </w:r>
      <w:bookmarkStart w:id="0" w:name="_GoBack"/>
      <w:bookmarkEnd w:id="0"/>
      <w:r w:rsidR="00A83CBD">
        <w:rPr>
          <w:lang w:val="uk-UA"/>
        </w:rPr>
        <w:t xml:space="preserve"> відпускних за липень.</w:t>
      </w:r>
    </w:p>
    <w:p w:rsidR="00044E55" w:rsidRDefault="00044E55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sectPr w:rsidR="00044E55" w:rsidSect="00AF4DB7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06704"/>
    <w:rsid w:val="00007AAE"/>
    <w:rsid w:val="00010805"/>
    <w:rsid w:val="00014F08"/>
    <w:rsid w:val="00023126"/>
    <w:rsid w:val="00044E55"/>
    <w:rsid w:val="00050E2C"/>
    <w:rsid w:val="0005279D"/>
    <w:rsid w:val="00052AF6"/>
    <w:rsid w:val="00073350"/>
    <w:rsid w:val="00074052"/>
    <w:rsid w:val="00086E82"/>
    <w:rsid w:val="000900E8"/>
    <w:rsid w:val="00091D07"/>
    <w:rsid w:val="000A0500"/>
    <w:rsid w:val="000B0870"/>
    <w:rsid w:val="000D1B3A"/>
    <w:rsid w:val="000D368B"/>
    <w:rsid w:val="000E06C5"/>
    <w:rsid w:val="000E35B6"/>
    <w:rsid w:val="000F2B60"/>
    <w:rsid w:val="001079F9"/>
    <w:rsid w:val="001135CA"/>
    <w:rsid w:val="00116C3F"/>
    <w:rsid w:val="001220AF"/>
    <w:rsid w:val="00125E7C"/>
    <w:rsid w:val="0013012D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12024"/>
    <w:rsid w:val="00220A21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2F493E"/>
    <w:rsid w:val="00301D7D"/>
    <w:rsid w:val="0030768F"/>
    <w:rsid w:val="003258C9"/>
    <w:rsid w:val="0033436C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3F99"/>
    <w:rsid w:val="00406D62"/>
    <w:rsid w:val="004105DA"/>
    <w:rsid w:val="00417E33"/>
    <w:rsid w:val="0043218F"/>
    <w:rsid w:val="0043471C"/>
    <w:rsid w:val="00452F37"/>
    <w:rsid w:val="00471951"/>
    <w:rsid w:val="004809AF"/>
    <w:rsid w:val="00485DFB"/>
    <w:rsid w:val="004A3101"/>
    <w:rsid w:val="004A7578"/>
    <w:rsid w:val="004B1599"/>
    <w:rsid w:val="004B335B"/>
    <w:rsid w:val="004D2764"/>
    <w:rsid w:val="004D7198"/>
    <w:rsid w:val="004E2374"/>
    <w:rsid w:val="004E6241"/>
    <w:rsid w:val="004F3345"/>
    <w:rsid w:val="004F6A11"/>
    <w:rsid w:val="004F75AF"/>
    <w:rsid w:val="00503348"/>
    <w:rsid w:val="005033F7"/>
    <w:rsid w:val="0052308E"/>
    <w:rsid w:val="0052322F"/>
    <w:rsid w:val="005271C2"/>
    <w:rsid w:val="005274FA"/>
    <w:rsid w:val="005324E4"/>
    <w:rsid w:val="00537CCE"/>
    <w:rsid w:val="00553FF8"/>
    <w:rsid w:val="00564326"/>
    <w:rsid w:val="00565C2F"/>
    <w:rsid w:val="00566326"/>
    <w:rsid w:val="00576D27"/>
    <w:rsid w:val="00585527"/>
    <w:rsid w:val="005A227E"/>
    <w:rsid w:val="005A5BD3"/>
    <w:rsid w:val="005B0D68"/>
    <w:rsid w:val="005B1AE7"/>
    <w:rsid w:val="005B233F"/>
    <w:rsid w:val="005B338C"/>
    <w:rsid w:val="005B6A48"/>
    <w:rsid w:val="005D1395"/>
    <w:rsid w:val="005D6148"/>
    <w:rsid w:val="005E14A1"/>
    <w:rsid w:val="005E225D"/>
    <w:rsid w:val="005F5AF0"/>
    <w:rsid w:val="005F725A"/>
    <w:rsid w:val="0060377C"/>
    <w:rsid w:val="00624040"/>
    <w:rsid w:val="0064597D"/>
    <w:rsid w:val="00650BD1"/>
    <w:rsid w:val="00664722"/>
    <w:rsid w:val="00670D8F"/>
    <w:rsid w:val="00684E58"/>
    <w:rsid w:val="006946AA"/>
    <w:rsid w:val="00696655"/>
    <w:rsid w:val="006C0BA8"/>
    <w:rsid w:val="006C4147"/>
    <w:rsid w:val="006D1E81"/>
    <w:rsid w:val="006D2CC4"/>
    <w:rsid w:val="006D3C9A"/>
    <w:rsid w:val="006D3E63"/>
    <w:rsid w:val="006E0B0F"/>
    <w:rsid w:val="006E3BEB"/>
    <w:rsid w:val="00733A82"/>
    <w:rsid w:val="00735B26"/>
    <w:rsid w:val="0074373D"/>
    <w:rsid w:val="0075381B"/>
    <w:rsid w:val="00754EB2"/>
    <w:rsid w:val="00760006"/>
    <w:rsid w:val="0076332B"/>
    <w:rsid w:val="007765A6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B4362"/>
    <w:rsid w:val="008C1E4A"/>
    <w:rsid w:val="008E543E"/>
    <w:rsid w:val="0090232A"/>
    <w:rsid w:val="00924B81"/>
    <w:rsid w:val="00927A5E"/>
    <w:rsid w:val="00933A60"/>
    <w:rsid w:val="0093761E"/>
    <w:rsid w:val="00943249"/>
    <w:rsid w:val="009440FE"/>
    <w:rsid w:val="0094425A"/>
    <w:rsid w:val="00954821"/>
    <w:rsid w:val="009551D2"/>
    <w:rsid w:val="00963E74"/>
    <w:rsid w:val="00966094"/>
    <w:rsid w:val="009857DF"/>
    <w:rsid w:val="009A0DF9"/>
    <w:rsid w:val="009A3419"/>
    <w:rsid w:val="009C5C5B"/>
    <w:rsid w:val="009D43BB"/>
    <w:rsid w:val="009E1969"/>
    <w:rsid w:val="009F05DD"/>
    <w:rsid w:val="009F4821"/>
    <w:rsid w:val="009F4B66"/>
    <w:rsid w:val="00A00094"/>
    <w:rsid w:val="00A114A7"/>
    <w:rsid w:val="00A1401F"/>
    <w:rsid w:val="00A21B78"/>
    <w:rsid w:val="00A2714D"/>
    <w:rsid w:val="00A40403"/>
    <w:rsid w:val="00A41F64"/>
    <w:rsid w:val="00A50D41"/>
    <w:rsid w:val="00A51B93"/>
    <w:rsid w:val="00A755CF"/>
    <w:rsid w:val="00A76D25"/>
    <w:rsid w:val="00A81DEF"/>
    <w:rsid w:val="00A81F6A"/>
    <w:rsid w:val="00A834F9"/>
    <w:rsid w:val="00A83CBD"/>
    <w:rsid w:val="00A852F2"/>
    <w:rsid w:val="00A8669C"/>
    <w:rsid w:val="00A90DE4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AF4DB7"/>
    <w:rsid w:val="00AF698D"/>
    <w:rsid w:val="00B053D9"/>
    <w:rsid w:val="00B0550F"/>
    <w:rsid w:val="00B12133"/>
    <w:rsid w:val="00B15246"/>
    <w:rsid w:val="00B24189"/>
    <w:rsid w:val="00B256BE"/>
    <w:rsid w:val="00B315A9"/>
    <w:rsid w:val="00B55005"/>
    <w:rsid w:val="00B6080D"/>
    <w:rsid w:val="00B66553"/>
    <w:rsid w:val="00B704CA"/>
    <w:rsid w:val="00B70982"/>
    <w:rsid w:val="00B72269"/>
    <w:rsid w:val="00B93B1E"/>
    <w:rsid w:val="00BA4F78"/>
    <w:rsid w:val="00BB40A6"/>
    <w:rsid w:val="00BB5D52"/>
    <w:rsid w:val="00BB6B22"/>
    <w:rsid w:val="00BC7DCF"/>
    <w:rsid w:val="00BD2414"/>
    <w:rsid w:val="00BD3B88"/>
    <w:rsid w:val="00BF2ACE"/>
    <w:rsid w:val="00C01856"/>
    <w:rsid w:val="00C03C87"/>
    <w:rsid w:val="00C45AA0"/>
    <w:rsid w:val="00C560A2"/>
    <w:rsid w:val="00C63134"/>
    <w:rsid w:val="00C67CBA"/>
    <w:rsid w:val="00C75D81"/>
    <w:rsid w:val="00C80E1F"/>
    <w:rsid w:val="00C80E4E"/>
    <w:rsid w:val="00C80FCB"/>
    <w:rsid w:val="00C844B4"/>
    <w:rsid w:val="00C912D8"/>
    <w:rsid w:val="00C947AA"/>
    <w:rsid w:val="00CA1EAC"/>
    <w:rsid w:val="00CB23CF"/>
    <w:rsid w:val="00CB3D9F"/>
    <w:rsid w:val="00CD1EF7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6A99"/>
    <w:rsid w:val="00D478C9"/>
    <w:rsid w:val="00D50233"/>
    <w:rsid w:val="00D50BD8"/>
    <w:rsid w:val="00D5151B"/>
    <w:rsid w:val="00D537BA"/>
    <w:rsid w:val="00D5696B"/>
    <w:rsid w:val="00D7184A"/>
    <w:rsid w:val="00D80E3A"/>
    <w:rsid w:val="00D8148C"/>
    <w:rsid w:val="00D8261B"/>
    <w:rsid w:val="00D9046A"/>
    <w:rsid w:val="00DA30FC"/>
    <w:rsid w:val="00DA5459"/>
    <w:rsid w:val="00DA67D6"/>
    <w:rsid w:val="00DA79E4"/>
    <w:rsid w:val="00DB6C19"/>
    <w:rsid w:val="00DC108A"/>
    <w:rsid w:val="00DD2C4D"/>
    <w:rsid w:val="00DD2F3E"/>
    <w:rsid w:val="00DE1108"/>
    <w:rsid w:val="00DE21A8"/>
    <w:rsid w:val="00DE26A5"/>
    <w:rsid w:val="00DE6394"/>
    <w:rsid w:val="00DF6924"/>
    <w:rsid w:val="00DF6EF2"/>
    <w:rsid w:val="00DF72CA"/>
    <w:rsid w:val="00E04BA3"/>
    <w:rsid w:val="00E054EF"/>
    <w:rsid w:val="00E123D8"/>
    <w:rsid w:val="00E274DC"/>
    <w:rsid w:val="00E33B50"/>
    <w:rsid w:val="00E34B49"/>
    <w:rsid w:val="00E408DE"/>
    <w:rsid w:val="00E52B86"/>
    <w:rsid w:val="00E7766B"/>
    <w:rsid w:val="00E825E4"/>
    <w:rsid w:val="00E83676"/>
    <w:rsid w:val="00E92155"/>
    <w:rsid w:val="00EA4309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23DD7"/>
    <w:rsid w:val="00F46ACC"/>
    <w:rsid w:val="00F578A9"/>
    <w:rsid w:val="00F63261"/>
    <w:rsid w:val="00FA291D"/>
    <w:rsid w:val="00FB5D55"/>
    <w:rsid w:val="00FD49D8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FBE3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1F5B-0260-467C-A820-9AB3BAE0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477</cp:revision>
  <cp:lastPrinted>2026-06-01T11:46:00Z</cp:lastPrinted>
  <dcterms:created xsi:type="dcterms:W3CDTF">2024-03-11T10:30:00Z</dcterms:created>
  <dcterms:modified xsi:type="dcterms:W3CDTF">2026-07-07T07:45:00Z</dcterms:modified>
</cp:coreProperties>
</file>