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683F5" w14:textId="77777777" w:rsidR="000216B9" w:rsidRPr="00205357" w:rsidRDefault="00EF4DCD" w:rsidP="000216B9">
      <w:pPr>
        <w:spacing w:line="276" w:lineRule="auto"/>
        <w:jc w:val="center"/>
        <w:rPr>
          <w:b/>
          <w:bCs/>
          <w:kern w:val="28"/>
          <w:sz w:val="28"/>
          <w:szCs w:val="28"/>
        </w:rPr>
      </w:pPr>
      <w:r w:rsidRPr="00205357">
        <w:rPr>
          <w:b/>
          <w:bCs/>
          <w:kern w:val="28"/>
          <w:sz w:val="28"/>
          <w:szCs w:val="28"/>
        </w:rPr>
        <w:t xml:space="preserve">Огляд </w:t>
      </w:r>
    </w:p>
    <w:p w14:paraId="633116FB" w14:textId="77777777" w:rsidR="00EF4DCD" w:rsidRPr="00205357" w:rsidRDefault="00EF4DCD" w:rsidP="00E16C48">
      <w:pPr>
        <w:spacing w:line="276" w:lineRule="auto"/>
        <w:jc w:val="center"/>
        <w:rPr>
          <w:b/>
          <w:bCs/>
          <w:kern w:val="28"/>
          <w:sz w:val="28"/>
          <w:szCs w:val="28"/>
        </w:rPr>
      </w:pPr>
      <w:r w:rsidRPr="00205357">
        <w:rPr>
          <w:b/>
          <w:bCs/>
          <w:kern w:val="28"/>
          <w:sz w:val="28"/>
          <w:szCs w:val="28"/>
        </w:rPr>
        <w:t>стан</w:t>
      </w:r>
      <w:r w:rsidR="000216B9" w:rsidRPr="00205357">
        <w:rPr>
          <w:b/>
          <w:bCs/>
          <w:kern w:val="28"/>
          <w:sz w:val="28"/>
          <w:szCs w:val="28"/>
        </w:rPr>
        <w:t>у</w:t>
      </w:r>
      <w:r w:rsidRPr="00205357">
        <w:rPr>
          <w:b/>
          <w:bCs/>
          <w:kern w:val="28"/>
          <w:sz w:val="28"/>
          <w:szCs w:val="28"/>
        </w:rPr>
        <w:t xml:space="preserve"> здійснення правосуддя </w:t>
      </w:r>
    </w:p>
    <w:p w14:paraId="6D4B983D" w14:textId="77777777" w:rsidR="009F3651" w:rsidRPr="00205357" w:rsidRDefault="009F3651" w:rsidP="00E16C48">
      <w:pPr>
        <w:spacing w:line="276" w:lineRule="auto"/>
        <w:jc w:val="center"/>
        <w:rPr>
          <w:b/>
          <w:bCs/>
          <w:kern w:val="28"/>
          <w:sz w:val="28"/>
          <w:szCs w:val="28"/>
        </w:rPr>
      </w:pPr>
      <w:r w:rsidRPr="00205357">
        <w:rPr>
          <w:b/>
          <w:bCs/>
          <w:kern w:val="28"/>
          <w:sz w:val="28"/>
          <w:szCs w:val="28"/>
        </w:rPr>
        <w:t xml:space="preserve">Київським окружним адміністративним судом </w:t>
      </w:r>
    </w:p>
    <w:p w14:paraId="081C3C12" w14:textId="716A2981" w:rsidR="009F3651" w:rsidRPr="00205357" w:rsidRDefault="00822B18" w:rsidP="00E16C48">
      <w:pPr>
        <w:spacing w:line="276" w:lineRule="auto"/>
        <w:jc w:val="center"/>
        <w:rPr>
          <w:b/>
          <w:bCs/>
          <w:kern w:val="28"/>
          <w:sz w:val="28"/>
          <w:szCs w:val="28"/>
        </w:rPr>
      </w:pPr>
      <w:r w:rsidRPr="00205357">
        <w:rPr>
          <w:b/>
          <w:bCs/>
          <w:kern w:val="28"/>
          <w:sz w:val="28"/>
          <w:szCs w:val="28"/>
        </w:rPr>
        <w:t>у</w:t>
      </w:r>
      <w:r w:rsidR="009F3651" w:rsidRPr="00205357">
        <w:rPr>
          <w:b/>
          <w:bCs/>
          <w:kern w:val="28"/>
          <w:sz w:val="28"/>
          <w:szCs w:val="28"/>
        </w:rPr>
        <w:t xml:space="preserve"> 20</w:t>
      </w:r>
      <w:r w:rsidR="0001509B" w:rsidRPr="00205357">
        <w:rPr>
          <w:b/>
          <w:bCs/>
          <w:kern w:val="28"/>
          <w:sz w:val="28"/>
          <w:szCs w:val="28"/>
        </w:rPr>
        <w:t>2</w:t>
      </w:r>
      <w:r w:rsidR="003B5497">
        <w:rPr>
          <w:b/>
          <w:bCs/>
          <w:kern w:val="28"/>
          <w:sz w:val="28"/>
          <w:szCs w:val="28"/>
        </w:rPr>
        <w:t>2</w:t>
      </w:r>
      <w:r w:rsidR="009F3651" w:rsidRPr="00205357">
        <w:rPr>
          <w:b/>
          <w:bCs/>
          <w:kern w:val="28"/>
          <w:sz w:val="28"/>
          <w:szCs w:val="28"/>
        </w:rPr>
        <w:t xml:space="preserve"> ро</w:t>
      </w:r>
      <w:r w:rsidR="00201A2C" w:rsidRPr="00205357">
        <w:rPr>
          <w:b/>
          <w:bCs/>
          <w:kern w:val="28"/>
          <w:sz w:val="28"/>
          <w:szCs w:val="28"/>
        </w:rPr>
        <w:t>ці</w:t>
      </w:r>
    </w:p>
    <w:p w14:paraId="3E394532" w14:textId="77777777" w:rsidR="00867C6A" w:rsidRPr="00205357" w:rsidRDefault="00867C6A" w:rsidP="00FE4C10">
      <w:pPr>
        <w:ind w:firstLine="709"/>
        <w:jc w:val="both"/>
        <w:rPr>
          <w:b/>
          <w:bCs/>
          <w:kern w:val="28"/>
          <w:sz w:val="28"/>
          <w:szCs w:val="28"/>
        </w:rPr>
      </w:pPr>
    </w:p>
    <w:p w14:paraId="36207405" w14:textId="0CE9EA73" w:rsidR="00867C6A" w:rsidRPr="00205357" w:rsidRDefault="00CD3782" w:rsidP="00FE4C10">
      <w:pPr>
        <w:ind w:firstLine="709"/>
        <w:jc w:val="both"/>
        <w:rPr>
          <w:kern w:val="28"/>
          <w:sz w:val="28"/>
          <w:szCs w:val="28"/>
        </w:rPr>
      </w:pPr>
      <w:r w:rsidRPr="00205357">
        <w:rPr>
          <w:kern w:val="28"/>
          <w:sz w:val="28"/>
          <w:szCs w:val="28"/>
        </w:rPr>
        <w:t xml:space="preserve">Відділом правової, аналітично-статистичної роботи та узагальнення судової практики Київського окружного адміністративного суду (далі – ВПАСРУСП КОАС) </w:t>
      </w:r>
      <w:r w:rsidR="009B39D6" w:rsidRPr="00205357">
        <w:rPr>
          <w:kern w:val="28"/>
          <w:sz w:val="28"/>
          <w:szCs w:val="28"/>
        </w:rPr>
        <w:t xml:space="preserve">підготовлено </w:t>
      </w:r>
      <w:r w:rsidR="00EF4DCD" w:rsidRPr="00205357">
        <w:rPr>
          <w:kern w:val="28"/>
          <w:sz w:val="28"/>
          <w:szCs w:val="28"/>
        </w:rPr>
        <w:t>огляд даних про стан здійснення правосуддя</w:t>
      </w:r>
      <w:r w:rsidR="00867C6A" w:rsidRPr="00205357">
        <w:rPr>
          <w:kern w:val="28"/>
          <w:sz w:val="28"/>
          <w:szCs w:val="28"/>
        </w:rPr>
        <w:t xml:space="preserve"> у</w:t>
      </w:r>
      <w:r w:rsidRPr="00205357">
        <w:rPr>
          <w:kern w:val="28"/>
          <w:sz w:val="28"/>
          <w:szCs w:val="28"/>
        </w:rPr>
        <w:t xml:space="preserve"> </w:t>
      </w:r>
      <w:r w:rsidR="00867C6A" w:rsidRPr="00205357">
        <w:rPr>
          <w:kern w:val="28"/>
          <w:sz w:val="28"/>
          <w:szCs w:val="28"/>
        </w:rPr>
        <w:t>20</w:t>
      </w:r>
      <w:r w:rsidR="0001509B" w:rsidRPr="00205357">
        <w:rPr>
          <w:kern w:val="28"/>
          <w:sz w:val="28"/>
          <w:szCs w:val="28"/>
        </w:rPr>
        <w:t>2</w:t>
      </w:r>
      <w:r w:rsidR="003B5497">
        <w:rPr>
          <w:kern w:val="28"/>
          <w:sz w:val="28"/>
          <w:szCs w:val="28"/>
        </w:rPr>
        <w:t>2</w:t>
      </w:r>
      <w:r w:rsidR="00867C6A" w:rsidRPr="00205357">
        <w:rPr>
          <w:kern w:val="28"/>
          <w:sz w:val="28"/>
          <w:szCs w:val="28"/>
        </w:rPr>
        <w:t xml:space="preserve"> ро</w:t>
      </w:r>
      <w:r w:rsidR="000A180E" w:rsidRPr="00205357">
        <w:rPr>
          <w:kern w:val="28"/>
          <w:sz w:val="28"/>
          <w:szCs w:val="28"/>
        </w:rPr>
        <w:t>ці</w:t>
      </w:r>
      <w:r w:rsidR="00867C6A" w:rsidRPr="00205357">
        <w:rPr>
          <w:kern w:val="28"/>
          <w:sz w:val="28"/>
          <w:szCs w:val="28"/>
        </w:rPr>
        <w:t>.</w:t>
      </w:r>
    </w:p>
    <w:p w14:paraId="160FAA07" w14:textId="77777777" w:rsidR="00867C6A" w:rsidRPr="00205357" w:rsidRDefault="00867C6A" w:rsidP="00FE4C10">
      <w:pPr>
        <w:ind w:firstLine="709"/>
        <w:jc w:val="both"/>
        <w:rPr>
          <w:kern w:val="28"/>
          <w:sz w:val="28"/>
          <w:szCs w:val="28"/>
        </w:rPr>
      </w:pPr>
      <w:r w:rsidRPr="00205357">
        <w:rPr>
          <w:kern w:val="28"/>
          <w:sz w:val="28"/>
          <w:szCs w:val="28"/>
        </w:rPr>
        <w:t xml:space="preserve">Метою цього аналітичного огляду є надання кількісної характеристики діяльності </w:t>
      </w:r>
      <w:r w:rsidR="00CD3782" w:rsidRPr="00205357">
        <w:rPr>
          <w:kern w:val="28"/>
          <w:sz w:val="28"/>
          <w:szCs w:val="28"/>
        </w:rPr>
        <w:t xml:space="preserve">КОАС </w:t>
      </w:r>
      <w:r w:rsidRPr="00205357">
        <w:rPr>
          <w:kern w:val="28"/>
          <w:sz w:val="28"/>
          <w:szCs w:val="28"/>
        </w:rPr>
        <w:t xml:space="preserve">для оцінки ефективності </w:t>
      </w:r>
      <w:r w:rsidR="00CD3782" w:rsidRPr="00205357">
        <w:rPr>
          <w:kern w:val="28"/>
          <w:sz w:val="28"/>
          <w:szCs w:val="28"/>
        </w:rPr>
        <w:t>роботи суду.</w:t>
      </w:r>
    </w:p>
    <w:p w14:paraId="71FA8995" w14:textId="77777777" w:rsidR="00867C6A" w:rsidRPr="00205357" w:rsidRDefault="00867C6A" w:rsidP="00FE4C10">
      <w:pPr>
        <w:ind w:firstLine="709"/>
        <w:jc w:val="both"/>
        <w:rPr>
          <w:bCs/>
          <w:iCs/>
          <w:kern w:val="28"/>
          <w:sz w:val="28"/>
          <w:szCs w:val="28"/>
        </w:rPr>
      </w:pPr>
      <w:r w:rsidRPr="00205357">
        <w:rPr>
          <w:kern w:val="28"/>
          <w:sz w:val="28"/>
          <w:szCs w:val="28"/>
        </w:rPr>
        <w:t xml:space="preserve">Цей аналіз здійснено на підставі </w:t>
      </w:r>
      <w:r w:rsidRPr="00205357">
        <w:rPr>
          <w:bCs/>
          <w:iCs/>
          <w:kern w:val="28"/>
          <w:sz w:val="28"/>
          <w:szCs w:val="28"/>
        </w:rPr>
        <w:t>статистичних звітів про здійснення адміністративного судочинства</w:t>
      </w:r>
      <w:r w:rsidR="009B39D6" w:rsidRPr="00205357">
        <w:rPr>
          <w:bCs/>
          <w:iCs/>
          <w:kern w:val="28"/>
          <w:sz w:val="28"/>
          <w:szCs w:val="28"/>
        </w:rPr>
        <w:t xml:space="preserve"> КОАС</w:t>
      </w:r>
      <w:r w:rsidRPr="00205357">
        <w:rPr>
          <w:bCs/>
          <w:iCs/>
          <w:kern w:val="28"/>
          <w:sz w:val="28"/>
          <w:szCs w:val="28"/>
        </w:rPr>
        <w:t>.</w:t>
      </w:r>
    </w:p>
    <w:p w14:paraId="337D1E6D" w14:textId="77777777" w:rsidR="00867C6A" w:rsidRPr="00205357" w:rsidRDefault="00867C6A" w:rsidP="00FE4C10">
      <w:pPr>
        <w:ind w:firstLine="709"/>
        <w:jc w:val="both"/>
        <w:rPr>
          <w:kern w:val="28"/>
          <w:sz w:val="28"/>
          <w:szCs w:val="28"/>
        </w:rPr>
      </w:pPr>
      <w:r w:rsidRPr="00205357">
        <w:rPr>
          <w:kern w:val="28"/>
          <w:sz w:val="28"/>
          <w:szCs w:val="28"/>
          <w:lang w:eastAsia="uk-UA"/>
        </w:rPr>
        <w:t xml:space="preserve">Для оцінки якості роботи </w:t>
      </w:r>
      <w:r w:rsidR="00462BC3" w:rsidRPr="00205357">
        <w:rPr>
          <w:kern w:val="28"/>
          <w:sz w:val="28"/>
          <w:szCs w:val="28"/>
          <w:lang w:eastAsia="uk-UA"/>
        </w:rPr>
        <w:t xml:space="preserve">КОАС </w:t>
      </w:r>
      <w:r w:rsidRPr="00205357">
        <w:rPr>
          <w:kern w:val="28"/>
          <w:sz w:val="28"/>
          <w:szCs w:val="28"/>
          <w:lang w:eastAsia="uk-UA"/>
        </w:rPr>
        <w:t xml:space="preserve">використано </w:t>
      </w:r>
      <w:r w:rsidRPr="00205357">
        <w:rPr>
          <w:kern w:val="28"/>
          <w:sz w:val="28"/>
          <w:szCs w:val="28"/>
        </w:rPr>
        <w:t>показник «відсоток розгляду». Цей показник є одним з основних показників, що використовується в країнах-членах Ради Європи, а також США та в країнах-членах Міжнародного консорціуму за досконалість суду. Відсоток розгляду – це кількість розглянутих справ і матеріалів за звітний період, поділена на кількість нових справ і матеріалів</w:t>
      </w:r>
      <w:r w:rsidR="00182A80">
        <w:rPr>
          <w:kern w:val="28"/>
          <w:sz w:val="28"/>
          <w:szCs w:val="28"/>
        </w:rPr>
        <w:t>, що надійшли за звітний період</w:t>
      </w:r>
      <w:r w:rsidRPr="00205357">
        <w:rPr>
          <w:kern w:val="28"/>
          <w:sz w:val="28"/>
          <w:szCs w:val="28"/>
        </w:rPr>
        <w:t xml:space="preserve"> та помножена на 100 відсотків. </w:t>
      </w:r>
      <w:r w:rsidR="000C16D4" w:rsidRPr="00205357">
        <w:rPr>
          <w:kern w:val="28"/>
          <w:sz w:val="28"/>
          <w:szCs w:val="28"/>
        </w:rPr>
        <w:t>Згідно із</w:t>
      </w:r>
      <w:r w:rsidRPr="00205357">
        <w:rPr>
          <w:kern w:val="28"/>
          <w:sz w:val="28"/>
          <w:szCs w:val="28"/>
        </w:rPr>
        <w:t xml:space="preserve"> «Систем</w:t>
      </w:r>
      <w:r w:rsidR="000C16D4" w:rsidRPr="00205357">
        <w:rPr>
          <w:kern w:val="28"/>
          <w:sz w:val="28"/>
          <w:szCs w:val="28"/>
        </w:rPr>
        <w:t xml:space="preserve">ою </w:t>
      </w:r>
      <w:r w:rsidRPr="00205357">
        <w:rPr>
          <w:kern w:val="28"/>
          <w:sz w:val="28"/>
          <w:szCs w:val="28"/>
        </w:rPr>
        <w:t>оцінювання роботи суду: стандарти, критерії, показники та методи» (СОРС), затверджен</w:t>
      </w:r>
      <w:r w:rsidR="000C16D4" w:rsidRPr="00205357">
        <w:rPr>
          <w:kern w:val="28"/>
          <w:sz w:val="28"/>
          <w:szCs w:val="28"/>
        </w:rPr>
        <w:t xml:space="preserve">ою </w:t>
      </w:r>
      <w:r w:rsidRPr="00205357">
        <w:rPr>
          <w:kern w:val="28"/>
          <w:sz w:val="28"/>
          <w:szCs w:val="28"/>
        </w:rPr>
        <w:t>рішенням Ради суддів У</w:t>
      </w:r>
      <w:r w:rsidR="00887596" w:rsidRPr="00205357">
        <w:rPr>
          <w:kern w:val="28"/>
          <w:sz w:val="28"/>
          <w:szCs w:val="28"/>
        </w:rPr>
        <w:t>країни від 2 квітня 2015 року №</w:t>
      </w:r>
      <w:r w:rsidRPr="00205357">
        <w:rPr>
          <w:kern w:val="28"/>
          <w:sz w:val="28"/>
          <w:szCs w:val="28"/>
        </w:rPr>
        <w:t>28, для розробки системи оцінки та моніторингу якості правосуддя і функціонування суддів цей показник запропоновано використовувати як один із доцільних і об’єктивних показників, який дає можливість оцінити, наскільки успішно суд працює над розглядом справ.</w:t>
      </w:r>
    </w:p>
    <w:p w14:paraId="62051AD4" w14:textId="77777777" w:rsidR="00A04F48" w:rsidRPr="00205357" w:rsidRDefault="00A04F48" w:rsidP="00FE4C10">
      <w:pPr>
        <w:ind w:firstLine="709"/>
        <w:jc w:val="both"/>
        <w:rPr>
          <w:kern w:val="28"/>
          <w:sz w:val="28"/>
          <w:szCs w:val="28"/>
        </w:rPr>
      </w:pPr>
    </w:p>
    <w:p w14:paraId="78E3320B" w14:textId="77777777" w:rsidR="00867C6A" w:rsidRPr="00205357" w:rsidRDefault="00867C6A" w:rsidP="00FE4C10">
      <w:pPr>
        <w:pStyle w:val="1"/>
        <w:spacing w:before="0" w:beforeAutospacing="0" w:after="0" w:afterAutospacing="0"/>
        <w:jc w:val="center"/>
        <w:rPr>
          <w:kern w:val="28"/>
          <w:sz w:val="28"/>
          <w:szCs w:val="28"/>
        </w:rPr>
      </w:pPr>
      <w:bookmarkStart w:id="0" w:name="_Toc428365906"/>
      <w:bookmarkStart w:id="1" w:name="_Toc428543693"/>
      <w:r w:rsidRPr="00205357">
        <w:rPr>
          <w:kern w:val="28"/>
          <w:sz w:val="28"/>
          <w:szCs w:val="28"/>
        </w:rPr>
        <w:t>Здійснення адміністративного судочинства</w:t>
      </w:r>
      <w:bookmarkStart w:id="2" w:name="_Toc428365907"/>
      <w:bookmarkEnd w:id="0"/>
      <w:r w:rsidR="00845FF5" w:rsidRPr="00205357">
        <w:rPr>
          <w:kern w:val="28"/>
          <w:sz w:val="28"/>
          <w:szCs w:val="28"/>
        </w:rPr>
        <w:t xml:space="preserve"> </w:t>
      </w:r>
      <w:bookmarkEnd w:id="1"/>
      <w:bookmarkEnd w:id="2"/>
      <w:r w:rsidR="00845FF5" w:rsidRPr="00205357">
        <w:rPr>
          <w:kern w:val="28"/>
          <w:sz w:val="28"/>
          <w:szCs w:val="28"/>
        </w:rPr>
        <w:t>КОАС</w:t>
      </w:r>
    </w:p>
    <w:p w14:paraId="3F03D9F1" w14:textId="77777777" w:rsidR="00A04F48" w:rsidRPr="00205357" w:rsidRDefault="00A04F48" w:rsidP="00FE4C10">
      <w:pPr>
        <w:pStyle w:val="1"/>
        <w:spacing w:before="0" w:beforeAutospacing="0" w:after="0" w:afterAutospacing="0"/>
        <w:jc w:val="center"/>
        <w:rPr>
          <w:kern w:val="28"/>
          <w:sz w:val="28"/>
          <w:szCs w:val="28"/>
        </w:rPr>
      </w:pPr>
    </w:p>
    <w:p w14:paraId="11CCB577" w14:textId="77777777" w:rsidR="005760FD" w:rsidRPr="00205357" w:rsidRDefault="005760FD" w:rsidP="00205357">
      <w:pPr>
        <w:pStyle w:val="1"/>
        <w:numPr>
          <w:ilvl w:val="0"/>
          <w:numId w:val="9"/>
        </w:numPr>
        <w:spacing w:before="0" w:beforeAutospacing="0" w:after="0" w:afterAutospacing="0"/>
        <w:ind w:left="0" w:firstLine="0"/>
        <w:jc w:val="both"/>
        <w:rPr>
          <w:kern w:val="28"/>
          <w:sz w:val="28"/>
          <w:szCs w:val="28"/>
        </w:rPr>
      </w:pPr>
      <w:bookmarkStart w:id="3" w:name="_Toc428365910"/>
      <w:r w:rsidRPr="00205357">
        <w:rPr>
          <w:kern w:val="28"/>
          <w:sz w:val="28"/>
          <w:szCs w:val="28"/>
        </w:rPr>
        <w:t>Загальні показники розгляду справ і матеріалів</w:t>
      </w:r>
      <w:bookmarkEnd w:id="3"/>
      <w:r w:rsidRPr="00205357">
        <w:rPr>
          <w:kern w:val="28"/>
          <w:sz w:val="28"/>
          <w:szCs w:val="28"/>
        </w:rPr>
        <w:t xml:space="preserve"> КОАС</w:t>
      </w:r>
      <w:r w:rsidR="00182A80">
        <w:rPr>
          <w:kern w:val="28"/>
          <w:sz w:val="28"/>
          <w:szCs w:val="28"/>
        </w:rPr>
        <w:t>.</w:t>
      </w:r>
    </w:p>
    <w:p w14:paraId="755A5192" w14:textId="04D3ECD6" w:rsidR="00C87CAD" w:rsidRPr="00182A80" w:rsidRDefault="00182A80" w:rsidP="00182A80">
      <w:pPr>
        <w:pStyle w:val="1"/>
        <w:spacing w:before="0" w:beforeAutospacing="0" w:after="0" w:afterAutospacing="0"/>
        <w:jc w:val="both"/>
        <w:rPr>
          <w:kern w:val="28"/>
          <w:sz w:val="28"/>
          <w:szCs w:val="28"/>
        </w:rPr>
      </w:pPr>
      <w:r w:rsidRPr="00182A80">
        <w:rPr>
          <w:kern w:val="28"/>
          <w:sz w:val="28"/>
          <w:szCs w:val="28"/>
        </w:rPr>
        <w:t xml:space="preserve">«Звіт </w:t>
      </w:r>
      <w:r w:rsidRPr="00182A80">
        <w:rPr>
          <w:sz w:val="28"/>
          <w:szCs w:val="28"/>
        </w:rPr>
        <w:t xml:space="preserve">окружних адміністративних судів про розгляд судових справ» за формою </w:t>
      </w:r>
      <w:r>
        <w:rPr>
          <w:sz w:val="28"/>
          <w:szCs w:val="28"/>
        </w:rPr>
        <w:t>№</w:t>
      </w:r>
      <w:r w:rsidR="003B5497">
        <w:rPr>
          <w:sz w:val="28"/>
          <w:szCs w:val="28"/>
        </w:rPr>
        <w:t xml:space="preserve"> </w:t>
      </w:r>
      <w:r w:rsidRPr="00182A80">
        <w:rPr>
          <w:sz w:val="28"/>
          <w:szCs w:val="28"/>
        </w:rPr>
        <w:t>1-оас.</w:t>
      </w:r>
    </w:p>
    <w:p w14:paraId="24F848D9" w14:textId="77777777" w:rsidR="00280215" w:rsidRPr="00205357" w:rsidRDefault="00280215" w:rsidP="00FE4C10">
      <w:pPr>
        <w:pStyle w:val="a3"/>
        <w:spacing w:before="0" w:beforeAutospacing="0" w:after="0" w:afterAutospacing="0"/>
        <w:ind w:firstLine="709"/>
        <w:jc w:val="both"/>
        <w:rPr>
          <w:kern w:val="28"/>
          <w:sz w:val="28"/>
          <w:szCs w:val="28"/>
          <w:lang w:val="uk-UA"/>
        </w:rPr>
      </w:pPr>
      <w:r w:rsidRPr="00205357">
        <w:rPr>
          <w:kern w:val="28"/>
          <w:sz w:val="28"/>
          <w:szCs w:val="28"/>
          <w:lang w:val="uk-UA"/>
        </w:rPr>
        <w:t>Згідно з Кодексом адміністративного судочинства України адміністративні справи підсудні окружним адміністративним судам та місцевим загальним судам як адміністративним судам.</w:t>
      </w:r>
    </w:p>
    <w:p w14:paraId="640F7B94" w14:textId="12E8165A" w:rsidR="00025EF7" w:rsidRPr="00205357" w:rsidRDefault="00A04255" w:rsidP="003B5497">
      <w:pPr>
        <w:pStyle w:val="a3"/>
        <w:spacing w:before="0" w:beforeAutospacing="0" w:after="0" w:afterAutospacing="0"/>
        <w:ind w:firstLine="709"/>
        <w:jc w:val="both"/>
        <w:rPr>
          <w:kern w:val="28"/>
          <w:sz w:val="28"/>
          <w:szCs w:val="28"/>
          <w:lang w:val="uk-UA"/>
        </w:rPr>
      </w:pPr>
      <w:r w:rsidRPr="00205357">
        <w:rPr>
          <w:kern w:val="28"/>
          <w:sz w:val="28"/>
          <w:szCs w:val="28"/>
          <w:lang w:val="uk-UA"/>
        </w:rPr>
        <w:t xml:space="preserve">За даними статистичної звітності, упродовж </w:t>
      </w:r>
      <w:r w:rsidR="00025EF7" w:rsidRPr="00205357">
        <w:rPr>
          <w:kern w:val="28"/>
          <w:sz w:val="28"/>
          <w:szCs w:val="28"/>
          <w:lang w:val="uk-UA"/>
        </w:rPr>
        <w:t>20</w:t>
      </w:r>
      <w:r w:rsidR="00395438" w:rsidRPr="00205357">
        <w:rPr>
          <w:kern w:val="28"/>
          <w:sz w:val="28"/>
          <w:szCs w:val="28"/>
          <w:lang w:val="uk-UA"/>
        </w:rPr>
        <w:t>2</w:t>
      </w:r>
      <w:r w:rsidR="003B5497">
        <w:rPr>
          <w:kern w:val="28"/>
          <w:sz w:val="28"/>
          <w:szCs w:val="28"/>
          <w:lang w:val="uk-UA"/>
        </w:rPr>
        <w:t>2</w:t>
      </w:r>
      <w:r w:rsidR="00025EF7" w:rsidRPr="00205357">
        <w:rPr>
          <w:kern w:val="28"/>
          <w:sz w:val="28"/>
          <w:szCs w:val="28"/>
          <w:lang w:val="uk-UA"/>
        </w:rPr>
        <w:t xml:space="preserve"> року на розгляд КОАС надійшло </w:t>
      </w:r>
      <w:r w:rsidR="003B5497">
        <w:rPr>
          <w:kern w:val="28"/>
          <w:sz w:val="28"/>
          <w:szCs w:val="28"/>
          <w:lang w:val="uk-UA"/>
        </w:rPr>
        <w:t xml:space="preserve">14076 </w:t>
      </w:r>
      <w:r w:rsidRPr="00205357">
        <w:rPr>
          <w:kern w:val="28"/>
          <w:sz w:val="28"/>
          <w:szCs w:val="28"/>
          <w:lang w:val="uk-UA"/>
        </w:rPr>
        <w:t xml:space="preserve">адміністративних справ, </w:t>
      </w:r>
      <w:r w:rsidR="00025EF7" w:rsidRPr="00205357">
        <w:rPr>
          <w:kern w:val="28"/>
          <w:sz w:val="28"/>
          <w:szCs w:val="28"/>
          <w:lang w:val="uk-UA"/>
        </w:rPr>
        <w:t>позовн</w:t>
      </w:r>
      <w:r w:rsidR="00187362" w:rsidRPr="00205357">
        <w:rPr>
          <w:kern w:val="28"/>
          <w:sz w:val="28"/>
          <w:szCs w:val="28"/>
          <w:lang w:val="uk-UA"/>
        </w:rPr>
        <w:t>их</w:t>
      </w:r>
      <w:r w:rsidR="00025EF7" w:rsidRPr="00205357">
        <w:rPr>
          <w:kern w:val="28"/>
          <w:sz w:val="28"/>
          <w:szCs w:val="28"/>
          <w:lang w:val="uk-UA"/>
        </w:rPr>
        <w:t xml:space="preserve"> заяв</w:t>
      </w:r>
      <w:r w:rsidRPr="00205357">
        <w:rPr>
          <w:kern w:val="28"/>
          <w:sz w:val="28"/>
          <w:szCs w:val="28"/>
          <w:lang w:val="uk-UA"/>
        </w:rPr>
        <w:t xml:space="preserve">, заяв про перегляд судового рішення за нововиявленими </w:t>
      </w:r>
      <w:r w:rsidR="00F53796" w:rsidRPr="00205357">
        <w:rPr>
          <w:kern w:val="28"/>
          <w:sz w:val="28"/>
          <w:szCs w:val="28"/>
          <w:lang w:val="uk-UA"/>
        </w:rPr>
        <w:t xml:space="preserve">або виключними </w:t>
      </w:r>
      <w:r w:rsidRPr="00205357">
        <w:rPr>
          <w:kern w:val="28"/>
          <w:sz w:val="28"/>
          <w:szCs w:val="28"/>
          <w:lang w:val="uk-UA"/>
        </w:rPr>
        <w:t>обставинами, клопотань, подань, заяв, у тому числі поданих у по</w:t>
      </w:r>
      <w:r w:rsidR="000605BF" w:rsidRPr="00205357">
        <w:rPr>
          <w:kern w:val="28"/>
          <w:sz w:val="28"/>
          <w:szCs w:val="28"/>
          <w:lang w:val="uk-UA"/>
        </w:rPr>
        <w:t>рядку виконання судових рішень, тоді як у 20</w:t>
      </w:r>
      <w:r w:rsidR="003B5497">
        <w:rPr>
          <w:kern w:val="28"/>
          <w:sz w:val="28"/>
          <w:szCs w:val="28"/>
          <w:lang w:val="uk-UA"/>
        </w:rPr>
        <w:t>21</w:t>
      </w:r>
      <w:r w:rsidR="000605BF" w:rsidRPr="00205357">
        <w:rPr>
          <w:kern w:val="28"/>
          <w:sz w:val="28"/>
          <w:szCs w:val="28"/>
          <w:lang w:val="uk-UA"/>
        </w:rPr>
        <w:t xml:space="preserve"> році надійшло </w:t>
      </w:r>
      <w:r w:rsidR="003B5497">
        <w:rPr>
          <w:kern w:val="28"/>
          <w:sz w:val="28"/>
          <w:szCs w:val="28"/>
          <w:lang w:val="uk-UA"/>
        </w:rPr>
        <w:t>20398</w:t>
      </w:r>
      <w:r w:rsidR="000605BF" w:rsidRPr="00205357">
        <w:rPr>
          <w:kern w:val="28"/>
          <w:sz w:val="28"/>
          <w:szCs w:val="28"/>
          <w:lang w:val="uk-UA"/>
        </w:rPr>
        <w:t xml:space="preserve"> справ і матеріалів.</w:t>
      </w:r>
    </w:p>
    <w:p w14:paraId="4104D94C" w14:textId="20F49166" w:rsidR="00C34BF7" w:rsidRPr="00205357" w:rsidRDefault="00C34BF7" w:rsidP="00FE4C10">
      <w:pPr>
        <w:pStyle w:val="a3"/>
        <w:spacing w:before="0" w:beforeAutospacing="0" w:after="0" w:afterAutospacing="0"/>
        <w:ind w:firstLine="709"/>
        <w:jc w:val="both"/>
        <w:rPr>
          <w:kern w:val="28"/>
          <w:sz w:val="28"/>
          <w:szCs w:val="28"/>
          <w:lang w:val="uk-UA"/>
        </w:rPr>
      </w:pPr>
      <w:r w:rsidRPr="00205357">
        <w:rPr>
          <w:kern w:val="28"/>
          <w:sz w:val="28"/>
          <w:szCs w:val="28"/>
          <w:lang w:val="uk-UA"/>
        </w:rPr>
        <w:t xml:space="preserve">Наведені дані свідчать про тенденцію до </w:t>
      </w:r>
      <w:r w:rsidR="003B5497">
        <w:rPr>
          <w:kern w:val="28"/>
          <w:sz w:val="28"/>
          <w:szCs w:val="28"/>
          <w:lang w:val="uk-UA"/>
        </w:rPr>
        <w:t>зменшення</w:t>
      </w:r>
      <w:r w:rsidRPr="00205357">
        <w:rPr>
          <w:kern w:val="28"/>
          <w:sz w:val="28"/>
          <w:szCs w:val="28"/>
          <w:lang w:val="uk-UA"/>
        </w:rPr>
        <w:t xml:space="preserve"> надходження звернень до КОАС.</w:t>
      </w:r>
    </w:p>
    <w:p w14:paraId="72110E1A" w14:textId="7D5712D9" w:rsidR="008E2A3D" w:rsidRPr="00205357" w:rsidRDefault="00C30925" w:rsidP="00FE4C10">
      <w:pPr>
        <w:pStyle w:val="a3"/>
        <w:spacing w:before="0" w:beforeAutospacing="0" w:after="0" w:afterAutospacing="0"/>
        <w:ind w:firstLine="709"/>
        <w:jc w:val="both"/>
        <w:rPr>
          <w:kern w:val="28"/>
          <w:sz w:val="28"/>
          <w:szCs w:val="28"/>
          <w:lang w:val="uk-UA"/>
        </w:rPr>
      </w:pPr>
      <w:r w:rsidRPr="00205357">
        <w:rPr>
          <w:kern w:val="28"/>
          <w:sz w:val="28"/>
          <w:szCs w:val="28"/>
          <w:lang w:val="uk-UA"/>
        </w:rPr>
        <w:t xml:space="preserve">Так, надходження справ і матеріалів </w:t>
      </w:r>
      <w:r w:rsidR="00AC39DF" w:rsidRPr="00205357">
        <w:rPr>
          <w:kern w:val="28"/>
          <w:sz w:val="28"/>
          <w:szCs w:val="28"/>
          <w:lang w:val="uk-UA"/>
        </w:rPr>
        <w:t xml:space="preserve">до КОАС </w:t>
      </w:r>
      <w:r w:rsidR="003B5497">
        <w:rPr>
          <w:kern w:val="28"/>
          <w:sz w:val="28"/>
          <w:szCs w:val="28"/>
          <w:lang w:val="uk-UA"/>
        </w:rPr>
        <w:t>зменшилося</w:t>
      </w:r>
      <w:r w:rsidRPr="00205357">
        <w:rPr>
          <w:kern w:val="28"/>
          <w:sz w:val="28"/>
          <w:szCs w:val="28"/>
          <w:lang w:val="uk-UA"/>
        </w:rPr>
        <w:t xml:space="preserve"> </w:t>
      </w:r>
      <w:r w:rsidR="0064065F" w:rsidRPr="00205357">
        <w:rPr>
          <w:kern w:val="28"/>
          <w:sz w:val="28"/>
          <w:szCs w:val="28"/>
          <w:lang w:val="uk-UA"/>
        </w:rPr>
        <w:t>у</w:t>
      </w:r>
      <w:r w:rsidR="00D6138A" w:rsidRPr="00205357">
        <w:rPr>
          <w:kern w:val="28"/>
          <w:sz w:val="28"/>
          <w:szCs w:val="28"/>
          <w:lang w:val="uk-UA"/>
        </w:rPr>
        <w:t xml:space="preserve"> порівнянні з </w:t>
      </w:r>
      <w:r w:rsidR="0064065F" w:rsidRPr="00205357">
        <w:rPr>
          <w:kern w:val="28"/>
          <w:sz w:val="28"/>
          <w:szCs w:val="28"/>
          <w:lang w:val="uk-UA"/>
        </w:rPr>
        <w:t>20</w:t>
      </w:r>
      <w:r w:rsidR="003B5497">
        <w:rPr>
          <w:kern w:val="28"/>
          <w:sz w:val="28"/>
          <w:szCs w:val="28"/>
          <w:lang w:val="uk-UA"/>
        </w:rPr>
        <w:t>21</w:t>
      </w:r>
      <w:r w:rsidR="00D6138A" w:rsidRPr="00205357">
        <w:rPr>
          <w:kern w:val="28"/>
          <w:sz w:val="28"/>
          <w:szCs w:val="28"/>
          <w:lang w:val="uk-UA"/>
        </w:rPr>
        <w:t xml:space="preserve"> рок</w:t>
      </w:r>
      <w:r w:rsidR="00187362" w:rsidRPr="00205357">
        <w:rPr>
          <w:kern w:val="28"/>
          <w:sz w:val="28"/>
          <w:szCs w:val="28"/>
          <w:lang w:val="uk-UA"/>
        </w:rPr>
        <w:t>ом</w:t>
      </w:r>
      <w:r w:rsidR="00D6138A" w:rsidRPr="00205357">
        <w:rPr>
          <w:kern w:val="28"/>
          <w:sz w:val="28"/>
          <w:szCs w:val="28"/>
          <w:lang w:val="uk-UA"/>
        </w:rPr>
        <w:t xml:space="preserve"> на </w:t>
      </w:r>
      <w:r w:rsidR="003B5497">
        <w:rPr>
          <w:kern w:val="28"/>
          <w:sz w:val="28"/>
          <w:szCs w:val="28"/>
          <w:lang w:val="uk-UA"/>
        </w:rPr>
        <w:t>6322</w:t>
      </w:r>
      <w:r w:rsidR="00D6138A" w:rsidRPr="00205357">
        <w:rPr>
          <w:kern w:val="28"/>
          <w:sz w:val="28"/>
          <w:szCs w:val="28"/>
          <w:lang w:val="uk-UA"/>
        </w:rPr>
        <w:t xml:space="preserve"> справ</w:t>
      </w:r>
      <w:r w:rsidR="006602D2" w:rsidRPr="00205357">
        <w:rPr>
          <w:kern w:val="28"/>
          <w:sz w:val="28"/>
          <w:szCs w:val="28"/>
          <w:lang w:val="uk-UA"/>
        </w:rPr>
        <w:t xml:space="preserve"> і матеріал</w:t>
      </w:r>
      <w:r w:rsidR="004159D7" w:rsidRPr="00205357">
        <w:rPr>
          <w:kern w:val="28"/>
          <w:sz w:val="28"/>
          <w:szCs w:val="28"/>
          <w:lang w:val="uk-UA"/>
        </w:rPr>
        <w:t>ів</w:t>
      </w:r>
      <w:r w:rsidR="00C83717" w:rsidRPr="00205357">
        <w:rPr>
          <w:kern w:val="28"/>
          <w:sz w:val="28"/>
          <w:szCs w:val="28"/>
          <w:lang w:val="uk-UA"/>
        </w:rPr>
        <w:t xml:space="preserve"> (</w:t>
      </w:r>
      <w:r w:rsidR="003B5497">
        <w:rPr>
          <w:kern w:val="28"/>
          <w:sz w:val="28"/>
          <w:szCs w:val="28"/>
          <w:lang w:val="uk-UA"/>
        </w:rPr>
        <w:t>31</w:t>
      </w:r>
      <w:r w:rsidR="00C83717" w:rsidRPr="00205357">
        <w:rPr>
          <w:kern w:val="28"/>
          <w:sz w:val="28"/>
          <w:szCs w:val="28"/>
          <w:lang w:val="uk-UA"/>
        </w:rPr>
        <w:t>%)</w:t>
      </w:r>
      <w:r w:rsidR="008E2A3D" w:rsidRPr="00205357">
        <w:rPr>
          <w:kern w:val="28"/>
          <w:sz w:val="28"/>
          <w:szCs w:val="28"/>
          <w:lang w:val="uk-UA"/>
        </w:rPr>
        <w:t>.</w:t>
      </w:r>
    </w:p>
    <w:p w14:paraId="1356DEF4" w14:textId="2582B8A3" w:rsidR="009914E7" w:rsidRPr="00205357" w:rsidRDefault="009914E7" w:rsidP="00FE4C10">
      <w:pPr>
        <w:ind w:firstLine="709"/>
        <w:jc w:val="both"/>
        <w:rPr>
          <w:kern w:val="28"/>
          <w:sz w:val="28"/>
          <w:szCs w:val="28"/>
        </w:rPr>
      </w:pPr>
      <w:r w:rsidRPr="00205357">
        <w:rPr>
          <w:kern w:val="28"/>
          <w:sz w:val="28"/>
          <w:szCs w:val="28"/>
        </w:rPr>
        <w:t xml:space="preserve">Упродовж </w:t>
      </w:r>
      <w:r w:rsidR="00205357">
        <w:rPr>
          <w:kern w:val="28"/>
          <w:sz w:val="28"/>
          <w:szCs w:val="28"/>
        </w:rPr>
        <w:t>202</w:t>
      </w:r>
      <w:r w:rsidR="003B5497">
        <w:rPr>
          <w:kern w:val="28"/>
          <w:sz w:val="28"/>
          <w:szCs w:val="28"/>
        </w:rPr>
        <w:t>2</w:t>
      </w:r>
      <w:r w:rsidRPr="00205357">
        <w:rPr>
          <w:kern w:val="28"/>
          <w:sz w:val="28"/>
          <w:szCs w:val="28"/>
        </w:rPr>
        <w:t xml:space="preserve"> року КОАС розглянув </w:t>
      </w:r>
      <w:r w:rsidR="003B5497">
        <w:rPr>
          <w:kern w:val="28"/>
          <w:sz w:val="28"/>
          <w:szCs w:val="28"/>
        </w:rPr>
        <w:t>15958</w:t>
      </w:r>
      <w:r w:rsidRPr="00205357">
        <w:rPr>
          <w:kern w:val="28"/>
          <w:sz w:val="28"/>
          <w:szCs w:val="28"/>
        </w:rPr>
        <w:t xml:space="preserve"> справ та матеріалів – </w:t>
      </w:r>
      <w:r w:rsidR="003B5497">
        <w:rPr>
          <w:kern w:val="28"/>
          <w:sz w:val="28"/>
          <w:szCs w:val="28"/>
        </w:rPr>
        <w:t>65</w:t>
      </w:r>
      <w:r w:rsidRPr="00205357">
        <w:rPr>
          <w:kern w:val="28"/>
          <w:sz w:val="28"/>
          <w:szCs w:val="28"/>
        </w:rPr>
        <w:t>%, а у 20</w:t>
      </w:r>
      <w:r w:rsidR="003B5497">
        <w:rPr>
          <w:kern w:val="28"/>
          <w:sz w:val="28"/>
          <w:szCs w:val="28"/>
        </w:rPr>
        <w:t>21</w:t>
      </w:r>
      <w:r w:rsidRPr="00205357">
        <w:rPr>
          <w:kern w:val="28"/>
          <w:sz w:val="28"/>
          <w:szCs w:val="28"/>
        </w:rPr>
        <w:t xml:space="preserve"> році </w:t>
      </w:r>
      <w:r w:rsidR="003B5497">
        <w:rPr>
          <w:kern w:val="28"/>
          <w:sz w:val="28"/>
          <w:szCs w:val="28"/>
        </w:rPr>
        <w:t>11650</w:t>
      </w:r>
      <w:r w:rsidR="0001509B" w:rsidRPr="00205357">
        <w:rPr>
          <w:kern w:val="28"/>
          <w:sz w:val="28"/>
          <w:szCs w:val="28"/>
        </w:rPr>
        <w:t xml:space="preserve"> </w:t>
      </w:r>
      <w:r w:rsidRPr="00205357">
        <w:rPr>
          <w:kern w:val="28"/>
          <w:sz w:val="28"/>
          <w:szCs w:val="28"/>
        </w:rPr>
        <w:t xml:space="preserve">або </w:t>
      </w:r>
      <w:r w:rsidR="003B5497">
        <w:rPr>
          <w:kern w:val="28"/>
          <w:sz w:val="28"/>
          <w:szCs w:val="28"/>
        </w:rPr>
        <w:t>61,7</w:t>
      </w:r>
      <w:r w:rsidRPr="00205357">
        <w:rPr>
          <w:kern w:val="28"/>
          <w:sz w:val="28"/>
          <w:szCs w:val="28"/>
        </w:rPr>
        <w:t xml:space="preserve">% від загальної кількості справ і матеріалів, що перебували на розгляді. </w:t>
      </w:r>
    </w:p>
    <w:p w14:paraId="06B3F283" w14:textId="72DF6265" w:rsidR="009914E7" w:rsidRPr="00205357" w:rsidRDefault="009914E7" w:rsidP="00FE4C10">
      <w:pPr>
        <w:ind w:firstLine="709"/>
        <w:jc w:val="both"/>
        <w:rPr>
          <w:kern w:val="28"/>
          <w:sz w:val="28"/>
          <w:szCs w:val="28"/>
        </w:rPr>
      </w:pPr>
      <w:r w:rsidRPr="00205357">
        <w:rPr>
          <w:kern w:val="28"/>
          <w:sz w:val="28"/>
          <w:szCs w:val="28"/>
        </w:rPr>
        <w:lastRenderedPageBreak/>
        <w:t>Загальні показники надходження та розгляду справ і матеріалів КОАС у 20</w:t>
      </w:r>
      <w:r w:rsidR="003B5497">
        <w:rPr>
          <w:kern w:val="28"/>
          <w:sz w:val="28"/>
          <w:szCs w:val="28"/>
        </w:rPr>
        <w:t>21</w:t>
      </w:r>
      <w:r w:rsidRPr="00205357">
        <w:rPr>
          <w:kern w:val="28"/>
          <w:sz w:val="28"/>
          <w:szCs w:val="28"/>
        </w:rPr>
        <w:t xml:space="preserve"> –20</w:t>
      </w:r>
      <w:r w:rsidR="007B3904">
        <w:rPr>
          <w:kern w:val="28"/>
          <w:sz w:val="28"/>
          <w:szCs w:val="28"/>
        </w:rPr>
        <w:t>2</w:t>
      </w:r>
      <w:r w:rsidR="003B5497">
        <w:rPr>
          <w:kern w:val="28"/>
          <w:sz w:val="28"/>
          <w:szCs w:val="28"/>
        </w:rPr>
        <w:t>2</w:t>
      </w:r>
      <w:r w:rsidRPr="00205357">
        <w:rPr>
          <w:kern w:val="28"/>
          <w:sz w:val="28"/>
          <w:szCs w:val="28"/>
        </w:rPr>
        <w:t xml:space="preserve"> роках відображено </w:t>
      </w:r>
      <w:r w:rsidR="00F53796" w:rsidRPr="00205357">
        <w:rPr>
          <w:kern w:val="28"/>
          <w:sz w:val="28"/>
          <w:szCs w:val="28"/>
        </w:rPr>
        <w:t>у</w:t>
      </w:r>
      <w:r w:rsidRPr="00205357">
        <w:rPr>
          <w:kern w:val="28"/>
          <w:sz w:val="28"/>
          <w:szCs w:val="28"/>
        </w:rPr>
        <w:t xml:space="preserve"> гістограмі 1.</w:t>
      </w:r>
    </w:p>
    <w:p w14:paraId="406B4416" w14:textId="77777777" w:rsidR="002F3346" w:rsidRPr="00205357" w:rsidRDefault="00CE7CE7" w:rsidP="004C23FA">
      <w:pPr>
        <w:spacing w:line="276" w:lineRule="auto"/>
        <w:ind w:firstLine="709"/>
        <w:jc w:val="right"/>
        <w:rPr>
          <w:kern w:val="28"/>
          <w:sz w:val="28"/>
          <w:szCs w:val="28"/>
        </w:rPr>
      </w:pPr>
      <w:r w:rsidRPr="00205357">
        <w:rPr>
          <w:kern w:val="28"/>
          <w:sz w:val="28"/>
          <w:szCs w:val="28"/>
        </w:rPr>
        <w:t>Гістограма 1</w:t>
      </w:r>
    </w:p>
    <w:p w14:paraId="6E1FD82E" w14:textId="77777777" w:rsidR="004217BC" w:rsidRPr="00205357" w:rsidRDefault="004217BC" w:rsidP="00D7102E">
      <w:pPr>
        <w:spacing w:line="276" w:lineRule="auto"/>
        <w:ind w:firstLine="709"/>
        <w:jc w:val="center"/>
        <w:rPr>
          <w:kern w:val="28"/>
          <w:sz w:val="28"/>
          <w:szCs w:val="28"/>
        </w:rPr>
      </w:pPr>
      <w:r w:rsidRPr="00205357">
        <w:rPr>
          <w:kern w:val="28"/>
          <w:sz w:val="28"/>
          <w:szCs w:val="28"/>
        </w:rPr>
        <w:t>Надходження та розгляд справ і матеріалів</w:t>
      </w:r>
      <w:r w:rsidR="00AE50D5" w:rsidRPr="00205357">
        <w:rPr>
          <w:kern w:val="28"/>
          <w:sz w:val="28"/>
          <w:szCs w:val="28"/>
        </w:rPr>
        <w:t xml:space="preserve"> </w:t>
      </w:r>
    </w:p>
    <w:p w14:paraId="56B554E5" w14:textId="04677743" w:rsidR="00021D65" w:rsidRPr="00C87CAD" w:rsidRDefault="004217BC" w:rsidP="00D7102E">
      <w:pPr>
        <w:spacing w:line="276" w:lineRule="auto"/>
        <w:ind w:firstLine="709"/>
        <w:jc w:val="center"/>
        <w:rPr>
          <w:color w:val="000000"/>
        </w:rPr>
      </w:pPr>
      <w:r w:rsidRPr="00205357">
        <w:rPr>
          <w:b/>
          <w:color w:val="000000"/>
          <w:kern w:val="28"/>
          <w:sz w:val="28"/>
          <w:szCs w:val="28"/>
        </w:rPr>
        <w:t xml:space="preserve">КОАС у </w:t>
      </w:r>
      <w:r w:rsidR="00057B5D" w:rsidRPr="00205357">
        <w:rPr>
          <w:b/>
          <w:color w:val="000000"/>
          <w:kern w:val="28"/>
          <w:sz w:val="28"/>
          <w:szCs w:val="28"/>
        </w:rPr>
        <w:t xml:space="preserve"> </w:t>
      </w:r>
      <w:r w:rsidR="00026D64" w:rsidRPr="00205357">
        <w:rPr>
          <w:b/>
          <w:color w:val="000000"/>
          <w:kern w:val="28"/>
          <w:sz w:val="28"/>
          <w:szCs w:val="28"/>
        </w:rPr>
        <w:t>20</w:t>
      </w:r>
      <w:r w:rsidR="003B5497">
        <w:rPr>
          <w:b/>
          <w:color w:val="000000"/>
          <w:kern w:val="28"/>
          <w:sz w:val="28"/>
          <w:szCs w:val="28"/>
        </w:rPr>
        <w:t>21</w:t>
      </w:r>
      <w:r w:rsidR="00E643AA" w:rsidRPr="00205357">
        <w:rPr>
          <w:b/>
          <w:color w:val="000000"/>
          <w:kern w:val="28"/>
          <w:sz w:val="28"/>
          <w:szCs w:val="28"/>
        </w:rPr>
        <w:t xml:space="preserve"> </w:t>
      </w:r>
      <w:r w:rsidRPr="00205357">
        <w:rPr>
          <w:b/>
          <w:color w:val="000000"/>
          <w:kern w:val="28"/>
          <w:sz w:val="28"/>
          <w:szCs w:val="28"/>
        </w:rPr>
        <w:t>–</w:t>
      </w:r>
      <w:r w:rsidR="00E643AA" w:rsidRPr="00205357">
        <w:rPr>
          <w:b/>
          <w:color w:val="000000"/>
          <w:kern w:val="28"/>
          <w:sz w:val="28"/>
          <w:szCs w:val="28"/>
        </w:rPr>
        <w:t xml:space="preserve"> </w:t>
      </w:r>
      <w:r w:rsidR="00057B5D" w:rsidRPr="00205357">
        <w:rPr>
          <w:b/>
          <w:color w:val="000000"/>
          <w:kern w:val="28"/>
          <w:sz w:val="28"/>
          <w:szCs w:val="28"/>
        </w:rPr>
        <w:t xml:space="preserve"> </w:t>
      </w:r>
      <w:r w:rsidR="00026D64" w:rsidRPr="00205357">
        <w:rPr>
          <w:b/>
          <w:color w:val="000000"/>
          <w:kern w:val="28"/>
          <w:sz w:val="28"/>
          <w:szCs w:val="28"/>
        </w:rPr>
        <w:t>202</w:t>
      </w:r>
      <w:r w:rsidR="003B5497">
        <w:rPr>
          <w:b/>
          <w:color w:val="000000"/>
          <w:kern w:val="28"/>
          <w:sz w:val="28"/>
          <w:szCs w:val="28"/>
        </w:rPr>
        <w:t>2</w:t>
      </w:r>
      <w:r w:rsidRPr="00205357">
        <w:rPr>
          <w:b/>
          <w:color w:val="000000"/>
          <w:kern w:val="28"/>
          <w:sz w:val="28"/>
          <w:szCs w:val="28"/>
        </w:rPr>
        <w:t xml:space="preserve"> роках</w:t>
      </w:r>
      <w:r w:rsidR="00916430" w:rsidRPr="00C87CAD">
        <w:rPr>
          <w:noProof/>
          <w:color w:val="000000"/>
          <w:lang w:val="ru-RU"/>
        </w:rPr>
        <w:drawing>
          <wp:inline distT="0" distB="0" distL="0" distR="0" wp14:anchorId="674B7E90" wp14:editId="16E6589B">
            <wp:extent cx="4610100" cy="2143125"/>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86BC85" w14:textId="77777777" w:rsidR="00F527D8" w:rsidRPr="00205357" w:rsidRDefault="00F527D8" w:rsidP="00FE4C10">
      <w:pPr>
        <w:ind w:firstLine="709"/>
        <w:jc w:val="both"/>
        <w:rPr>
          <w:bCs/>
          <w:iCs/>
          <w:kern w:val="28"/>
          <w:sz w:val="28"/>
          <w:szCs w:val="28"/>
        </w:rPr>
      </w:pPr>
      <w:r w:rsidRPr="00205357">
        <w:rPr>
          <w:bCs/>
          <w:iCs/>
          <w:kern w:val="28"/>
          <w:sz w:val="28"/>
          <w:szCs w:val="28"/>
        </w:rPr>
        <w:t xml:space="preserve">Динамічні зміни показників надходження та розгляду справ і матеріалів позначилися </w:t>
      </w:r>
      <w:r w:rsidR="00026D64" w:rsidRPr="00205357">
        <w:rPr>
          <w:bCs/>
          <w:iCs/>
          <w:kern w:val="28"/>
          <w:sz w:val="28"/>
          <w:szCs w:val="28"/>
        </w:rPr>
        <w:t xml:space="preserve">і </w:t>
      </w:r>
      <w:r w:rsidRPr="00205357">
        <w:rPr>
          <w:bCs/>
          <w:iCs/>
          <w:kern w:val="28"/>
          <w:sz w:val="28"/>
          <w:szCs w:val="28"/>
        </w:rPr>
        <w:t xml:space="preserve">на середніх показниках надходження та розгляду справ і матеріалів </w:t>
      </w:r>
      <w:r w:rsidR="00887596" w:rsidRPr="00205357">
        <w:rPr>
          <w:bCs/>
          <w:iCs/>
          <w:kern w:val="28"/>
          <w:sz w:val="28"/>
          <w:szCs w:val="28"/>
        </w:rPr>
        <w:t>на одного суддю КОАС.</w:t>
      </w:r>
      <w:r w:rsidRPr="00205357">
        <w:rPr>
          <w:bCs/>
          <w:iCs/>
          <w:kern w:val="28"/>
          <w:sz w:val="28"/>
          <w:szCs w:val="28"/>
        </w:rPr>
        <w:t xml:space="preserve"> </w:t>
      </w:r>
    </w:p>
    <w:p w14:paraId="1CFB004D" w14:textId="77777777" w:rsidR="0050483F" w:rsidRPr="00205357" w:rsidRDefault="0050483F" w:rsidP="00FE4C10">
      <w:pPr>
        <w:ind w:firstLine="709"/>
        <w:jc w:val="both"/>
        <w:rPr>
          <w:kern w:val="28"/>
          <w:sz w:val="28"/>
          <w:szCs w:val="28"/>
        </w:rPr>
      </w:pPr>
      <w:r w:rsidRPr="00205357">
        <w:rPr>
          <w:kern w:val="28"/>
          <w:sz w:val="28"/>
          <w:szCs w:val="28"/>
        </w:rPr>
        <w:t xml:space="preserve">Наглядно дані </w:t>
      </w:r>
      <w:r w:rsidR="00F53796" w:rsidRPr="00205357">
        <w:rPr>
          <w:kern w:val="28"/>
          <w:sz w:val="28"/>
          <w:szCs w:val="28"/>
        </w:rPr>
        <w:t>середньої кількості</w:t>
      </w:r>
      <w:r w:rsidRPr="00205357">
        <w:rPr>
          <w:kern w:val="28"/>
          <w:sz w:val="28"/>
          <w:szCs w:val="28"/>
        </w:rPr>
        <w:t xml:space="preserve"> надходження та розгляду справ </w:t>
      </w:r>
      <w:r w:rsidR="00F53796" w:rsidRPr="00205357">
        <w:rPr>
          <w:kern w:val="28"/>
          <w:sz w:val="28"/>
          <w:szCs w:val="28"/>
        </w:rPr>
        <w:t>і</w:t>
      </w:r>
      <w:r w:rsidRPr="00205357">
        <w:rPr>
          <w:kern w:val="28"/>
          <w:sz w:val="28"/>
          <w:szCs w:val="28"/>
        </w:rPr>
        <w:t xml:space="preserve"> матеріалів суддями К</w:t>
      </w:r>
      <w:r w:rsidR="0082477A" w:rsidRPr="00205357">
        <w:rPr>
          <w:kern w:val="28"/>
          <w:sz w:val="28"/>
          <w:szCs w:val="28"/>
        </w:rPr>
        <w:t>ОАС</w:t>
      </w:r>
      <w:r w:rsidRPr="00205357">
        <w:rPr>
          <w:kern w:val="28"/>
          <w:sz w:val="28"/>
          <w:szCs w:val="28"/>
        </w:rPr>
        <w:t xml:space="preserve"> </w:t>
      </w:r>
      <w:r w:rsidR="00182A80">
        <w:rPr>
          <w:kern w:val="28"/>
          <w:sz w:val="28"/>
          <w:szCs w:val="28"/>
        </w:rPr>
        <w:t xml:space="preserve">з розрахунку на одного суддю </w:t>
      </w:r>
      <w:r w:rsidRPr="00205357">
        <w:rPr>
          <w:kern w:val="28"/>
          <w:sz w:val="28"/>
          <w:szCs w:val="28"/>
        </w:rPr>
        <w:t xml:space="preserve">відображено </w:t>
      </w:r>
      <w:r w:rsidR="00F53796" w:rsidRPr="00205357">
        <w:rPr>
          <w:kern w:val="28"/>
          <w:sz w:val="28"/>
          <w:szCs w:val="28"/>
        </w:rPr>
        <w:t>у</w:t>
      </w:r>
      <w:r w:rsidRPr="00205357">
        <w:rPr>
          <w:kern w:val="28"/>
          <w:sz w:val="28"/>
          <w:szCs w:val="28"/>
        </w:rPr>
        <w:t xml:space="preserve"> гістограмі 2.</w:t>
      </w:r>
    </w:p>
    <w:p w14:paraId="64475679" w14:textId="77777777" w:rsidR="0050483F" w:rsidRPr="00C87CAD" w:rsidRDefault="0050483F" w:rsidP="00D7102E">
      <w:pPr>
        <w:spacing w:line="276" w:lineRule="auto"/>
        <w:ind w:firstLine="709"/>
        <w:jc w:val="right"/>
      </w:pPr>
      <w:r w:rsidRPr="00205357">
        <w:rPr>
          <w:kern w:val="28"/>
          <w:sz w:val="28"/>
          <w:szCs w:val="28"/>
        </w:rPr>
        <w:t>Гістограма 2</w:t>
      </w:r>
      <w:r w:rsidRPr="00C87CAD">
        <w:rPr>
          <w:noProof/>
          <w:lang w:val="ru-RU"/>
        </w:rPr>
        <w:drawing>
          <wp:inline distT="0" distB="0" distL="0" distR="0" wp14:anchorId="6B850A37" wp14:editId="6414824A">
            <wp:extent cx="5524500" cy="3552825"/>
            <wp:effectExtent l="19050" t="0" r="19050" b="0"/>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CD4B42" w14:textId="77777777" w:rsidR="00205357" w:rsidRDefault="00205357" w:rsidP="00FE4C10">
      <w:pPr>
        <w:ind w:firstLine="709"/>
        <w:jc w:val="both"/>
        <w:rPr>
          <w:kern w:val="28"/>
          <w:sz w:val="28"/>
          <w:szCs w:val="28"/>
        </w:rPr>
      </w:pPr>
    </w:p>
    <w:p w14:paraId="21CCDAA7" w14:textId="270DE202" w:rsidR="00887596" w:rsidRPr="00205357" w:rsidRDefault="00887596" w:rsidP="00FE4C10">
      <w:pPr>
        <w:ind w:firstLine="709"/>
        <w:jc w:val="both"/>
        <w:rPr>
          <w:kern w:val="28"/>
          <w:sz w:val="28"/>
          <w:szCs w:val="28"/>
        </w:rPr>
      </w:pPr>
      <w:r w:rsidRPr="00205357">
        <w:rPr>
          <w:kern w:val="28"/>
          <w:sz w:val="28"/>
          <w:szCs w:val="28"/>
        </w:rPr>
        <w:t>За підсумками роботи КОАС у 20</w:t>
      </w:r>
      <w:r w:rsidR="0001509B" w:rsidRPr="00205357">
        <w:rPr>
          <w:kern w:val="28"/>
          <w:sz w:val="28"/>
          <w:szCs w:val="28"/>
        </w:rPr>
        <w:t>2</w:t>
      </w:r>
      <w:r w:rsidR="001A7EC8">
        <w:rPr>
          <w:kern w:val="28"/>
          <w:sz w:val="28"/>
          <w:szCs w:val="28"/>
        </w:rPr>
        <w:t>2</w:t>
      </w:r>
      <w:r w:rsidRPr="00205357">
        <w:rPr>
          <w:kern w:val="28"/>
          <w:sz w:val="28"/>
          <w:szCs w:val="28"/>
        </w:rPr>
        <w:t xml:space="preserve"> році вбачається, що середня кількість справ і матеріалів, що перебували на розгляді </w:t>
      </w:r>
      <w:r w:rsidR="008B1BB1" w:rsidRPr="00205357">
        <w:rPr>
          <w:kern w:val="28"/>
          <w:sz w:val="28"/>
          <w:szCs w:val="28"/>
        </w:rPr>
        <w:t>у звітному</w:t>
      </w:r>
      <w:r w:rsidRPr="00205357">
        <w:rPr>
          <w:kern w:val="28"/>
          <w:sz w:val="28"/>
          <w:szCs w:val="28"/>
        </w:rPr>
        <w:t xml:space="preserve"> період</w:t>
      </w:r>
      <w:r w:rsidR="008B1BB1" w:rsidRPr="00205357">
        <w:rPr>
          <w:kern w:val="28"/>
          <w:sz w:val="28"/>
          <w:szCs w:val="28"/>
        </w:rPr>
        <w:t>і</w:t>
      </w:r>
      <w:r w:rsidRPr="00205357">
        <w:rPr>
          <w:kern w:val="28"/>
          <w:sz w:val="28"/>
          <w:szCs w:val="28"/>
        </w:rPr>
        <w:t xml:space="preserve"> в розрахунку на одного суддю (</w:t>
      </w:r>
      <w:r w:rsidR="001A7EC8">
        <w:rPr>
          <w:kern w:val="28"/>
          <w:sz w:val="28"/>
          <w:szCs w:val="28"/>
        </w:rPr>
        <w:t>1062</w:t>
      </w:r>
      <w:r w:rsidRPr="00205357">
        <w:rPr>
          <w:kern w:val="28"/>
          <w:sz w:val="28"/>
          <w:szCs w:val="28"/>
        </w:rPr>
        <w:t xml:space="preserve">) збільшилась на </w:t>
      </w:r>
      <w:r w:rsidR="001A7EC8">
        <w:rPr>
          <w:kern w:val="28"/>
          <w:sz w:val="28"/>
          <w:szCs w:val="28"/>
        </w:rPr>
        <w:t>369</w:t>
      </w:r>
      <w:r w:rsidRPr="00205357">
        <w:rPr>
          <w:kern w:val="28"/>
          <w:sz w:val="28"/>
          <w:szCs w:val="28"/>
        </w:rPr>
        <w:t xml:space="preserve"> (</w:t>
      </w:r>
      <w:r w:rsidR="001A7EC8">
        <w:rPr>
          <w:kern w:val="28"/>
          <w:sz w:val="28"/>
          <w:szCs w:val="28"/>
        </w:rPr>
        <w:t>25,7</w:t>
      </w:r>
      <w:r w:rsidRPr="00205357">
        <w:rPr>
          <w:kern w:val="28"/>
          <w:sz w:val="28"/>
          <w:szCs w:val="28"/>
        </w:rPr>
        <w:t>%) у порівнянні з показником у 20</w:t>
      </w:r>
      <w:r w:rsidR="001A7EC8">
        <w:rPr>
          <w:kern w:val="28"/>
          <w:sz w:val="28"/>
          <w:szCs w:val="28"/>
        </w:rPr>
        <w:t>21</w:t>
      </w:r>
      <w:r w:rsidRPr="00205357">
        <w:rPr>
          <w:kern w:val="28"/>
          <w:sz w:val="28"/>
          <w:szCs w:val="28"/>
        </w:rPr>
        <w:t xml:space="preserve"> році (</w:t>
      </w:r>
      <w:r w:rsidR="001A7EC8">
        <w:rPr>
          <w:kern w:val="28"/>
          <w:sz w:val="28"/>
          <w:szCs w:val="28"/>
        </w:rPr>
        <w:t>1431</w:t>
      </w:r>
      <w:r w:rsidRPr="00205357">
        <w:rPr>
          <w:kern w:val="28"/>
          <w:sz w:val="28"/>
          <w:szCs w:val="28"/>
        </w:rPr>
        <w:t>). Також</w:t>
      </w:r>
      <w:r w:rsidR="001A7EC8">
        <w:rPr>
          <w:kern w:val="28"/>
          <w:sz w:val="28"/>
          <w:szCs w:val="28"/>
        </w:rPr>
        <w:t>,</w:t>
      </w:r>
      <w:r w:rsidRPr="00205357">
        <w:rPr>
          <w:kern w:val="28"/>
          <w:sz w:val="28"/>
          <w:szCs w:val="28"/>
        </w:rPr>
        <w:t xml:space="preserve"> у 20</w:t>
      </w:r>
      <w:r w:rsidR="008B1BB1" w:rsidRPr="00205357">
        <w:rPr>
          <w:kern w:val="28"/>
          <w:sz w:val="28"/>
          <w:szCs w:val="28"/>
        </w:rPr>
        <w:t>2</w:t>
      </w:r>
      <w:r w:rsidR="001A7EC8">
        <w:rPr>
          <w:kern w:val="28"/>
          <w:sz w:val="28"/>
          <w:szCs w:val="28"/>
        </w:rPr>
        <w:t xml:space="preserve">2 </w:t>
      </w:r>
      <w:r w:rsidRPr="00205357">
        <w:rPr>
          <w:kern w:val="28"/>
          <w:sz w:val="28"/>
          <w:szCs w:val="28"/>
        </w:rPr>
        <w:t xml:space="preserve">році </w:t>
      </w:r>
      <w:r w:rsidR="001A7EC8">
        <w:rPr>
          <w:kern w:val="28"/>
          <w:sz w:val="28"/>
          <w:szCs w:val="28"/>
        </w:rPr>
        <w:t>зменшився</w:t>
      </w:r>
      <w:r w:rsidRPr="00205357">
        <w:rPr>
          <w:kern w:val="28"/>
          <w:sz w:val="28"/>
          <w:szCs w:val="28"/>
        </w:rPr>
        <w:t xml:space="preserve"> </w:t>
      </w:r>
      <w:r w:rsidR="008B1BB1" w:rsidRPr="00205357">
        <w:rPr>
          <w:kern w:val="28"/>
          <w:sz w:val="28"/>
          <w:szCs w:val="28"/>
        </w:rPr>
        <w:t xml:space="preserve">середній </w:t>
      </w:r>
      <w:r w:rsidRPr="00205357">
        <w:rPr>
          <w:kern w:val="28"/>
          <w:sz w:val="28"/>
          <w:szCs w:val="28"/>
        </w:rPr>
        <w:t>показник розгля</w:t>
      </w:r>
      <w:r w:rsidR="008B1BB1" w:rsidRPr="00205357">
        <w:rPr>
          <w:kern w:val="28"/>
          <w:sz w:val="28"/>
          <w:szCs w:val="28"/>
        </w:rPr>
        <w:t>ду</w:t>
      </w:r>
      <w:r w:rsidRPr="00205357">
        <w:rPr>
          <w:kern w:val="28"/>
          <w:sz w:val="28"/>
          <w:szCs w:val="28"/>
        </w:rPr>
        <w:t xml:space="preserve"> </w:t>
      </w:r>
      <w:r w:rsidRPr="00205357">
        <w:rPr>
          <w:kern w:val="28"/>
          <w:sz w:val="28"/>
          <w:szCs w:val="28"/>
        </w:rPr>
        <w:lastRenderedPageBreak/>
        <w:t>справ і матеріалів на одного суддю (</w:t>
      </w:r>
      <w:r w:rsidR="001A7EC8">
        <w:rPr>
          <w:kern w:val="28"/>
          <w:sz w:val="28"/>
          <w:szCs w:val="28"/>
        </w:rPr>
        <w:t>694</w:t>
      </w:r>
      <w:r w:rsidRPr="00205357">
        <w:rPr>
          <w:kern w:val="28"/>
          <w:sz w:val="28"/>
          <w:szCs w:val="28"/>
        </w:rPr>
        <w:t>) у порівнянні з показником минулого періоду (</w:t>
      </w:r>
      <w:r w:rsidR="001A7EC8">
        <w:rPr>
          <w:kern w:val="28"/>
          <w:sz w:val="28"/>
          <w:szCs w:val="28"/>
        </w:rPr>
        <w:t>883</w:t>
      </w:r>
      <w:r w:rsidRPr="00205357">
        <w:rPr>
          <w:kern w:val="28"/>
          <w:sz w:val="28"/>
          <w:szCs w:val="28"/>
        </w:rPr>
        <w:t xml:space="preserve">) на </w:t>
      </w:r>
      <w:r w:rsidR="001A7EC8">
        <w:rPr>
          <w:kern w:val="28"/>
          <w:sz w:val="28"/>
          <w:szCs w:val="28"/>
        </w:rPr>
        <w:t>189</w:t>
      </w:r>
      <w:r w:rsidRPr="00205357">
        <w:rPr>
          <w:kern w:val="28"/>
          <w:sz w:val="28"/>
          <w:szCs w:val="28"/>
        </w:rPr>
        <w:t xml:space="preserve"> одиниц</w:t>
      </w:r>
      <w:r w:rsidR="008B1BB1" w:rsidRPr="00205357">
        <w:rPr>
          <w:kern w:val="28"/>
          <w:sz w:val="28"/>
          <w:szCs w:val="28"/>
        </w:rPr>
        <w:t>ь</w:t>
      </w:r>
      <w:r w:rsidRPr="00205357">
        <w:rPr>
          <w:kern w:val="28"/>
          <w:sz w:val="28"/>
          <w:szCs w:val="28"/>
        </w:rPr>
        <w:t xml:space="preserve"> (</w:t>
      </w:r>
      <w:r w:rsidR="001A7EC8">
        <w:rPr>
          <w:kern w:val="28"/>
          <w:sz w:val="28"/>
          <w:szCs w:val="28"/>
        </w:rPr>
        <w:t>21,4</w:t>
      </w:r>
      <w:r w:rsidRPr="00205357">
        <w:rPr>
          <w:kern w:val="28"/>
          <w:sz w:val="28"/>
          <w:szCs w:val="28"/>
        </w:rPr>
        <w:t>%).</w:t>
      </w:r>
    </w:p>
    <w:p w14:paraId="4AECEA92" w14:textId="50C785E5" w:rsidR="00D84ABE" w:rsidRPr="00205357" w:rsidRDefault="00F35222" w:rsidP="00FE4C10">
      <w:pPr>
        <w:ind w:firstLine="709"/>
        <w:jc w:val="both"/>
        <w:rPr>
          <w:kern w:val="28"/>
          <w:sz w:val="28"/>
          <w:szCs w:val="28"/>
        </w:rPr>
      </w:pPr>
      <w:r w:rsidRPr="00205357">
        <w:rPr>
          <w:kern w:val="28"/>
          <w:sz w:val="28"/>
          <w:szCs w:val="28"/>
        </w:rPr>
        <w:t>Так</w:t>
      </w:r>
      <w:r w:rsidR="005C226E" w:rsidRPr="00205357">
        <w:rPr>
          <w:kern w:val="28"/>
          <w:sz w:val="28"/>
          <w:szCs w:val="28"/>
        </w:rPr>
        <w:t>им чином</w:t>
      </w:r>
      <w:r w:rsidRPr="00205357">
        <w:rPr>
          <w:kern w:val="28"/>
          <w:sz w:val="28"/>
          <w:szCs w:val="28"/>
        </w:rPr>
        <w:t>,</w:t>
      </w:r>
      <w:r w:rsidR="00DE0546" w:rsidRPr="00205357">
        <w:rPr>
          <w:kern w:val="28"/>
          <w:sz w:val="28"/>
          <w:szCs w:val="28"/>
        </w:rPr>
        <w:t xml:space="preserve"> у 20</w:t>
      </w:r>
      <w:r w:rsidR="008B1BB1" w:rsidRPr="00205357">
        <w:rPr>
          <w:kern w:val="28"/>
          <w:sz w:val="28"/>
          <w:szCs w:val="28"/>
        </w:rPr>
        <w:t>2</w:t>
      </w:r>
      <w:r w:rsidR="001A7EC8">
        <w:rPr>
          <w:kern w:val="28"/>
          <w:sz w:val="28"/>
          <w:szCs w:val="28"/>
        </w:rPr>
        <w:t>2</w:t>
      </w:r>
      <w:r w:rsidR="00DE0546" w:rsidRPr="00205357">
        <w:rPr>
          <w:kern w:val="28"/>
          <w:sz w:val="28"/>
          <w:szCs w:val="28"/>
        </w:rPr>
        <w:t xml:space="preserve"> році спостерігається </w:t>
      </w:r>
      <w:r w:rsidR="001A7EC8">
        <w:rPr>
          <w:kern w:val="28"/>
          <w:sz w:val="28"/>
          <w:szCs w:val="28"/>
        </w:rPr>
        <w:t>незначне</w:t>
      </w:r>
      <w:r w:rsidR="008B1BB1" w:rsidRPr="00205357">
        <w:rPr>
          <w:kern w:val="28"/>
          <w:sz w:val="28"/>
          <w:szCs w:val="28"/>
        </w:rPr>
        <w:t xml:space="preserve"> </w:t>
      </w:r>
      <w:r w:rsidR="001A7EC8">
        <w:rPr>
          <w:kern w:val="28"/>
          <w:sz w:val="28"/>
          <w:szCs w:val="28"/>
        </w:rPr>
        <w:t>зменшення</w:t>
      </w:r>
      <w:r w:rsidR="00DE0546" w:rsidRPr="00205357">
        <w:rPr>
          <w:kern w:val="28"/>
          <w:sz w:val="28"/>
          <w:szCs w:val="28"/>
        </w:rPr>
        <w:t xml:space="preserve"> </w:t>
      </w:r>
      <w:r w:rsidR="008B1BB1" w:rsidRPr="00205357">
        <w:rPr>
          <w:kern w:val="28"/>
          <w:sz w:val="28"/>
          <w:szCs w:val="28"/>
        </w:rPr>
        <w:t>показників надходження</w:t>
      </w:r>
      <w:r w:rsidR="00EC5B90" w:rsidRPr="00205357">
        <w:rPr>
          <w:kern w:val="28"/>
          <w:sz w:val="28"/>
          <w:szCs w:val="28"/>
        </w:rPr>
        <w:t xml:space="preserve"> </w:t>
      </w:r>
      <w:r w:rsidR="001A7EC8">
        <w:rPr>
          <w:kern w:val="28"/>
          <w:sz w:val="28"/>
          <w:szCs w:val="28"/>
        </w:rPr>
        <w:t xml:space="preserve">та розгляду </w:t>
      </w:r>
      <w:r w:rsidRPr="00205357">
        <w:rPr>
          <w:kern w:val="28"/>
          <w:sz w:val="28"/>
          <w:szCs w:val="28"/>
        </w:rPr>
        <w:t>справ і матеріалів</w:t>
      </w:r>
      <w:r w:rsidR="008B1BB1" w:rsidRPr="00205357">
        <w:rPr>
          <w:kern w:val="28"/>
          <w:sz w:val="28"/>
          <w:szCs w:val="28"/>
        </w:rPr>
        <w:t xml:space="preserve"> у порівнянні з 20</w:t>
      </w:r>
      <w:r w:rsidR="001A7EC8">
        <w:rPr>
          <w:kern w:val="28"/>
          <w:sz w:val="28"/>
          <w:szCs w:val="28"/>
        </w:rPr>
        <w:t>21</w:t>
      </w:r>
      <w:r w:rsidR="008B1BB1" w:rsidRPr="00205357">
        <w:rPr>
          <w:kern w:val="28"/>
          <w:sz w:val="28"/>
          <w:szCs w:val="28"/>
        </w:rPr>
        <w:t xml:space="preserve"> роком</w:t>
      </w:r>
      <w:r w:rsidR="001A7EC8">
        <w:rPr>
          <w:kern w:val="28"/>
          <w:sz w:val="28"/>
          <w:szCs w:val="28"/>
        </w:rPr>
        <w:t>.</w:t>
      </w:r>
      <w:r w:rsidR="008B1BB1" w:rsidRPr="00205357">
        <w:rPr>
          <w:kern w:val="28"/>
          <w:sz w:val="28"/>
          <w:szCs w:val="28"/>
        </w:rPr>
        <w:t xml:space="preserve"> </w:t>
      </w:r>
    </w:p>
    <w:p w14:paraId="7DEFBBD3" w14:textId="44376C9B" w:rsidR="0049508C" w:rsidRPr="00205357" w:rsidRDefault="0049508C" w:rsidP="00FE4C10">
      <w:pPr>
        <w:pStyle w:val="a3"/>
        <w:spacing w:before="0" w:beforeAutospacing="0" w:after="0" w:afterAutospacing="0"/>
        <w:ind w:firstLine="709"/>
        <w:jc w:val="both"/>
        <w:rPr>
          <w:kern w:val="28"/>
          <w:sz w:val="28"/>
          <w:szCs w:val="28"/>
          <w:lang w:val="uk-UA"/>
        </w:rPr>
      </w:pPr>
      <w:r w:rsidRPr="00205357">
        <w:rPr>
          <w:kern w:val="28"/>
          <w:sz w:val="28"/>
          <w:szCs w:val="28"/>
          <w:lang w:val="uk-UA"/>
        </w:rPr>
        <w:t xml:space="preserve">Серед справ і матеріалів, </w:t>
      </w:r>
      <w:r w:rsidR="001A7EC8">
        <w:rPr>
          <w:kern w:val="28"/>
          <w:sz w:val="28"/>
          <w:szCs w:val="28"/>
          <w:lang w:val="uk-UA"/>
        </w:rPr>
        <w:t>що перебували у провадженні</w:t>
      </w:r>
      <w:r w:rsidRPr="00205357">
        <w:rPr>
          <w:kern w:val="28"/>
          <w:sz w:val="28"/>
          <w:szCs w:val="28"/>
          <w:lang w:val="uk-UA"/>
        </w:rPr>
        <w:t xml:space="preserve"> КОАС, домінують позовні заяви і адміністративні справи</w:t>
      </w:r>
      <w:r w:rsidR="001A7EC8">
        <w:rPr>
          <w:kern w:val="28"/>
          <w:sz w:val="28"/>
          <w:szCs w:val="28"/>
          <w:lang w:val="uk-UA"/>
        </w:rPr>
        <w:t xml:space="preserve">. </w:t>
      </w:r>
      <w:r w:rsidR="00182A80">
        <w:rPr>
          <w:kern w:val="28"/>
          <w:sz w:val="28"/>
          <w:szCs w:val="28"/>
          <w:lang w:val="uk-UA"/>
        </w:rPr>
        <w:t>У 202</w:t>
      </w:r>
      <w:r w:rsidR="001A7EC8">
        <w:rPr>
          <w:kern w:val="28"/>
          <w:sz w:val="28"/>
          <w:szCs w:val="28"/>
          <w:lang w:val="uk-UA"/>
        </w:rPr>
        <w:t>2</w:t>
      </w:r>
      <w:r w:rsidR="00182A80">
        <w:rPr>
          <w:kern w:val="28"/>
          <w:sz w:val="28"/>
          <w:szCs w:val="28"/>
          <w:lang w:val="uk-UA"/>
        </w:rPr>
        <w:t>0 році ї</w:t>
      </w:r>
      <w:r w:rsidRPr="00205357">
        <w:rPr>
          <w:kern w:val="28"/>
          <w:sz w:val="28"/>
          <w:szCs w:val="28"/>
          <w:lang w:val="uk-UA"/>
        </w:rPr>
        <w:t xml:space="preserve">х кількість становить </w:t>
      </w:r>
      <w:r w:rsidR="001A7EC8">
        <w:rPr>
          <w:kern w:val="28"/>
          <w:sz w:val="28"/>
          <w:szCs w:val="28"/>
          <w:lang w:val="uk-UA"/>
        </w:rPr>
        <w:t>20016</w:t>
      </w:r>
      <w:r w:rsidRPr="00205357">
        <w:rPr>
          <w:kern w:val="28"/>
          <w:sz w:val="28"/>
          <w:szCs w:val="28"/>
          <w:lang w:val="uk-UA"/>
        </w:rPr>
        <w:t xml:space="preserve"> (</w:t>
      </w:r>
      <w:r w:rsidR="001A7EC8">
        <w:rPr>
          <w:kern w:val="28"/>
          <w:sz w:val="28"/>
          <w:szCs w:val="28"/>
          <w:lang w:val="uk-UA"/>
        </w:rPr>
        <w:t>81,9</w:t>
      </w:r>
      <w:r w:rsidRPr="00205357">
        <w:rPr>
          <w:kern w:val="28"/>
          <w:sz w:val="28"/>
          <w:szCs w:val="28"/>
          <w:lang w:val="uk-UA"/>
        </w:rPr>
        <w:t>%)</w:t>
      </w:r>
      <w:r w:rsidR="00182A80">
        <w:rPr>
          <w:kern w:val="28"/>
          <w:sz w:val="28"/>
          <w:szCs w:val="28"/>
          <w:lang w:val="uk-UA"/>
        </w:rPr>
        <w:t>, тоді як у</w:t>
      </w:r>
      <w:r w:rsidRPr="00205357">
        <w:rPr>
          <w:kern w:val="28"/>
          <w:sz w:val="28"/>
          <w:szCs w:val="28"/>
          <w:lang w:val="uk-UA"/>
        </w:rPr>
        <w:t xml:space="preserve"> 20</w:t>
      </w:r>
      <w:r w:rsidR="001A7EC8">
        <w:rPr>
          <w:kern w:val="28"/>
          <w:sz w:val="28"/>
          <w:szCs w:val="28"/>
          <w:lang w:val="uk-UA"/>
        </w:rPr>
        <w:t>21</w:t>
      </w:r>
      <w:r w:rsidRPr="00205357">
        <w:rPr>
          <w:kern w:val="28"/>
          <w:sz w:val="28"/>
          <w:szCs w:val="28"/>
          <w:lang w:val="uk-UA"/>
        </w:rPr>
        <w:t xml:space="preserve"> році </w:t>
      </w:r>
      <w:r w:rsidR="001A7EC8">
        <w:rPr>
          <w:kern w:val="28"/>
          <w:sz w:val="28"/>
          <w:szCs w:val="28"/>
          <w:lang w:val="uk-UA"/>
        </w:rPr>
        <w:t>у провадженні КОАС перебувало 22644</w:t>
      </w:r>
      <w:r w:rsidRPr="00205357">
        <w:rPr>
          <w:kern w:val="28"/>
          <w:sz w:val="28"/>
          <w:szCs w:val="28"/>
          <w:lang w:val="uk-UA"/>
        </w:rPr>
        <w:t xml:space="preserve"> позовних заяв і справ (</w:t>
      </w:r>
      <w:r w:rsidR="001A7EC8">
        <w:rPr>
          <w:kern w:val="28"/>
          <w:sz w:val="28"/>
          <w:szCs w:val="28"/>
          <w:lang w:val="uk-UA"/>
        </w:rPr>
        <w:t>79</w:t>
      </w:r>
      <w:r w:rsidRPr="00205357">
        <w:rPr>
          <w:kern w:val="28"/>
          <w:sz w:val="28"/>
          <w:szCs w:val="28"/>
          <w:lang w:val="uk-UA"/>
        </w:rPr>
        <w:t xml:space="preserve">%). </w:t>
      </w:r>
    </w:p>
    <w:p w14:paraId="71059738" w14:textId="151DBA9D" w:rsidR="00473ACA" w:rsidRPr="00205357" w:rsidRDefault="00473ACA" w:rsidP="00FE4C10">
      <w:pPr>
        <w:shd w:val="clear" w:color="auto" w:fill="FFFFFF"/>
        <w:ind w:firstLine="709"/>
        <w:jc w:val="both"/>
        <w:rPr>
          <w:kern w:val="28"/>
          <w:sz w:val="28"/>
          <w:szCs w:val="28"/>
        </w:rPr>
      </w:pPr>
      <w:r w:rsidRPr="00205357">
        <w:rPr>
          <w:kern w:val="28"/>
          <w:sz w:val="28"/>
          <w:szCs w:val="28"/>
        </w:rPr>
        <w:t>У структурі загальної кількості справ і матеріалів (</w:t>
      </w:r>
      <w:r w:rsidR="001A7EC8">
        <w:rPr>
          <w:kern w:val="28"/>
          <w:sz w:val="28"/>
          <w:szCs w:val="28"/>
        </w:rPr>
        <w:t>24423</w:t>
      </w:r>
      <w:r w:rsidRPr="00205357">
        <w:rPr>
          <w:kern w:val="28"/>
          <w:sz w:val="28"/>
          <w:szCs w:val="28"/>
        </w:rPr>
        <w:t xml:space="preserve">), що </w:t>
      </w:r>
      <w:r w:rsidR="001A7EC8">
        <w:rPr>
          <w:kern w:val="28"/>
          <w:sz w:val="28"/>
          <w:szCs w:val="28"/>
        </w:rPr>
        <w:t>перебували у провадженні</w:t>
      </w:r>
      <w:r w:rsidRPr="00205357">
        <w:rPr>
          <w:kern w:val="28"/>
          <w:sz w:val="28"/>
          <w:szCs w:val="28"/>
        </w:rPr>
        <w:t xml:space="preserve"> КОАС, після позовних заяв і адміністративних справ другим за чисельністю видом звернень є заяви, подання, клопотання, подані у порядку виконання судових рішень. У 20</w:t>
      </w:r>
      <w:r w:rsidR="00182A80">
        <w:rPr>
          <w:kern w:val="28"/>
          <w:sz w:val="28"/>
          <w:szCs w:val="28"/>
        </w:rPr>
        <w:t>2</w:t>
      </w:r>
      <w:r w:rsidR="001A7EC8">
        <w:rPr>
          <w:kern w:val="28"/>
          <w:sz w:val="28"/>
          <w:szCs w:val="28"/>
        </w:rPr>
        <w:t>2</w:t>
      </w:r>
      <w:r w:rsidR="00182A80">
        <w:rPr>
          <w:kern w:val="28"/>
          <w:sz w:val="28"/>
          <w:szCs w:val="28"/>
        </w:rPr>
        <w:t xml:space="preserve"> </w:t>
      </w:r>
      <w:r w:rsidRPr="00205357">
        <w:rPr>
          <w:kern w:val="28"/>
          <w:sz w:val="28"/>
          <w:szCs w:val="28"/>
        </w:rPr>
        <w:t xml:space="preserve">році </w:t>
      </w:r>
      <w:r w:rsidR="001A7EC8">
        <w:rPr>
          <w:kern w:val="28"/>
          <w:sz w:val="28"/>
          <w:szCs w:val="28"/>
        </w:rPr>
        <w:t>у провадженні суду перебувало</w:t>
      </w:r>
      <w:r w:rsidRPr="00205357">
        <w:rPr>
          <w:kern w:val="28"/>
          <w:sz w:val="28"/>
          <w:szCs w:val="28"/>
        </w:rPr>
        <w:t xml:space="preserve"> </w:t>
      </w:r>
      <w:r w:rsidR="001A7EC8">
        <w:rPr>
          <w:kern w:val="28"/>
          <w:sz w:val="28"/>
          <w:szCs w:val="28"/>
        </w:rPr>
        <w:t>1396</w:t>
      </w:r>
      <w:r w:rsidRPr="00205357">
        <w:rPr>
          <w:kern w:val="28"/>
          <w:sz w:val="28"/>
          <w:szCs w:val="28"/>
        </w:rPr>
        <w:t xml:space="preserve"> </w:t>
      </w:r>
      <w:r w:rsidR="00F53796" w:rsidRPr="00205357">
        <w:rPr>
          <w:kern w:val="28"/>
          <w:sz w:val="28"/>
          <w:szCs w:val="28"/>
        </w:rPr>
        <w:t>(</w:t>
      </w:r>
      <w:r w:rsidR="001A7EC8">
        <w:rPr>
          <w:kern w:val="28"/>
          <w:sz w:val="28"/>
          <w:szCs w:val="28"/>
        </w:rPr>
        <w:t>5,7</w:t>
      </w:r>
      <w:r w:rsidR="00F53796" w:rsidRPr="00205357">
        <w:rPr>
          <w:kern w:val="28"/>
          <w:sz w:val="28"/>
          <w:szCs w:val="28"/>
        </w:rPr>
        <w:t>%</w:t>
      </w:r>
      <w:r w:rsidR="006D5632" w:rsidRPr="00205357">
        <w:rPr>
          <w:kern w:val="28"/>
          <w:sz w:val="28"/>
          <w:szCs w:val="28"/>
        </w:rPr>
        <w:t xml:space="preserve"> від загальної кількості надходження</w:t>
      </w:r>
      <w:r w:rsidR="00F53796" w:rsidRPr="00205357">
        <w:rPr>
          <w:kern w:val="28"/>
          <w:sz w:val="28"/>
          <w:szCs w:val="28"/>
        </w:rPr>
        <w:t xml:space="preserve">) </w:t>
      </w:r>
      <w:r w:rsidR="006D5632" w:rsidRPr="00205357">
        <w:rPr>
          <w:kern w:val="28"/>
          <w:sz w:val="28"/>
          <w:szCs w:val="28"/>
        </w:rPr>
        <w:t>заяв</w:t>
      </w:r>
      <w:r w:rsidR="00F53796" w:rsidRPr="00205357">
        <w:rPr>
          <w:kern w:val="28"/>
          <w:sz w:val="28"/>
          <w:szCs w:val="28"/>
        </w:rPr>
        <w:t xml:space="preserve"> у порядку виконання</w:t>
      </w:r>
      <w:r w:rsidR="00000C13" w:rsidRPr="00205357">
        <w:rPr>
          <w:kern w:val="28"/>
          <w:sz w:val="28"/>
          <w:szCs w:val="28"/>
        </w:rPr>
        <w:t>, тоді як у 20</w:t>
      </w:r>
      <w:r w:rsidR="001A7EC8">
        <w:rPr>
          <w:kern w:val="28"/>
          <w:sz w:val="28"/>
          <w:szCs w:val="28"/>
        </w:rPr>
        <w:t>21</w:t>
      </w:r>
      <w:r w:rsidR="00000C13" w:rsidRPr="00205357">
        <w:rPr>
          <w:kern w:val="28"/>
          <w:sz w:val="28"/>
          <w:szCs w:val="28"/>
        </w:rPr>
        <w:t xml:space="preserve"> році</w:t>
      </w:r>
      <w:r w:rsidRPr="00205357">
        <w:rPr>
          <w:kern w:val="28"/>
          <w:sz w:val="28"/>
          <w:szCs w:val="28"/>
        </w:rPr>
        <w:t xml:space="preserve"> таких </w:t>
      </w:r>
      <w:r w:rsidR="00F53796" w:rsidRPr="00205357">
        <w:rPr>
          <w:kern w:val="28"/>
          <w:sz w:val="28"/>
          <w:szCs w:val="28"/>
        </w:rPr>
        <w:t xml:space="preserve">заяв </w:t>
      </w:r>
      <w:r w:rsidR="001A7EC8">
        <w:rPr>
          <w:kern w:val="28"/>
          <w:sz w:val="28"/>
          <w:szCs w:val="28"/>
        </w:rPr>
        <w:t>було</w:t>
      </w:r>
      <w:r w:rsidR="00000C13" w:rsidRPr="00205357">
        <w:rPr>
          <w:kern w:val="28"/>
          <w:sz w:val="28"/>
          <w:szCs w:val="28"/>
        </w:rPr>
        <w:t xml:space="preserve"> </w:t>
      </w:r>
      <w:r w:rsidR="001A7EC8">
        <w:rPr>
          <w:kern w:val="28"/>
          <w:sz w:val="28"/>
          <w:szCs w:val="28"/>
        </w:rPr>
        <w:t>1540</w:t>
      </w:r>
      <w:r w:rsidRPr="00205357">
        <w:rPr>
          <w:kern w:val="28"/>
          <w:sz w:val="28"/>
          <w:szCs w:val="28"/>
        </w:rPr>
        <w:t xml:space="preserve"> </w:t>
      </w:r>
      <w:r w:rsidR="00F53796" w:rsidRPr="00205357">
        <w:rPr>
          <w:kern w:val="28"/>
          <w:sz w:val="28"/>
          <w:szCs w:val="28"/>
        </w:rPr>
        <w:t>(</w:t>
      </w:r>
      <w:r w:rsidR="001A7EC8">
        <w:rPr>
          <w:kern w:val="28"/>
          <w:sz w:val="28"/>
          <w:szCs w:val="28"/>
        </w:rPr>
        <w:t>5</w:t>
      </w:r>
      <w:r w:rsidR="006D5632" w:rsidRPr="00205357">
        <w:rPr>
          <w:kern w:val="28"/>
          <w:sz w:val="28"/>
          <w:szCs w:val="28"/>
        </w:rPr>
        <w:t>,3</w:t>
      </w:r>
      <w:r w:rsidRPr="00205357">
        <w:rPr>
          <w:kern w:val="28"/>
          <w:sz w:val="28"/>
          <w:szCs w:val="28"/>
        </w:rPr>
        <w:t>%</w:t>
      </w:r>
      <w:r w:rsidR="00F53796" w:rsidRPr="00205357">
        <w:rPr>
          <w:kern w:val="28"/>
          <w:sz w:val="28"/>
          <w:szCs w:val="28"/>
        </w:rPr>
        <w:t>)</w:t>
      </w:r>
      <w:r w:rsidR="00000C13" w:rsidRPr="00205357">
        <w:rPr>
          <w:kern w:val="28"/>
          <w:sz w:val="28"/>
          <w:szCs w:val="28"/>
        </w:rPr>
        <w:t>. Таким чином</w:t>
      </w:r>
      <w:r w:rsidR="00182A80">
        <w:rPr>
          <w:kern w:val="28"/>
          <w:sz w:val="28"/>
          <w:szCs w:val="28"/>
        </w:rPr>
        <w:t xml:space="preserve"> у 202</w:t>
      </w:r>
      <w:r w:rsidR="001A7EC8">
        <w:rPr>
          <w:kern w:val="28"/>
          <w:sz w:val="28"/>
          <w:szCs w:val="28"/>
        </w:rPr>
        <w:t>2</w:t>
      </w:r>
      <w:r w:rsidR="00182A80">
        <w:rPr>
          <w:kern w:val="28"/>
          <w:sz w:val="28"/>
          <w:szCs w:val="28"/>
        </w:rPr>
        <w:t xml:space="preserve"> році</w:t>
      </w:r>
      <w:r w:rsidR="00000C13" w:rsidRPr="00205357">
        <w:rPr>
          <w:kern w:val="28"/>
          <w:sz w:val="28"/>
          <w:szCs w:val="28"/>
        </w:rPr>
        <w:t xml:space="preserve"> </w:t>
      </w:r>
      <w:r w:rsidRPr="00205357">
        <w:rPr>
          <w:kern w:val="28"/>
          <w:sz w:val="28"/>
          <w:szCs w:val="28"/>
        </w:rPr>
        <w:t xml:space="preserve">спостерігається </w:t>
      </w:r>
      <w:r w:rsidR="001A7EC8">
        <w:rPr>
          <w:kern w:val="28"/>
          <w:sz w:val="28"/>
          <w:szCs w:val="28"/>
        </w:rPr>
        <w:t>зменшення</w:t>
      </w:r>
      <w:r w:rsidR="00000C13" w:rsidRPr="00205357">
        <w:rPr>
          <w:kern w:val="28"/>
          <w:sz w:val="28"/>
          <w:szCs w:val="28"/>
        </w:rPr>
        <w:t xml:space="preserve"> </w:t>
      </w:r>
      <w:r w:rsidR="001A7EC8">
        <w:rPr>
          <w:kern w:val="28"/>
          <w:sz w:val="28"/>
          <w:szCs w:val="28"/>
        </w:rPr>
        <w:t>кількості</w:t>
      </w:r>
      <w:r w:rsidR="00000C13" w:rsidRPr="00205357">
        <w:rPr>
          <w:kern w:val="28"/>
          <w:sz w:val="28"/>
          <w:szCs w:val="28"/>
        </w:rPr>
        <w:t xml:space="preserve"> </w:t>
      </w:r>
      <w:r w:rsidR="00182A80">
        <w:rPr>
          <w:kern w:val="28"/>
          <w:sz w:val="28"/>
          <w:szCs w:val="28"/>
        </w:rPr>
        <w:t>заяв</w:t>
      </w:r>
      <w:r w:rsidR="00736F7E">
        <w:rPr>
          <w:kern w:val="28"/>
          <w:sz w:val="28"/>
          <w:szCs w:val="28"/>
        </w:rPr>
        <w:t>/клопотань</w:t>
      </w:r>
      <w:r w:rsidR="00000C13" w:rsidRPr="00205357">
        <w:rPr>
          <w:kern w:val="28"/>
          <w:sz w:val="28"/>
          <w:szCs w:val="28"/>
        </w:rPr>
        <w:t xml:space="preserve"> у порядку виконання</w:t>
      </w:r>
      <w:r w:rsidR="00007559" w:rsidRPr="00205357">
        <w:rPr>
          <w:kern w:val="28"/>
          <w:sz w:val="28"/>
          <w:szCs w:val="28"/>
        </w:rPr>
        <w:t xml:space="preserve"> судових рішень</w:t>
      </w:r>
      <w:r w:rsidR="00000C13" w:rsidRPr="00205357">
        <w:rPr>
          <w:kern w:val="28"/>
          <w:sz w:val="28"/>
          <w:szCs w:val="28"/>
        </w:rPr>
        <w:t xml:space="preserve"> </w:t>
      </w:r>
      <w:r w:rsidRPr="00205357">
        <w:rPr>
          <w:kern w:val="28"/>
          <w:sz w:val="28"/>
          <w:szCs w:val="28"/>
        </w:rPr>
        <w:t xml:space="preserve">на </w:t>
      </w:r>
      <w:r w:rsidR="00736F7E">
        <w:rPr>
          <w:kern w:val="28"/>
          <w:sz w:val="28"/>
          <w:szCs w:val="28"/>
        </w:rPr>
        <w:t>9,3</w:t>
      </w:r>
      <w:r w:rsidRPr="00205357">
        <w:rPr>
          <w:kern w:val="28"/>
          <w:sz w:val="28"/>
          <w:szCs w:val="28"/>
        </w:rPr>
        <w:t>%.</w:t>
      </w:r>
    </w:p>
    <w:p w14:paraId="7E872C10" w14:textId="13F636E6" w:rsidR="00473ACA" w:rsidRPr="00205357" w:rsidRDefault="00007559" w:rsidP="00FE4C10">
      <w:pPr>
        <w:shd w:val="clear" w:color="auto" w:fill="FFFFFF"/>
        <w:ind w:firstLine="709"/>
        <w:jc w:val="both"/>
        <w:rPr>
          <w:kern w:val="28"/>
          <w:sz w:val="28"/>
          <w:szCs w:val="28"/>
        </w:rPr>
      </w:pPr>
      <w:r w:rsidRPr="00205357">
        <w:rPr>
          <w:kern w:val="28"/>
          <w:sz w:val="28"/>
          <w:szCs w:val="28"/>
        </w:rPr>
        <w:t>В</w:t>
      </w:r>
      <w:r w:rsidR="00473ACA" w:rsidRPr="00205357">
        <w:rPr>
          <w:kern w:val="28"/>
          <w:sz w:val="28"/>
          <w:szCs w:val="28"/>
        </w:rPr>
        <w:t xml:space="preserve">продовж звітного періоду до КОАС надійшло </w:t>
      </w:r>
      <w:r w:rsidR="00736F7E">
        <w:rPr>
          <w:kern w:val="28"/>
          <w:sz w:val="28"/>
          <w:szCs w:val="28"/>
        </w:rPr>
        <w:t>26</w:t>
      </w:r>
      <w:r w:rsidR="00182A80">
        <w:rPr>
          <w:kern w:val="28"/>
          <w:sz w:val="28"/>
          <w:szCs w:val="28"/>
        </w:rPr>
        <w:t xml:space="preserve"> заяв</w:t>
      </w:r>
      <w:r w:rsidR="00473ACA" w:rsidRPr="00205357">
        <w:rPr>
          <w:kern w:val="28"/>
          <w:sz w:val="28"/>
          <w:szCs w:val="28"/>
        </w:rPr>
        <w:t xml:space="preserve"> про забезпечення доказів та про забезпечення позову до подання позовної заяви або </w:t>
      </w:r>
      <w:r w:rsidR="00736F7E">
        <w:rPr>
          <w:kern w:val="28"/>
          <w:sz w:val="28"/>
          <w:szCs w:val="28"/>
        </w:rPr>
        <w:t>0,1</w:t>
      </w:r>
      <w:r w:rsidR="00473ACA" w:rsidRPr="00205357">
        <w:rPr>
          <w:kern w:val="28"/>
          <w:sz w:val="28"/>
          <w:szCs w:val="28"/>
        </w:rPr>
        <w:t xml:space="preserve">% </w:t>
      </w:r>
      <w:r w:rsidR="00182A80">
        <w:rPr>
          <w:kern w:val="28"/>
          <w:sz w:val="28"/>
          <w:szCs w:val="28"/>
        </w:rPr>
        <w:t xml:space="preserve">від загальної кількості </w:t>
      </w:r>
      <w:r w:rsidR="00473ACA" w:rsidRPr="00205357">
        <w:rPr>
          <w:kern w:val="28"/>
          <w:sz w:val="28"/>
          <w:szCs w:val="28"/>
        </w:rPr>
        <w:t xml:space="preserve">справ і матеріалів, що </w:t>
      </w:r>
      <w:r w:rsidR="00736F7E">
        <w:rPr>
          <w:kern w:val="28"/>
          <w:sz w:val="28"/>
          <w:szCs w:val="28"/>
        </w:rPr>
        <w:t>перебували у провадженні</w:t>
      </w:r>
      <w:r w:rsidR="00182A80">
        <w:rPr>
          <w:kern w:val="28"/>
          <w:sz w:val="28"/>
          <w:szCs w:val="28"/>
        </w:rPr>
        <w:t xml:space="preserve"> суду, т</w:t>
      </w:r>
      <w:r w:rsidR="007265C6" w:rsidRPr="00205357">
        <w:rPr>
          <w:kern w:val="28"/>
          <w:sz w:val="28"/>
          <w:szCs w:val="28"/>
        </w:rPr>
        <w:t>оді як у 20</w:t>
      </w:r>
      <w:r w:rsidR="00736F7E">
        <w:rPr>
          <w:kern w:val="28"/>
          <w:sz w:val="28"/>
          <w:szCs w:val="28"/>
        </w:rPr>
        <w:t>21</w:t>
      </w:r>
      <w:r w:rsidR="007265C6" w:rsidRPr="00205357">
        <w:rPr>
          <w:kern w:val="28"/>
          <w:sz w:val="28"/>
          <w:szCs w:val="28"/>
        </w:rPr>
        <w:t xml:space="preserve"> році </w:t>
      </w:r>
      <w:r w:rsidR="00736F7E">
        <w:rPr>
          <w:kern w:val="28"/>
          <w:sz w:val="28"/>
          <w:szCs w:val="28"/>
        </w:rPr>
        <w:t>на розгляді КОАС перебувало 52</w:t>
      </w:r>
      <w:r w:rsidRPr="00205357">
        <w:rPr>
          <w:kern w:val="28"/>
          <w:sz w:val="28"/>
          <w:szCs w:val="28"/>
        </w:rPr>
        <w:t xml:space="preserve"> </w:t>
      </w:r>
      <w:r w:rsidR="00000C13" w:rsidRPr="00205357">
        <w:rPr>
          <w:kern w:val="28"/>
          <w:sz w:val="28"/>
          <w:szCs w:val="28"/>
        </w:rPr>
        <w:t>заяв про забезпечення доказів, позову до подання позовної заяви</w:t>
      </w:r>
      <w:r w:rsidR="00182A80">
        <w:rPr>
          <w:kern w:val="28"/>
          <w:sz w:val="28"/>
          <w:szCs w:val="28"/>
        </w:rPr>
        <w:t xml:space="preserve"> становило</w:t>
      </w:r>
      <w:r w:rsidR="00000C13" w:rsidRPr="00205357">
        <w:rPr>
          <w:kern w:val="28"/>
          <w:sz w:val="28"/>
          <w:szCs w:val="28"/>
        </w:rPr>
        <w:t xml:space="preserve"> </w:t>
      </w:r>
      <w:r w:rsidRPr="00205357">
        <w:rPr>
          <w:kern w:val="28"/>
          <w:sz w:val="28"/>
          <w:szCs w:val="28"/>
        </w:rPr>
        <w:t>(</w:t>
      </w:r>
      <w:r w:rsidR="007265C6" w:rsidRPr="00205357">
        <w:rPr>
          <w:kern w:val="28"/>
          <w:sz w:val="28"/>
          <w:szCs w:val="28"/>
        </w:rPr>
        <w:t>0,</w:t>
      </w:r>
      <w:r w:rsidR="00736F7E">
        <w:rPr>
          <w:kern w:val="28"/>
          <w:sz w:val="28"/>
          <w:szCs w:val="28"/>
        </w:rPr>
        <w:t>02</w:t>
      </w:r>
      <w:r w:rsidR="007265C6" w:rsidRPr="00205357">
        <w:rPr>
          <w:kern w:val="28"/>
          <w:sz w:val="28"/>
          <w:szCs w:val="28"/>
        </w:rPr>
        <w:t>%</w:t>
      </w:r>
      <w:r w:rsidRPr="00205357">
        <w:rPr>
          <w:kern w:val="28"/>
          <w:sz w:val="28"/>
          <w:szCs w:val="28"/>
        </w:rPr>
        <w:t>)</w:t>
      </w:r>
      <w:r w:rsidR="00000C13" w:rsidRPr="00205357">
        <w:rPr>
          <w:kern w:val="28"/>
          <w:sz w:val="28"/>
          <w:szCs w:val="28"/>
        </w:rPr>
        <w:t>.</w:t>
      </w:r>
    </w:p>
    <w:p w14:paraId="22B2513C" w14:textId="73F042E3" w:rsidR="00473ACA" w:rsidRPr="00205357" w:rsidRDefault="00473ACA" w:rsidP="00FE4C10">
      <w:pPr>
        <w:shd w:val="clear" w:color="auto" w:fill="FFFFFF"/>
        <w:ind w:firstLine="709"/>
        <w:jc w:val="both"/>
        <w:rPr>
          <w:kern w:val="28"/>
          <w:sz w:val="28"/>
          <w:szCs w:val="28"/>
        </w:rPr>
      </w:pPr>
      <w:r w:rsidRPr="00205357">
        <w:rPr>
          <w:kern w:val="28"/>
          <w:sz w:val="28"/>
          <w:szCs w:val="28"/>
        </w:rPr>
        <w:t xml:space="preserve">Серед інших справ і матеріалів, що </w:t>
      </w:r>
      <w:r w:rsidR="00736F7E">
        <w:rPr>
          <w:kern w:val="28"/>
          <w:sz w:val="28"/>
          <w:szCs w:val="28"/>
        </w:rPr>
        <w:t>перебували у провадженні</w:t>
      </w:r>
      <w:r w:rsidRPr="00205357">
        <w:rPr>
          <w:kern w:val="28"/>
          <w:sz w:val="28"/>
          <w:szCs w:val="28"/>
        </w:rPr>
        <w:t xml:space="preserve"> КОАС</w:t>
      </w:r>
      <w:r w:rsidR="00182A80">
        <w:rPr>
          <w:kern w:val="28"/>
          <w:sz w:val="28"/>
          <w:szCs w:val="28"/>
        </w:rPr>
        <w:t xml:space="preserve"> у 202</w:t>
      </w:r>
      <w:r w:rsidR="00736F7E">
        <w:rPr>
          <w:kern w:val="28"/>
          <w:sz w:val="28"/>
          <w:szCs w:val="28"/>
        </w:rPr>
        <w:t>2</w:t>
      </w:r>
      <w:r w:rsidR="00182A80">
        <w:rPr>
          <w:kern w:val="28"/>
          <w:sz w:val="28"/>
          <w:szCs w:val="28"/>
        </w:rPr>
        <w:t xml:space="preserve"> році</w:t>
      </w:r>
      <w:r w:rsidR="00736F7E">
        <w:rPr>
          <w:kern w:val="28"/>
          <w:sz w:val="28"/>
          <w:szCs w:val="28"/>
        </w:rPr>
        <w:t xml:space="preserve"> наступні</w:t>
      </w:r>
      <w:r w:rsidRPr="00205357">
        <w:rPr>
          <w:kern w:val="28"/>
          <w:sz w:val="28"/>
          <w:szCs w:val="28"/>
        </w:rPr>
        <w:t>:</w:t>
      </w:r>
    </w:p>
    <w:p w14:paraId="2DE3222C" w14:textId="62A56295" w:rsidR="00473ACA" w:rsidRPr="00205357" w:rsidRDefault="00736F7E" w:rsidP="00F800CA">
      <w:pPr>
        <w:pStyle w:val="a8"/>
        <w:numPr>
          <w:ilvl w:val="0"/>
          <w:numId w:val="8"/>
        </w:numPr>
        <w:shd w:val="clear" w:color="auto" w:fill="FFFFFF"/>
        <w:ind w:left="0" w:firstLine="0"/>
        <w:jc w:val="both"/>
        <w:rPr>
          <w:kern w:val="28"/>
          <w:sz w:val="28"/>
          <w:szCs w:val="28"/>
          <w:lang w:val="uk-UA"/>
        </w:rPr>
      </w:pPr>
      <w:r>
        <w:rPr>
          <w:kern w:val="28"/>
          <w:sz w:val="28"/>
          <w:szCs w:val="28"/>
          <w:lang w:val="uk-UA"/>
        </w:rPr>
        <w:t>22</w:t>
      </w:r>
      <w:r w:rsidR="00473ACA" w:rsidRPr="00205357">
        <w:rPr>
          <w:kern w:val="28"/>
          <w:sz w:val="28"/>
          <w:szCs w:val="28"/>
          <w:lang w:val="uk-UA"/>
        </w:rPr>
        <w:t xml:space="preserve"> заяв</w:t>
      </w:r>
      <w:r>
        <w:rPr>
          <w:kern w:val="28"/>
          <w:sz w:val="28"/>
          <w:szCs w:val="28"/>
          <w:lang w:val="uk-UA"/>
        </w:rPr>
        <w:t>и</w:t>
      </w:r>
      <w:r w:rsidR="00473ACA" w:rsidRPr="00205357">
        <w:rPr>
          <w:kern w:val="28"/>
          <w:sz w:val="28"/>
          <w:szCs w:val="28"/>
          <w:lang w:val="uk-UA"/>
        </w:rPr>
        <w:t xml:space="preserve"> про перегляд судового рішення за нововиявленими </w:t>
      </w:r>
      <w:r w:rsidR="00182A80">
        <w:rPr>
          <w:kern w:val="28"/>
          <w:sz w:val="28"/>
          <w:szCs w:val="28"/>
          <w:lang w:val="uk-UA"/>
        </w:rPr>
        <w:t>або виключними обставинами. У</w:t>
      </w:r>
      <w:r w:rsidR="00000C13" w:rsidRPr="00205357">
        <w:rPr>
          <w:kern w:val="28"/>
          <w:sz w:val="28"/>
          <w:szCs w:val="28"/>
          <w:lang w:val="uk-UA"/>
        </w:rPr>
        <w:t xml:space="preserve"> попередньому звітному періоді  </w:t>
      </w:r>
      <w:r w:rsidR="00182A80">
        <w:rPr>
          <w:kern w:val="28"/>
          <w:sz w:val="28"/>
          <w:szCs w:val="28"/>
          <w:lang w:val="uk-UA"/>
        </w:rPr>
        <w:t>таких заяв надійшло</w:t>
      </w:r>
      <w:r w:rsidR="00000C13" w:rsidRPr="00205357">
        <w:rPr>
          <w:kern w:val="28"/>
          <w:sz w:val="28"/>
          <w:szCs w:val="28"/>
          <w:lang w:val="uk-UA"/>
        </w:rPr>
        <w:t xml:space="preserve"> </w:t>
      </w:r>
      <w:r>
        <w:rPr>
          <w:kern w:val="28"/>
          <w:sz w:val="28"/>
          <w:szCs w:val="28"/>
          <w:lang w:val="uk-UA"/>
        </w:rPr>
        <w:t>24</w:t>
      </w:r>
      <w:r w:rsidR="00473ACA" w:rsidRPr="00205357">
        <w:rPr>
          <w:kern w:val="28"/>
          <w:sz w:val="28"/>
          <w:szCs w:val="28"/>
          <w:lang w:val="uk-UA"/>
        </w:rPr>
        <w:t>;</w:t>
      </w:r>
    </w:p>
    <w:p w14:paraId="7DA2AE60" w14:textId="5CA434A9" w:rsidR="00473ACA" w:rsidRPr="00205357" w:rsidRDefault="00736F7E" w:rsidP="00F800CA">
      <w:pPr>
        <w:pStyle w:val="a8"/>
        <w:numPr>
          <w:ilvl w:val="0"/>
          <w:numId w:val="8"/>
        </w:numPr>
        <w:shd w:val="clear" w:color="auto" w:fill="FFFFFF"/>
        <w:ind w:left="0" w:firstLine="0"/>
        <w:jc w:val="both"/>
        <w:rPr>
          <w:kern w:val="28"/>
          <w:sz w:val="28"/>
          <w:szCs w:val="28"/>
          <w:lang w:val="uk-UA"/>
        </w:rPr>
      </w:pPr>
      <w:r>
        <w:rPr>
          <w:kern w:val="28"/>
          <w:sz w:val="28"/>
          <w:szCs w:val="28"/>
          <w:lang w:val="uk-UA"/>
        </w:rPr>
        <w:t>3</w:t>
      </w:r>
      <w:r w:rsidR="00473ACA" w:rsidRPr="00205357">
        <w:rPr>
          <w:kern w:val="28"/>
          <w:sz w:val="28"/>
          <w:szCs w:val="28"/>
          <w:lang w:val="uk-UA"/>
        </w:rPr>
        <w:t xml:space="preserve"> заяв</w:t>
      </w:r>
      <w:r w:rsidR="007265C6" w:rsidRPr="00205357">
        <w:rPr>
          <w:kern w:val="28"/>
          <w:sz w:val="28"/>
          <w:szCs w:val="28"/>
          <w:lang w:val="uk-UA"/>
        </w:rPr>
        <w:t>и</w:t>
      </w:r>
      <w:r w:rsidR="00473ACA" w:rsidRPr="00205357">
        <w:rPr>
          <w:kern w:val="28"/>
          <w:sz w:val="28"/>
          <w:szCs w:val="28"/>
          <w:lang w:val="uk-UA"/>
        </w:rPr>
        <w:t xml:space="preserve"> про відновлення втраченого судо</w:t>
      </w:r>
      <w:r w:rsidR="00590C5A" w:rsidRPr="00205357">
        <w:rPr>
          <w:kern w:val="28"/>
          <w:sz w:val="28"/>
          <w:szCs w:val="28"/>
          <w:lang w:val="uk-UA"/>
        </w:rPr>
        <w:t>вого провадження, тоді як у 201</w:t>
      </w:r>
      <w:r w:rsidR="007265C6" w:rsidRPr="00205357">
        <w:rPr>
          <w:kern w:val="28"/>
          <w:sz w:val="28"/>
          <w:szCs w:val="28"/>
          <w:lang w:val="uk-UA"/>
        </w:rPr>
        <w:t>9</w:t>
      </w:r>
      <w:r w:rsidR="00473ACA" w:rsidRPr="00205357">
        <w:rPr>
          <w:kern w:val="28"/>
          <w:sz w:val="28"/>
          <w:szCs w:val="28"/>
          <w:lang w:val="uk-UA"/>
        </w:rPr>
        <w:t xml:space="preserve"> році таких заяв надійшло </w:t>
      </w:r>
      <w:r>
        <w:rPr>
          <w:kern w:val="28"/>
          <w:sz w:val="28"/>
          <w:szCs w:val="28"/>
          <w:lang w:val="uk-UA"/>
        </w:rPr>
        <w:t>17</w:t>
      </w:r>
      <w:r w:rsidR="00473ACA" w:rsidRPr="00205357">
        <w:rPr>
          <w:kern w:val="28"/>
          <w:sz w:val="28"/>
          <w:szCs w:val="28"/>
          <w:lang w:val="uk-UA"/>
        </w:rPr>
        <w:t>;</w:t>
      </w:r>
    </w:p>
    <w:p w14:paraId="65088226" w14:textId="477945BD" w:rsidR="00473ACA" w:rsidRPr="00205357" w:rsidRDefault="00590C5A" w:rsidP="00F800CA">
      <w:pPr>
        <w:pStyle w:val="a8"/>
        <w:numPr>
          <w:ilvl w:val="0"/>
          <w:numId w:val="8"/>
        </w:numPr>
        <w:shd w:val="clear" w:color="auto" w:fill="FFFFFF"/>
        <w:ind w:left="0" w:firstLine="0"/>
        <w:jc w:val="both"/>
        <w:rPr>
          <w:kern w:val="28"/>
          <w:sz w:val="28"/>
          <w:szCs w:val="28"/>
          <w:lang w:val="uk-UA"/>
        </w:rPr>
      </w:pPr>
      <w:r w:rsidRPr="00205357">
        <w:rPr>
          <w:kern w:val="28"/>
          <w:sz w:val="28"/>
          <w:szCs w:val="28"/>
          <w:lang w:val="uk-UA"/>
        </w:rPr>
        <w:t>1</w:t>
      </w:r>
      <w:r w:rsidR="00473ACA" w:rsidRPr="00205357">
        <w:rPr>
          <w:kern w:val="28"/>
          <w:sz w:val="28"/>
          <w:szCs w:val="28"/>
          <w:lang w:val="uk-UA"/>
        </w:rPr>
        <w:t xml:space="preserve"> доруче</w:t>
      </w:r>
      <w:r w:rsidR="00F53796" w:rsidRPr="00205357">
        <w:rPr>
          <w:kern w:val="28"/>
          <w:sz w:val="28"/>
          <w:szCs w:val="28"/>
          <w:lang w:val="uk-UA"/>
        </w:rPr>
        <w:t>н</w:t>
      </w:r>
      <w:r w:rsidR="00473ACA" w:rsidRPr="00205357">
        <w:rPr>
          <w:kern w:val="28"/>
          <w:sz w:val="28"/>
          <w:szCs w:val="28"/>
          <w:lang w:val="uk-UA"/>
        </w:rPr>
        <w:t>н</w:t>
      </w:r>
      <w:r w:rsidR="00F53796" w:rsidRPr="00205357">
        <w:rPr>
          <w:kern w:val="28"/>
          <w:sz w:val="28"/>
          <w:szCs w:val="28"/>
          <w:lang w:val="uk-UA"/>
        </w:rPr>
        <w:t>я</w:t>
      </w:r>
      <w:r w:rsidR="00473ACA" w:rsidRPr="00205357">
        <w:rPr>
          <w:kern w:val="28"/>
          <w:sz w:val="28"/>
          <w:szCs w:val="28"/>
          <w:lang w:val="uk-UA"/>
        </w:rPr>
        <w:t xml:space="preserve"> судів України, </w:t>
      </w:r>
      <w:r w:rsidR="00736F7E">
        <w:rPr>
          <w:kern w:val="28"/>
          <w:sz w:val="28"/>
          <w:szCs w:val="28"/>
          <w:lang w:val="uk-UA"/>
        </w:rPr>
        <w:t>а у</w:t>
      </w:r>
      <w:r w:rsidR="00473ACA" w:rsidRPr="00205357">
        <w:rPr>
          <w:kern w:val="28"/>
          <w:sz w:val="28"/>
          <w:szCs w:val="28"/>
          <w:lang w:val="uk-UA"/>
        </w:rPr>
        <w:t xml:space="preserve"> попередньому звітному періоді</w:t>
      </w:r>
      <w:r w:rsidR="00736F7E">
        <w:rPr>
          <w:kern w:val="28"/>
          <w:sz w:val="28"/>
          <w:szCs w:val="28"/>
          <w:lang w:val="uk-UA"/>
        </w:rPr>
        <w:t xml:space="preserve"> - 2</w:t>
      </w:r>
      <w:r w:rsidRPr="00205357">
        <w:rPr>
          <w:kern w:val="28"/>
          <w:sz w:val="28"/>
          <w:szCs w:val="28"/>
          <w:lang w:val="uk-UA"/>
        </w:rPr>
        <w:t>.</w:t>
      </w:r>
      <w:r w:rsidR="00473ACA" w:rsidRPr="00205357">
        <w:rPr>
          <w:kern w:val="28"/>
          <w:sz w:val="28"/>
          <w:szCs w:val="28"/>
          <w:lang w:val="uk-UA"/>
        </w:rPr>
        <w:t xml:space="preserve"> </w:t>
      </w:r>
    </w:p>
    <w:p w14:paraId="4C5CCEE7" w14:textId="4B79E620" w:rsidR="0049508C" w:rsidRPr="00205357" w:rsidRDefault="00EC5B90" w:rsidP="00FE4C10">
      <w:pPr>
        <w:pStyle w:val="a3"/>
        <w:spacing w:before="0" w:beforeAutospacing="0" w:after="0" w:afterAutospacing="0"/>
        <w:ind w:firstLine="709"/>
        <w:jc w:val="both"/>
        <w:rPr>
          <w:kern w:val="28"/>
          <w:sz w:val="28"/>
          <w:szCs w:val="28"/>
          <w:lang w:val="uk-UA"/>
        </w:rPr>
      </w:pPr>
      <w:r w:rsidRPr="00205357">
        <w:rPr>
          <w:kern w:val="28"/>
          <w:sz w:val="28"/>
          <w:szCs w:val="28"/>
          <w:lang w:val="uk-UA"/>
        </w:rPr>
        <w:t>Згідно з даними статистичної звітності за 20</w:t>
      </w:r>
      <w:r w:rsidR="00007559" w:rsidRPr="00205357">
        <w:rPr>
          <w:kern w:val="28"/>
          <w:sz w:val="28"/>
          <w:szCs w:val="28"/>
          <w:lang w:val="uk-UA"/>
        </w:rPr>
        <w:t>2</w:t>
      </w:r>
      <w:r w:rsidR="00736F7E">
        <w:rPr>
          <w:kern w:val="28"/>
          <w:sz w:val="28"/>
          <w:szCs w:val="28"/>
          <w:lang w:val="uk-UA"/>
        </w:rPr>
        <w:t>2</w:t>
      </w:r>
      <w:r w:rsidRPr="00205357">
        <w:rPr>
          <w:kern w:val="28"/>
          <w:sz w:val="28"/>
          <w:szCs w:val="28"/>
          <w:lang w:val="uk-UA"/>
        </w:rPr>
        <w:t xml:space="preserve"> рік КОАС розглянуто </w:t>
      </w:r>
      <w:r w:rsidR="00E30DCD">
        <w:rPr>
          <w:kern w:val="28"/>
          <w:sz w:val="28"/>
          <w:szCs w:val="28"/>
          <w:lang w:val="uk-UA"/>
        </w:rPr>
        <w:t>14836</w:t>
      </w:r>
      <w:r w:rsidRPr="00205357">
        <w:rPr>
          <w:kern w:val="28"/>
          <w:sz w:val="28"/>
          <w:szCs w:val="28"/>
          <w:lang w:val="uk-UA"/>
        </w:rPr>
        <w:t xml:space="preserve"> справ та позовних заяв, що становить </w:t>
      </w:r>
      <w:r w:rsidR="00E30DCD">
        <w:rPr>
          <w:kern w:val="28"/>
          <w:sz w:val="28"/>
          <w:szCs w:val="28"/>
          <w:lang w:val="uk-UA"/>
        </w:rPr>
        <w:t>93</w:t>
      </w:r>
      <w:r w:rsidRPr="00205357">
        <w:rPr>
          <w:kern w:val="28"/>
          <w:sz w:val="28"/>
          <w:szCs w:val="28"/>
          <w:lang w:val="uk-UA"/>
        </w:rPr>
        <w:t xml:space="preserve">% від загальної кількості </w:t>
      </w:r>
      <w:r w:rsidR="00007559" w:rsidRPr="00205357">
        <w:rPr>
          <w:kern w:val="28"/>
          <w:sz w:val="28"/>
          <w:szCs w:val="28"/>
          <w:lang w:val="uk-UA"/>
        </w:rPr>
        <w:t>розглянутих справ і матеріалі</w:t>
      </w:r>
      <w:r w:rsidR="00F800CA">
        <w:rPr>
          <w:kern w:val="28"/>
          <w:sz w:val="28"/>
          <w:szCs w:val="28"/>
          <w:lang w:val="uk-UA"/>
        </w:rPr>
        <w:t>в</w:t>
      </w:r>
      <w:r w:rsidRPr="00205357">
        <w:rPr>
          <w:kern w:val="28"/>
          <w:sz w:val="28"/>
          <w:szCs w:val="28"/>
          <w:lang w:val="uk-UA"/>
        </w:rPr>
        <w:t>. У 20</w:t>
      </w:r>
      <w:r w:rsidR="00E30DCD">
        <w:rPr>
          <w:kern w:val="28"/>
          <w:sz w:val="28"/>
          <w:szCs w:val="28"/>
          <w:lang w:val="uk-UA"/>
        </w:rPr>
        <w:t>21</w:t>
      </w:r>
      <w:r w:rsidRPr="00205357">
        <w:rPr>
          <w:kern w:val="28"/>
          <w:sz w:val="28"/>
          <w:szCs w:val="28"/>
          <w:lang w:val="uk-UA"/>
        </w:rPr>
        <w:t xml:space="preserve"> році такий показник становив </w:t>
      </w:r>
      <w:r w:rsidR="00E30DCD">
        <w:rPr>
          <w:kern w:val="28"/>
          <w:sz w:val="28"/>
          <w:szCs w:val="28"/>
          <w:lang w:val="uk-UA"/>
        </w:rPr>
        <w:t>16414</w:t>
      </w:r>
      <w:r w:rsidRPr="00205357">
        <w:rPr>
          <w:kern w:val="28"/>
          <w:sz w:val="28"/>
          <w:szCs w:val="28"/>
          <w:lang w:val="uk-UA"/>
        </w:rPr>
        <w:t xml:space="preserve"> </w:t>
      </w:r>
      <w:r w:rsidR="00F800CA">
        <w:rPr>
          <w:kern w:val="28"/>
          <w:sz w:val="28"/>
          <w:szCs w:val="28"/>
          <w:lang w:val="uk-UA"/>
        </w:rPr>
        <w:t xml:space="preserve">одиниць </w:t>
      </w:r>
      <w:r w:rsidRPr="00205357">
        <w:rPr>
          <w:kern w:val="28"/>
          <w:sz w:val="28"/>
          <w:szCs w:val="28"/>
          <w:lang w:val="uk-UA"/>
        </w:rPr>
        <w:t>(</w:t>
      </w:r>
      <w:r w:rsidR="00E30DCD">
        <w:rPr>
          <w:kern w:val="28"/>
          <w:sz w:val="28"/>
          <w:szCs w:val="28"/>
          <w:lang w:val="uk-UA"/>
        </w:rPr>
        <w:t>93</w:t>
      </w:r>
      <w:r w:rsidRPr="00205357">
        <w:rPr>
          <w:kern w:val="28"/>
          <w:sz w:val="28"/>
          <w:szCs w:val="28"/>
          <w:lang w:val="uk-UA"/>
        </w:rPr>
        <w:t>%).</w:t>
      </w:r>
    </w:p>
    <w:p w14:paraId="1F7A64D6" w14:textId="0ED75DEA" w:rsidR="004531A8" w:rsidRPr="00205357" w:rsidRDefault="004531A8" w:rsidP="00FE4C10">
      <w:pPr>
        <w:pStyle w:val="a3"/>
        <w:spacing w:before="0" w:beforeAutospacing="0" w:after="0" w:afterAutospacing="0"/>
        <w:ind w:firstLine="709"/>
        <w:jc w:val="both"/>
        <w:rPr>
          <w:kern w:val="28"/>
          <w:sz w:val="28"/>
          <w:szCs w:val="28"/>
          <w:lang w:val="uk-UA"/>
        </w:rPr>
      </w:pPr>
      <w:r w:rsidRPr="00205357">
        <w:rPr>
          <w:kern w:val="28"/>
          <w:sz w:val="28"/>
          <w:szCs w:val="28"/>
          <w:lang w:val="uk-UA"/>
        </w:rPr>
        <w:t xml:space="preserve">У звітному періоді КОАС розглянуто </w:t>
      </w:r>
      <w:r w:rsidR="00E30DCD">
        <w:rPr>
          <w:kern w:val="28"/>
          <w:sz w:val="28"/>
          <w:szCs w:val="28"/>
          <w:lang w:val="uk-UA"/>
        </w:rPr>
        <w:t>9</w:t>
      </w:r>
      <w:r w:rsidRPr="00205357">
        <w:rPr>
          <w:kern w:val="28"/>
          <w:sz w:val="28"/>
          <w:szCs w:val="28"/>
          <w:lang w:val="uk-UA"/>
        </w:rPr>
        <w:t xml:space="preserve"> заяв про перегляд судового рішення за нововиявленими </w:t>
      </w:r>
      <w:r w:rsidR="000B5E9E" w:rsidRPr="00205357">
        <w:rPr>
          <w:kern w:val="28"/>
          <w:sz w:val="28"/>
          <w:szCs w:val="28"/>
          <w:lang w:val="uk-UA"/>
        </w:rPr>
        <w:t>або виключними обставинами (</w:t>
      </w:r>
      <w:r w:rsidR="00E30DCD">
        <w:rPr>
          <w:kern w:val="28"/>
          <w:sz w:val="28"/>
          <w:szCs w:val="28"/>
          <w:lang w:val="uk-UA"/>
        </w:rPr>
        <w:t>0,1</w:t>
      </w:r>
      <w:r w:rsidR="00EC5B90" w:rsidRPr="00205357">
        <w:rPr>
          <w:kern w:val="28"/>
          <w:sz w:val="28"/>
          <w:szCs w:val="28"/>
          <w:lang w:val="uk-UA"/>
        </w:rPr>
        <w:t>%)</w:t>
      </w:r>
      <w:r w:rsidRPr="00205357">
        <w:rPr>
          <w:kern w:val="28"/>
          <w:sz w:val="28"/>
          <w:szCs w:val="28"/>
          <w:lang w:val="uk-UA"/>
        </w:rPr>
        <w:t xml:space="preserve">, </w:t>
      </w:r>
      <w:r w:rsidR="00EC5B90" w:rsidRPr="00205357">
        <w:rPr>
          <w:kern w:val="28"/>
          <w:sz w:val="28"/>
          <w:szCs w:val="28"/>
          <w:lang w:val="uk-UA"/>
        </w:rPr>
        <w:t>тоді як у 20</w:t>
      </w:r>
      <w:r w:rsidR="00E30DCD">
        <w:rPr>
          <w:kern w:val="28"/>
          <w:sz w:val="28"/>
          <w:szCs w:val="28"/>
          <w:lang w:val="uk-UA"/>
        </w:rPr>
        <w:t>21</w:t>
      </w:r>
      <w:r w:rsidR="00EC5B90" w:rsidRPr="00205357">
        <w:rPr>
          <w:kern w:val="28"/>
          <w:sz w:val="28"/>
          <w:szCs w:val="28"/>
          <w:lang w:val="uk-UA"/>
        </w:rPr>
        <w:t xml:space="preserve"> році таких заяв розглянуто </w:t>
      </w:r>
      <w:r w:rsidR="00E30DCD">
        <w:rPr>
          <w:kern w:val="28"/>
          <w:sz w:val="28"/>
          <w:szCs w:val="28"/>
          <w:lang w:val="uk-UA"/>
        </w:rPr>
        <w:t>11</w:t>
      </w:r>
      <w:r w:rsidR="00EC5B90" w:rsidRPr="00205357">
        <w:rPr>
          <w:kern w:val="28"/>
          <w:sz w:val="28"/>
          <w:szCs w:val="28"/>
          <w:lang w:val="uk-UA"/>
        </w:rPr>
        <w:t xml:space="preserve"> (</w:t>
      </w:r>
      <w:r w:rsidR="000B5E9E" w:rsidRPr="00205357">
        <w:rPr>
          <w:kern w:val="28"/>
          <w:sz w:val="28"/>
          <w:szCs w:val="28"/>
          <w:lang w:val="uk-UA"/>
        </w:rPr>
        <w:t>0,</w:t>
      </w:r>
      <w:r w:rsidR="00E30DCD">
        <w:rPr>
          <w:kern w:val="28"/>
          <w:sz w:val="28"/>
          <w:szCs w:val="28"/>
          <w:lang w:val="uk-UA"/>
        </w:rPr>
        <w:t>06</w:t>
      </w:r>
      <w:r w:rsidR="00EC5B90" w:rsidRPr="00205357">
        <w:rPr>
          <w:kern w:val="28"/>
          <w:sz w:val="28"/>
          <w:szCs w:val="28"/>
          <w:lang w:val="uk-UA"/>
        </w:rPr>
        <w:t>%).</w:t>
      </w:r>
    </w:p>
    <w:p w14:paraId="357B3551" w14:textId="07F89BB6" w:rsidR="004531A8" w:rsidRPr="00205357" w:rsidRDefault="004531A8" w:rsidP="00FE4C10">
      <w:pPr>
        <w:pStyle w:val="a3"/>
        <w:spacing w:before="0" w:beforeAutospacing="0" w:after="0" w:afterAutospacing="0"/>
        <w:ind w:firstLine="709"/>
        <w:jc w:val="both"/>
        <w:rPr>
          <w:kern w:val="28"/>
          <w:sz w:val="28"/>
          <w:szCs w:val="28"/>
          <w:lang w:val="uk-UA"/>
        </w:rPr>
      </w:pPr>
      <w:r w:rsidRPr="00205357">
        <w:rPr>
          <w:kern w:val="28"/>
          <w:sz w:val="28"/>
          <w:szCs w:val="28"/>
          <w:lang w:val="uk-UA"/>
        </w:rPr>
        <w:t xml:space="preserve">Також </w:t>
      </w:r>
      <w:r w:rsidR="000B5E9E" w:rsidRPr="00205357">
        <w:rPr>
          <w:kern w:val="28"/>
          <w:sz w:val="28"/>
          <w:szCs w:val="28"/>
          <w:lang w:val="uk-UA"/>
        </w:rPr>
        <w:t xml:space="preserve">КОАС </w:t>
      </w:r>
      <w:r w:rsidRPr="00205357">
        <w:rPr>
          <w:kern w:val="28"/>
          <w:sz w:val="28"/>
          <w:szCs w:val="28"/>
          <w:lang w:val="uk-UA"/>
        </w:rPr>
        <w:t xml:space="preserve">розглянуто </w:t>
      </w:r>
      <w:r w:rsidR="00E30DCD">
        <w:rPr>
          <w:kern w:val="28"/>
          <w:sz w:val="28"/>
          <w:szCs w:val="28"/>
          <w:lang w:val="uk-UA"/>
        </w:rPr>
        <w:t>1076</w:t>
      </w:r>
      <w:r w:rsidRPr="00205357">
        <w:rPr>
          <w:kern w:val="28"/>
          <w:sz w:val="28"/>
          <w:szCs w:val="28"/>
          <w:lang w:val="uk-UA"/>
        </w:rPr>
        <w:t xml:space="preserve"> </w:t>
      </w:r>
      <w:r w:rsidR="000B5E9E" w:rsidRPr="00205357">
        <w:rPr>
          <w:kern w:val="28"/>
          <w:sz w:val="28"/>
          <w:szCs w:val="28"/>
          <w:lang w:val="uk-UA"/>
        </w:rPr>
        <w:t>заяв</w:t>
      </w:r>
      <w:r w:rsidRPr="00205357">
        <w:rPr>
          <w:kern w:val="28"/>
          <w:sz w:val="28"/>
          <w:szCs w:val="28"/>
          <w:lang w:val="uk-UA"/>
        </w:rPr>
        <w:t xml:space="preserve"> у порядку виконання судових рішень (</w:t>
      </w:r>
      <w:r w:rsidR="00E30DCD">
        <w:rPr>
          <w:kern w:val="28"/>
          <w:sz w:val="28"/>
          <w:szCs w:val="28"/>
          <w:lang w:val="uk-UA"/>
        </w:rPr>
        <w:t>6,7</w:t>
      </w:r>
      <w:r w:rsidR="00723223" w:rsidRPr="00205357">
        <w:rPr>
          <w:kern w:val="28"/>
          <w:sz w:val="28"/>
          <w:szCs w:val="28"/>
          <w:lang w:val="uk-UA"/>
        </w:rPr>
        <w:t xml:space="preserve">%), що на </w:t>
      </w:r>
      <w:r w:rsidR="00E30DCD">
        <w:rPr>
          <w:kern w:val="28"/>
          <w:sz w:val="28"/>
          <w:szCs w:val="28"/>
          <w:lang w:val="uk-UA"/>
        </w:rPr>
        <w:t>57</w:t>
      </w:r>
      <w:r w:rsidR="00723223" w:rsidRPr="00205357">
        <w:rPr>
          <w:kern w:val="28"/>
          <w:sz w:val="28"/>
          <w:szCs w:val="28"/>
          <w:lang w:val="uk-UA"/>
        </w:rPr>
        <w:t xml:space="preserve"> </w:t>
      </w:r>
      <w:r w:rsidR="000B5E9E" w:rsidRPr="00205357">
        <w:rPr>
          <w:kern w:val="28"/>
          <w:sz w:val="28"/>
          <w:szCs w:val="28"/>
          <w:lang w:val="uk-UA"/>
        </w:rPr>
        <w:t>заяв</w:t>
      </w:r>
      <w:r w:rsidR="00723223" w:rsidRPr="00205357">
        <w:rPr>
          <w:kern w:val="28"/>
          <w:sz w:val="28"/>
          <w:szCs w:val="28"/>
          <w:lang w:val="uk-UA"/>
        </w:rPr>
        <w:t xml:space="preserve"> </w:t>
      </w:r>
      <w:r w:rsidR="00E30DCD">
        <w:rPr>
          <w:kern w:val="28"/>
          <w:sz w:val="28"/>
          <w:szCs w:val="28"/>
          <w:lang w:val="uk-UA"/>
        </w:rPr>
        <w:t>менше</w:t>
      </w:r>
      <w:r w:rsidR="00723223" w:rsidRPr="00205357">
        <w:rPr>
          <w:kern w:val="28"/>
          <w:sz w:val="28"/>
          <w:szCs w:val="28"/>
          <w:lang w:val="uk-UA"/>
        </w:rPr>
        <w:t xml:space="preserve"> у порівнянні з показником 20</w:t>
      </w:r>
      <w:r w:rsidR="00E30DCD">
        <w:rPr>
          <w:kern w:val="28"/>
          <w:sz w:val="28"/>
          <w:szCs w:val="28"/>
          <w:lang w:val="uk-UA"/>
        </w:rPr>
        <w:t>21</w:t>
      </w:r>
      <w:r w:rsidR="00723223" w:rsidRPr="00205357">
        <w:rPr>
          <w:kern w:val="28"/>
          <w:sz w:val="28"/>
          <w:szCs w:val="28"/>
          <w:lang w:val="uk-UA"/>
        </w:rPr>
        <w:t xml:space="preserve"> року - </w:t>
      </w:r>
      <w:r w:rsidR="00E30DCD">
        <w:rPr>
          <w:kern w:val="28"/>
          <w:sz w:val="28"/>
          <w:szCs w:val="28"/>
          <w:lang w:val="uk-UA"/>
        </w:rPr>
        <w:t>1133</w:t>
      </w:r>
      <w:r w:rsidRPr="00205357">
        <w:rPr>
          <w:kern w:val="28"/>
          <w:sz w:val="28"/>
          <w:szCs w:val="28"/>
          <w:lang w:val="uk-UA"/>
        </w:rPr>
        <w:t xml:space="preserve"> (</w:t>
      </w:r>
      <w:r w:rsidR="00E30DCD">
        <w:rPr>
          <w:kern w:val="28"/>
          <w:sz w:val="28"/>
          <w:szCs w:val="28"/>
          <w:lang w:val="uk-UA"/>
        </w:rPr>
        <w:t>6,4</w:t>
      </w:r>
      <w:r w:rsidRPr="00205357">
        <w:rPr>
          <w:kern w:val="28"/>
          <w:sz w:val="28"/>
          <w:szCs w:val="28"/>
          <w:lang w:val="uk-UA"/>
        </w:rPr>
        <w:t>%)</w:t>
      </w:r>
      <w:r w:rsidR="00723223" w:rsidRPr="00205357">
        <w:rPr>
          <w:kern w:val="28"/>
          <w:sz w:val="28"/>
          <w:szCs w:val="28"/>
          <w:lang w:val="uk-UA"/>
        </w:rPr>
        <w:t>.</w:t>
      </w:r>
    </w:p>
    <w:p w14:paraId="52B93A84" w14:textId="55305213" w:rsidR="00723223" w:rsidRPr="00205357" w:rsidRDefault="00E30DCD" w:rsidP="00FE4C10">
      <w:pPr>
        <w:shd w:val="clear" w:color="auto" w:fill="FFFFFF"/>
        <w:ind w:firstLine="709"/>
        <w:jc w:val="both"/>
        <w:rPr>
          <w:kern w:val="28"/>
          <w:sz w:val="28"/>
          <w:szCs w:val="28"/>
        </w:rPr>
      </w:pPr>
      <w:r>
        <w:rPr>
          <w:kern w:val="28"/>
          <w:sz w:val="28"/>
          <w:szCs w:val="28"/>
        </w:rPr>
        <w:t>Водночас</w:t>
      </w:r>
      <w:r w:rsidR="00723223" w:rsidRPr="00205357">
        <w:rPr>
          <w:kern w:val="28"/>
          <w:sz w:val="28"/>
          <w:szCs w:val="28"/>
        </w:rPr>
        <w:t>, що у 20</w:t>
      </w:r>
      <w:r w:rsidR="000B5E9E" w:rsidRPr="00205357">
        <w:rPr>
          <w:kern w:val="28"/>
          <w:sz w:val="28"/>
          <w:szCs w:val="28"/>
        </w:rPr>
        <w:t>2</w:t>
      </w:r>
      <w:r>
        <w:rPr>
          <w:kern w:val="28"/>
          <w:sz w:val="28"/>
          <w:szCs w:val="28"/>
        </w:rPr>
        <w:t>2</w:t>
      </w:r>
      <w:r w:rsidR="00723223" w:rsidRPr="00205357">
        <w:rPr>
          <w:kern w:val="28"/>
          <w:sz w:val="28"/>
          <w:szCs w:val="28"/>
        </w:rPr>
        <w:t xml:space="preserve"> році </w:t>
      </w:r>
      <w:r>
        <w:rPr>
          <w:kern w:val="28"/>
          <w:sz w:val="28"/>
          <w:szCs w:val="28"/>
        </w:rPr>
        <w:t>також зменшилася</w:t>
      </w:r>
      <w:r w:rsidR="000B5E9E" w:rsidRPr="00205357">
        <w:rPr>
          <w:kern w:val="28"/>
          <w:sz w:val="28"/>
          <w:szCs w:val="28"/>
        </w:rPr>
        <w:t xml:space="preserve"> </w:t>
      </w:r>
      <w:r w:rsidR="00723223" w:rsidRPr="00205357">
        <w:rPr>
          <w:kern w:val="28"/>
          <w:sz w:val="28"/>
          <w:szCs w:val="28"/>
        </w:rPr>
        <w:t xml:space="preserve">кількість розглянутих заяв про забезпечення доказів, позову, поданих до </w:t>
      </w:r>
      <w:r w:rsidR="000B5E9E" w:rsidRPr="00205357">
        <w:rPr>
          <w:kern w:val="28"/>
          <w:sz w:val="28"/>
          <w:szCs w:val="28"/>
        </w:rPr>
        <w:t>подання</w:t>
      </w:r>
      <w:r w:rsidR="00723223" w:rsidRPr="00205357">
        <w:rPr>
          <w:kern w:val="28"/>
          <w:sz w:val="28"/>
          <w:szCs w:val="28"/>
        </w:rPr>
        <w:t xml:space="preserve"> позовної заяви, у </w:t>
      </w:r>
      <w:r w:rsidR="000B5E9E" w:rsidRPr="00205357">
        <w:rPr>
          <w:kern w:val="28"/>
          <w:sz w:val="28"/>
          <w:szCs w:val="28"/>
        </w:rPr>
        <w:t>порівнянні з 20</w:t>
      </w:r>
      <w:r>
        <w:rPr>
          <w:kern w:val="28"/>
          <w:sz w:val="28"/>
          <w:szCs w:val="28"/>
        </w:rPr>
        <w:t>21</w:t>
      </w:r>
      <w:r w:rsidR="00723223" w:rsidRPr="00205357">
        <w:rPr>
          <w:kern w:val="28"/>
          <w:sz w:val="28"/>
          <w:szCs w:val="28"/>
        </w:rPr>
        <w:t xml:space="preserve"> році – </w:t>
      </w:r>
      <w:r>
        <w:rPr>
          <w:kern w:val="28"/>
          <w:sz w:val="28"/>
          <w:szCs w:val="28"/>
        </w:rPr>
        <w:t>25</w:t>
      </w:r>
      <w:r w:rsidR="000B5E9E" w:rsidRPr="00205357">
        <w:rPr>
          <w:kern w:val="28"/>
          <w:sz w:val="28"/>
          <w:szCs w:val="28"/>
        </w:rPr>
        <w:t xml:space="preserve"> заяв (0,</w:t>
      </w:r>
      <w:r>
        <w:rPr>
          <w:kern w:val="28"/>
          <w:sz w:val="28"/>
          <w:szCs w:val="28"/>
        </w:rPr>
        <w:t>16</w:t>
      </w:r>
      <w:r w:rsidR="000B5E9E" w:rsidRPr="00205357">
        <w:rPr>
          <w:kern w:val="28"/>
          <w:sz w:val="28"/>
          <w:szCs w:val="28"/>
        </w:rPr>
        <w:t>%) у 202</w:t>
      </w:r>
      <w:r>
        <w:rPr>
          <w:kern w:val="28"/>
          <w:sz w:val="28"/>
          <w:szCs w:val="28"/>
        </w:rPr>
        <w:t>2</w:t>
      </w:r>
      <w:r w:rsidR="000B5E9E" w:rsidRPr="00205357">
        <w:rPr>
          <w:kern w:val="28"/>
          <w:sz w:val="28"/>
          <w:szCs w:val="28"/>
        </w:rPr>
        <w:t xml:space="preserve"> році та </w:t>
      </w:r>
      <w:r>
        <w:rPr>
          <w:kern w:val="28"/>
          <w:sz w:val="28"/>
          <w:szCs w:val="28"/>
        </w:rPr>
        <w:t>52</w:t>
      </w:r>
      <w:r w:rsidR="00723223" w:rsidRPr="00205357">
        <w:rPr>
          <w:kern w:val="28"/>
          <w:sz w:val="28"/>
          <w:szCs w:val="28"/>
        </w:rPr>
        <w:t xml:space="preserve"> заяв</w:t>
      </w:r>
      <w:r>
        <w:rPr>
          <w:kern w:val="28"/>
          <w:sz w:val="28"/>
          <w:szCs w:val="28"/>
        </w:rPr>
        <w:t>и</w:t>
      </w:r>
      <w:r w:rsidR="000B5E9E" w:rsidRPr="00205357">
        <w:rPr>
          <w:kern w:val="28"/>
          <w:sz w:val="28"/>
          <w:szCs w:val="28"/>
        </w:rPr>
        <w:t xml:space="preserve"> (0,</w:t>
      </w:r>
      <w:r>
        <w:rPr>
          <w:kern w:val="28"/>
          <w:sz w:val="28"/>
          <w:szCs w:val="28"/>
        </w:rPr>
        <w:t>3</w:t>
      </w:r>
      <w:r w:rsidR="000B5E9E" w:rsidRPr="00205357">
        <w:rPr>
          <w:kern w:val="28"/>
          <w:sz w:val="28"/>
          <w:szCs w:val="28"/>
        </w:rPr>
        <w:t>%) у 20</w:t>
      </w:r>
      <w:r>
        <w:rPr>
          <w:kern w:val="28"/>
          <w:sz w:val="28"/>
          <w:szCs w:val="28"/>
        </w:rPr>
        <w:t>21</w:t>
      </w:r>
      <w:r w:rsidR="000B5E9E" w:rsidRPr="00205357">
        <w:rPr>
          <w:kern w:val="28"/>
          <w:sz w:val="28"/>
          <w:szCs w:val="28"/>
        </w:rPr>
        <w:t xml:space="preserve"> році</w:t>
      </w:r>
      <w:r w:rsidR="00723223" w:rsidRPr="00205357">
        <w:rPr>
          <w:kern w:val="28"/>
          <w:sz w:val="28"/>
          <w:szCs w:val="28"/>
        </w:rPr>
        <w:t xml:space="preserve">. </w:t>
      </w:r>
    </w:p>
    <w:p w14:paraId="2706CED8" w14:textId="22AE9AC7" w:rsidR="00723223" w:rsidRPr="00205357" w:rsidRDefault="004531A8" w:rsidP="00FE4C10">
      <w:pPr>
        <w:shd w:val="clear" w:color="auto" w:fill="FFFFFF"/>
        <w:ind w:firstLine="709"/>
        <w:jc w:val="both"/>
        <w:rPr>
          <w:kern w:val="28"/>
          <w:sz w:val="28"/>
          <w:szCs w:val="28"/>
        </w:rPr>
      </w:pPr>
      <w:r w:rsidRPr="00205357">
        <w:rPr>
          <w:kern w:val="28"/>
          <w:sz w:val="28"/>
          <w:szCs w:val="28"/>
        </w:rPr>
        <w:t>Протягом 20</w:t>
      </w:r>
      <w:r w:rsidR="000B5E9E" w:rsidRPr="00205357">
        <w:rPr>
          <w:kern w:val="28"/>
          <w:sz w:val="28"/>
          <w:szCs w:val="28"/>
        </w:rPr>
        <w:t>2</w:t>
      </w:r>
      <w:r w:rsidR="00E30DCD">
        <w:rPr>
          <w:kern w:val="28"/>
          <w:sz w:val="28"/>
          <w:szCs w:val="28"/>
        </w:rPr>
        <w:t>2</w:t>
      </w:r>
      <w:r w:rsidRPr="00205357">
        <w:rPr>
          <w:kern w:val="28"/>
          <w:sz w:val="28"/>
          <w:szCs w:val="28"/>
        </w:rPr>
        <w:t xml:space="preserve"> року до КОАС</w:t>
      </w:r>
      <w:r w:rsidR="00723223" w:rsidRPr="00205357">
        <w:rPr>
          <w:kern w:val="28"/>
          <w:sz w:val="28"/>
          <w:szCs w:val="28"/>
        </w:rPr>
        <w:t xml:space="preserve"> надійшло та розглянуто </w:t>
      </w:r>
      <w:r w:rsidR="00E30DCD">
        <w:rPr>
          <w:kern w:val="28"/>
          <w:sz w:val="28"/>
          <w:szCs w:val="28"/>
        </w:rPr>
        <w:t xml:space="preserve">1 </w:t>
      </w:r>
      <w:r w:rsidR="00723223" w:rsidRPr="00205357">
        <w:rPr>
          <w:kern w:val="28"/>
          <w:sz w:val="28"/>
          <w:szCs w:val="28"/>
        </w:rPr>
        <w:t>судов</w:t>
      </w:r>
      <w:r w:rsidR="00E30DCD">
        <w:rPr>
          <w:kern w:val="28"/>
          <w:sz w:val="28"/>
          <w:szCs w:val="28"/>
        </w:rPr>
        <w:t>е</w:t>
      </w:r>
      <w:r w:rsidR="00723223" w:rsidRPr="00205357">
        <w:rPr>
          <w:kern w:val="28"/>
          <w:sz w:val="28"/>
          <w:szCs w:val="28"/>
        </w:rPr>
        <w:t xml:space="preserve"> доручення</w:t>
      </w:r>
      <w:r w:rsidR="000B5E9E" w:rsidRPr="00205357">
        <w:rPr>
          <w:kern w:val="28"/>
          <w:sz w:val="28"/>
          <w:szCs w:val="28"/>
        </w:rPr>
        <w:t xml:space="preserve">, </w:t>
      </w:r>
      <w:r w:rsidRPr="00205357">
        <w:rPr>
          <w:kern w:val="28"/>
          <w:sz w:val="28"/>
          <w:szCs w:val="28"/>
        </w:rPr>
        <w:t xml:space="preserve"> </w:t>
      </w:r>
      <w:r w:rsidR="00723223" w:rsidRPr="00205357">
        <w:rPr>
          <w:kern w:val="28"/>
          <w:sz w:val="28"/>
          <w:szCs w:val="28"/>
        </w:rPr>
        <w:t>тоді як у 20</w:t>
      </w:r>
      <w:r w:rsidR="00E30DCD">
        <w:rPr>
          <w:kern w:val="28"/>
          <w:sz w:val="28"/>
          <w:szCs w:val="28"/>
        </w:rPr>
        <w:t>21</w:t>
      </w:r>
      <w:r w:rsidR="00723223" w:rsidRPr="00205357">
        <w:rPr>
          <w:kern w:val="28"/>
          <w:sz w:val="28"/>
          <w:szCs w:val="28"/>
        </w:rPr>
        <w:t xml:space="preserve"> році </w:t>
      </w:r>
      <w:r w:rsidR="000B5E9E" w:rsidRPr="00205357">
        <w:rPr>
          <w:kern w:val="28"/>
          <w:sz w:val="28"/>
          <w:szCs w:val="28"/>
        </w:rPr>
        <w:t xml:space="preserve">було розглянуто </w:t>
      </w:r>
      <w:r w:rsidR="00E30DCD">
        <w:rPr>
          <w:kern w:val="28"/>
          <w:sz w:val="28"/>
          <w:szCs w:val="28"/>
        </w:rPr>
        <w:t>2</w:t>
      </w:r>
      <w:r w:rsidR="000B5E9E" w:rsidRPr="00205357">
        <w:rPr>
          <w:kern w:val="28"/>
          <w:sz w:val="28"/>
          <w:szCs w:val="28"/>
        </w:rPr>
        <w:t xml:space="preserve"> судов</w:t>
      </w:r>
      <w:r w:rsidR="00E30DCD">
        <w:rPr>
          <w:kern w:val="28"/>
          <w:sz w:val="28"/>
          <w:szCs w:val="28"/>
        </w:rPr>
        <w:t>их</w:t>
      </w:r>
      <w:r w:rsidR="000B5E9E" w:rsidRPr="00205357">
        <w:rPr>
          <w:kern w:val="28"/>
          <w:sz w:val="28"/>
          <w:szCs w:val="28"/>
        </w:rPr>
        <w:t xml:space="preserve"> доручення</w:t>
      </w:r>
      <w:r w:rsidR="00723223" w:rsidRPr="00205357">
        <w:rPr>
          <w:kern w:val="28"/>
          <w:sz w:val="28"/>
          <w:szCs w:val="28"/>
        </w:rPr>
        <w:t>.</w:t>
      </w:r>
    </w:p>
    <w:p w14:paraId="4B39F5BB" w14:textId="641C7612" w:rsidR="00723223" w:rsidRPr="00205357" w:rsidRDefault="000B5E9E" w:rsidP="00FE4C10">
      <w:pPr>
        <w:shd w:val="clear" w:color="auto" w:fill="FFFFFF"/>
        <w:ind w:firstLine="709"/>
        <w:jc w:val="both"/>
        <w:rPr>
          <w:kern w:val="28"/>
          <w:sz w:val="28"/>
          <w:szCs w:val="28"/>
        </w:rPr>
      </w:pPr>
      <w:r w:rsidRPr="00205357">
        <w:rPr>
          <w:kern w:val="28"/>
          <w:sz w:val="28"/>
          <w:szCs w:val="28"/>
        </w:rPr>
        <w:t>Крім того, у 202</w:t>
      </w:r>
      <w:r w:rsidR="00E30DCD">
        <w:rPr>
          <w:kern w:val="28"/>
          <w:sz w:val="28"/>
          <w:szCs w:val="28"/>
        </w:rPr>
        <w:t>2</w:t>
      </w:r>
      <w:r w:rsidR="00723223" w:rsidRPr="00205357">
        <w:rPr>
          <w:kern w:val="28"/>
          <w:sz w:val="28"/>
          <w:szCs w:val="28"/>
        </w:rPr>
        <w:t xml:space="preserve"> році у провадженні КОАС перебувало </w:t>
      </w:r>
      <w:r w:rsidR="00E30DCD">
        <w:rPr>
          <w:kern w:val="28"/>
          <w:sz w:val="28"/>
          <w:szCs w:val="28"/>
        </w:rPr>
        <w:t>3</w:t>
      </w:r>
      <w:r w:rsidR="00723223" w:rsidRPr="00205357">
        <w:rPr>
          <w:kern w:val="28"/>
          <w:sz w:val="28"/>
          <w:szCs w:val="28"/>
        </w:rPr>
        <w:t xml:space="preserve"> </w:t>
      </w:r>
      <w:r w:rsidRPr="00205357">
        <w:rPr>
          <w:kern w:val="28"/>
          <w:sz w:val="28"/>
          <w:szCs w:val="28"/>
        </w:rPr>
        <w:t>матеріали щодо</w:t>
      </w:r>
      <w:r w:rsidR="00723223" w:rsidRPr="00205357">
        <w:rPr>
          <w:kern w:val="28"/>
          <w:sz w:val="28"/>
          <w:szCs w:val="28"/>
        </w:rPr>
        <w:t xml:space="preserve"> відновлення втраченого судового провадження, </w:t>
      </w:r>
      <w:r w:rsidRPr="00205357">
        <w:rPr>
          <w:kern w:val="28"/>
          <w:sz w:val="28"/>
          <w:szCs w:val="28"/>
        </w:rPr>
        <w:t xml:space="preserve">з яких на кінець звітного </w:t>
      </w:r>
      <w:r w:rsidRPr="00205357">
        <w:rPr>
          <w:kern w:val="28"/>
          <w:sz w:val="28"/>
          <w:szCs w:val="28"/>
        </w:rPr>
        <w:lastRenderedPageBreak/>
        <w:t xml:space="preserve">періоду розглянуто </w:t>
      </w:r>
      <w:r w:rsidR="00E30DCD">
        <w:rPr>
          <w:kern w:val="28"/>
          <w:sz w:val="28"/>
          <w:szCs w:val="28"/>
        </w:rPr>
        <w:t>два</w:t>
      </w:r>
      <w:r w:rsidR="00504604" w:rsidRPr="00205357">
        <w:rPr>
          <w:kern w:val="28"/>
          <w:sz w:val="28"/>
          <w:szCs w:val="28"/>
        </w:rPr>
        <w:t>. У 20</w:t>
      </w:r>
      <w:r w:rsidR="00E30DCD">
        <w:rPr>
          <w:kern w:val="28"/>
          <w:sz w:val="28"/>
          <w:szCs w:val="28"/>
        </w:rPr>
        <w:t>21</w:t>
      </w:r>
      <w:r w:rsidR="00504604" w:rsidRPr="00205357">
        <w:rPr>
          <w:kern w:val="28"/>
          <w:sz w:val="28"/>
          <w:szCs w:val="28"/>
        </w:rPr>
        <w:t xml:space="preserve"> році у провадженні суду перебувало </w:t>
      </w:r>
      <w:r w:rsidR="00E30DCD">
        <w:rPr>
          <w:kern w:val="28"/>
          <w:sz w:val="28"/>
          <w:szCs w:val="28"/>
        </w:rPr>
        <w:t>1</w:t>
      </w:r>
      <w:r w:rsidRPr="00205357">
        <w:rPr>
          <w:kern w:val="28"/>
          <w:sz w:val="28"/>
          <w:szCs w:val="28"/>
        </w:rPr>
        <w:t>7</w:t>
      </w:r>
      <w:r w:rsidR="00504604" w:rsidRPr="00205357">
        <w:rPr>
          <w:kern w:val="28"/>
          <w:sz w:val="28"/>
          <w:szCs w:val="28"/>
        </w:rPr>
        <w:t xml:space="preserve"> таких заяв</w:t>
      </w:r>
      <w:r w:rsidR="00E30DCD">
        <w:rPr>
          <w:kern w:val="28"/>
          <w:sz w:val="28"/>
          <w:szCs w:val="28"/>
        </w:rPr>
        <w:t xml:space="preserve"> та</w:t>
      </w:r>
      <w:r w:rsidRPr="00205357">
        <w:rPr>
          <w:kern w:val="28"/>
          <w:sz w:val="28"/>
          <w:szCs w:val="28"/>
        </w:rPr>
        <w:t xml:space="preserve"> були розглянуті у звітному періоді</w:t>
      </w:r>
      <w:r w:rsidR="00504604" w:rsidRPr="00205357">
        <w:rPr>
          <w:kern w:val="28"/>
          <w:sz w:val="28"/>
          <w:szCs w:val="28"/>
        </w:rPr>
        <w:t>.</w:t>
      </w:r>
    </w:p>
    <w:p w14:paraId="0994E8CB" w14:textId="77777777" w:rsidR="004531A8" w:rsidRPr="00205357" w:rsidRDefault="00504604" w:rsidP="00FE4C10">
      <w:pPr>
        <w:shd w:val="clear" w:color="auto" w:fill="FFFFFF"/>
        <w:ind w:firstLine="709"/>
        <w:jc w:val="both"/>
        <w:rPr>
          <w:kern w:val="28"/>
          <w:sz w:val="28"/>
          <w:szCs w:val="28"/>
        </w:rPr>
      </w:pPr>
      <w:r w:rsidRPr="00205357">
        <w:rPr>
          <w:kern w:val="28"/>
          <w:sz w:val="28"/>
          <w:szCs w:val="28"/>
        </w:rPr>
        <w:t xml:space="preserve">Наведені дані </w:t>
      </w:r>
      <w:r w:rsidR="004531A8" w:rsidRPr="00205357">
        <w:rPr>
          <w:kern w:val="28"/>
          <w:sz w:val="28"/>
          <w:szCs w:val="28"/>
        </w:rPr>
        <w:t>за формою звернен</w:t>
      </w:r>
      <w:r w:rsidRPr="00205357">
        <w:rPr>
          <w:kern w:val="28"/>
          <w:sz w:val="28"/>
          <w:szCs w:val="28"/>
        </w:rPr>
        <w:t xml:space="preserve">ь </w:t>
      </w:r>
      <w:r w:rsidR="004531A8" w:rsidRPr="00205357">
        <w:rPr>
          <w:kern w:val="28"/>
          <w:sz w:val="28"/>
          <w:szCs w:val="28"/>
        </w:rPr>
        <w:t>до суду представлені у таблиці 1.</w:t>
      </w:r>
    </w:p>
    <w:p w14:paraId="30B36FC4" w14:textId="77777777" w:rsidR="004531A8" w:rsidRPr="00205357" w:rsidRDefault="004531A8" w:rsidP="004531A8">
      <w:pPr>
        <w:shd w:val="clear" w:color="auto" w:fill="FFFFFF"/>
        <w:spacing w:line="276" w:lineRule="auto"/>
        <w:ind w:firstLine="709"/>
        <w:jc w:val="right"/>
        <w:rPr>
          <w:kern w:val="28"/>
          <w:sz w:val="28"/>
          <w:szCs w:val="28"/>
        </w:rPr>
      </w:pPr>
      <w:r w:rsidRPr="00205357">
        <w:rPr>
          <w:kern w:val="28"/>
          <w:sz w:val="28"/>
          <w:szCs w:val="28"/>
        </w:rPr>
        <w:t>Таблиця 1</w:t>
      </w:r>
    </w:p>
    <w:tbl>
      <w:tblPr>
        <w:tblStyle w:val="ad"/>
        <w:tblW w:w="9747" w:type="dxa"/>
        <w:tblLayout w:type="fixed"/>
        <w:tblLook w:val="04A0" w:firstRow="1" w:lastRow="0" w:firstColumn="1" w:lastColumn="0" w:noHBand="0" w:noVBand="1"/>
      </w:tblPr>
      <w:tblGrid>
        <w:gridCol w:w="2518"/>
        <w:gridCol w:w="1134"/>
        <w:gridCol w:w="993"/>
        <w:gridCol w:w="1134"/>
        <w:gridCol w:w="992"/>
        <w:gridCol w:w="992"/>
        <w:gridCol w:w="992"/>
        <w:gridCol w:w="992"/>
      </w:tblGrid>
      <w:tr w:rsidR="004531A8" w:rsidRPr="00000C13" w14:paraId="105D4EA0" w14:textId="77777777" w:rsidTr="00504604">
        <w:tc>
          <w:tcPr>
            <w:tcW w:w="2518" w:type="dxa"/>
            <w:vMerge w:val="restart"/>
            <w:vAlign w:val="center"/>
          </w:tcPr>
          <w:p w14:paraId="6ED378A2" w14:textId="77777777" w:rsidR="004531A8" w:rsidRPr="000C16D4" w:rsidRDefault="004531A8" w:rsidP="00473ACA">
            <w:pPr>
              <w:spacing w:line="240" w:lineRule="atLeast"/>
              <w:rPr>
                <w:b/>
                <w:sz w:val="20"/>
                <w:szCs w:val="20"/>
              </w:rPr>
            </w:pPr>
            <w:r w:rsidRPr="000C16D4">
              <w:rPr>
                <w:b/>
                <w:sz w:val="20"/>
                <w:szCs w:val="20"/>
              </w:rPr>
              <w:t xml:space="preserve">Форми                           </w:t>
            </w:r>
          </w:p>
          <w:p w14:paraId="41C7D52A" w14:textId="77777777" w:rsidR="004531A8" w:rsidRPr="00000C13" w:rsidRDefault="004531A8" w:rsidP="00504604">
            <w:pPr>
              <w:spacing w:line="240" w:lineRule="atLeast"/>
              <w:rPr>
                <w:b/>
                <w:i/>
                <w:sz w:val="20"/>
                <w:szCs w:val="20"/>
              </w:rPr>
            </w:pPr>
            <w:r w:rsidRPr="000C16D4">
              <w:rPr>
                <w:b/>
                <w:sz w:val="20"/>
                <w:szCs w:val="20"/>
              </w:rPr>
              <w:t>звернення до суду</w:t>
            </w:r>
          </w:p>
        </w:tc>
        <w:tc>
          <w:tcPr>
            <w:tcW w:w="2127" w:type="dxa"/>
            <w:gridSpan w:val="2"/>
            <w:vMerge w:val="restart"/>
            <w:vAlign w:val="center"/>
          </w:tcPr>
          <w:p w14:paraId="2A497EE8" w14:textId="77777777" w:rsidR="004531A8" w:rsidRPr="000C16D4" w:rsidRDefault="004531A8" w:rsidP="00504604">
            <w:pPr>
              <w:spacing w:line="240" w:lineRule="atLeast"/>
              <w:rPr>
                <w:b/>
                <w:sz w:val="20"/>
                <w:szCs w:val="20"/>
              </w:rPr>
            </w:pPr>
            <w:r w:rsidRPr="000C16D4">
              <w:rPr>
                <w:b/>
                <w:sz w:val="20"/>
                <w:szCs w:val="20"/>
              </w:rPr>
              <w:t>Розглянуто справ і матеріалів</w:t>
            </w:r>
          </w:p>
        </w:tc>
        <w:tc>
          <w:tcPr>
            <w:tcW w:w="2126" w:type="dxa"/>
            <w:gridSpan w:val="2"/>
            <w:vAlign w:val="center"/>
          </w:tcPr>
          <w:p w14:paraId="60964B2B" w14:textId="77777777" w:rsidR="004531A8" w:rsidRPr="000C16D4" w:rsidRDefault="004531A8" w:rsidP="00504604">
            <w:pPr>
              <w:spacing w:line="240" w:lineRule="atLeast"/>
              <w:ind w:firstLine="709"/>
              <w:rPr>
                <w:b/>
              </w:rPr>
            </w:pPr>
            <w:r w:rsidRPr="000C16D4">
              <w:rPr>
                <w:b/>
                <w:sz w:val="20"/>
                <w:szCs w:val="20"/>
              </w:rPr>
              <w:t>з них</w:t>
            </w:r>
          </w:p>
        </w:tc>
        <w:tc>
          <w:tcPr>
            <w:tcW w:w="2976" w:type="dxa"/>
            <w:gridSpan w:val="3"/>
            <w:vMerge w:val="restart"/>
            <w:vAlign w:val="center"/>
          </w:tcPr>
          <w:p w14:paraId="00CE9601" w14:textId="77777777" w:rsidR="004531A8" w:rsidRPr="000C16D4" w:rsidRDefault="00586D1C" w:rsidP="00586D1C">
            <w:pPr>
              <w:spacing w:line="240" w:lineRule="atLeast"/>
              <w:rPr>
                <w:b/>
                <w:sz w:val="20"/>
                <w:szCs w:val="20"/>
              </w:rPr>
            </w:pPr>
            <w:r>
              <w:rPr>
                <w:b/>
                <w:sz w:val="20"/>
                <w:szCs w:val="20"/>
              </w:rPr>
              <w:t>Відсоток</w:t>
            </w:r>
            <w:r w:rsidR="004531A8" w:rsidRPr="000C16D4">
              <w:rPr>
                <w:b/>
                <w:sz w:val="20"/>
                <w:szCs w:val="20"/>
              </w:rPr>
              <w:t xml:space="preserve"> розглянутих справ і матеріалів із задоволенням вимог у загальній кількості розглянутих справ/матеріалів</w:t>
            </w:r>
          </w:p>
        </w:tc>
      </w:tr>
      <w:tr w:rsidR="004531A8" w:rsidRPr="00000C13" w14:paraId="1566E7D0" w14:textId="77777777" w:rsidTr="00504604">
        <w:tc>
          <w:tcPr>
            <w:tcW w:w="2518" w:type="dxa"/>
            <w:vMerge/>
            <w:vAlign w:val="center"/>
          </w:tcPr>
          <w:p w14:paraId="669E14AF" w14:textId="77777777" w:rsidR="004531A8" w:rsidRPr="00000C13" w:rsidRDefault="004531A8" w:rsidP="00504604">
            <w:pPr>
              <w:spacing w:line="240" w:lineRule="atLeast"/>
              <w:ind w:firstLine="709"/>
              <w:rPr>
                <w:b/>
                <w:i/>
              </w:rPr>
            </w:pPr>
          </w:p>
        </w:tc>
        <w:tc>
          <w:tcPr>
            <w:tcW w:w="2127" w:type="dxa"/>
            <w:gridSpan w:val="2"/>
            <w:vMerge/>
            <w:vAlign w:val="center"/>
          </w:tcPr>
          <w:p w14:paraId="598C6AA2" w14:textId="77777777" w:rsidR="004531A8" w:rsidRPr="000C16D4" w:rsidRDefault="004531A8" w:rsidP="00504604">
            <w:pPr>
              <w:spacing w:line="240" w:lineRule="atLeast"/>
              <w:ind w:firstLine="709"/>
              <w:rPr>
                <w:b/>
              </w:rPr>
            </w:pPr>
          </w:p>
        </w:tc>
        <w:tc>
          <w:tcPr>
            <w:tcW w:w="2126" w:type="dxa"/>
            <w:gridSpan w:val="2"/>
            <w:vAlign w:val="center"/>
          </w:tcPr>
          <w:p w14:paraId="7AE39DF8" w14:textId="77777777" w:rsidR="004531A8" w:rsidRPr="000C16D4" w:rsidRDefault="004531A8" w:rsidP="00504604">
            <w:pPr>
              <w:spacing w:line="240" w:lineRule="atLeast"/>
              <w:rPr>
                <w:b/>
              </w:rPr>
            </w:pPr>
            <w:r w:rsidRPr="000C16D4">
              <w:rPr>
                <w:b/>
                <w:sz w:val="20"/>
                <w:szCs w:val="20"/>
              </w:rPr>
              <w:t>із задоволенням вимог</w:t>
            </w:r>
          </w:p>
        </w:tc>
        <w:tc>
          <w:tcPr>
            <w:tcW w:w="2976" w:type="dxa"/>
            <w:gridSpan w:val="3"/>
            <w:vMerge/>
            <w:vAlign w:val="center"/>
          </w:tcPr>
          <w:p w14:paraId="09301A20" w14:textId="77777777" w:rsidR="004531A8" w:rsidRPr="000C16D4" w:rsidRDefault="004531A8" w:rsidP="00504604">
            <w:pPr>
              <w:spacing w:line="240" w:lineRule="atLeast"/>
              <w:ind w:firstLine="709"/>
              <w:rPr>
                <w:b/>
              </w:rPr>
            </w:pPr>
          </w:p>
        </w:tc>
      </w:tr>
      <w:tr w:rsidR="004531A8" w:rsidRPr="00000C13" w14:paraId="288A6E7B" w14:textId="77777777" w:rsidTr="00504604">
        <w:tc>
          <w:tcPr>
            <w:tcW w:w="2518" w:type="dxa"/>
            <w:vMerge/>
            <w:vAlign w:val="center"/>
          </w:tcPr>
          <w:p w14:paraId="27D7D428" w14:textId="77777777" w:rsidR="004531A8" w:rsidRPr="00000C13" w:rsidRDefault="004531A8" w:rsidP="00504604">
            <w:pPr>
              <w:spacing w:line="240" w:lineRule="atLeast"/>
              <w:ind w:firstLine="709"/>
              <w:rPr>
                <w:b/>
                <w:i/>
              </w:rPr>
            </w:pPr>
          </w:p>
        </w:tc>
        <w:tc>
          <w:tcPr>
            <w:tcW w:w="1134" w:type="dxa"/>
            <w:vAlign w:val="center"/>
          </w:tcPr>
          <w:p w14:paraId="1DF2C1D9" w14:textId="6B805D8A" w:rsidR="004531A8" w:rsidRPr="000C16D4" w:rsidRDefault="00B8460D" w:rsidP="00473ACA">
            <w:pPr>
              <w:spacing w:line="240" w:lineRule="atLeast"/>
              <w:rPr>
                <w:b/>
                <w:sz w:val="20"/>
                <w:szCs w:val="20"/>
              </w:rPr>
            </w:pPr>
            <w:r>
              <w:rPr>
                <w:b/>
                <w:sz w:val="20"/>
                <w:szCs w:val="20"/>
              </w:rPr>
              <w:t>202</w:t>
            </w:r>
            <w:r w:rsidR="00E30DCD">
              <w:rPr>
                <w:b/>
                <w:sz w:val="20"/>
                <w:szCs w:val="20"/>
              </w:rPr>
              <w:t>2</w:t>
            </w:r>
            <w:r w:rsidR="004531A8" w:rsidRPr="000C16D4">
              <w:rPr>
                <w:b/>
                <w:sz w:val="20"/>
                <w:szCs w:val="20"/>
              </w:rPr>
              <w:t xml:space="preserve"> рік</w:t>
            </w:r>
          </w:p>
        </w:tc>
        <w:tc>
          <w:tcPr>
            <w:tcW w:w="993" w:type="dxa"/>
            <w:vAlign w:val="center"/>
          </w:tcPr>
          <w:p w14:paraId="050367F8" w14:textId="47014991" w:rsidR="004531A8" w:rsidRPr="000C16D4" w:rsidRDefault="004531A8" w:rsidP="00473ACA">
            <w:pPr>
              <w:spacing w:line="240" w:lineRule="atLeast"/>
              <w:rPr>
                <w:b/>
                <w:sz w:val="20"/>
                <w:szCs w:val="20"/>
              </w:rPr>
            </w:pPr>
            <w:r w:rsidRPr="000C16D4">
              <w:rPr>
                <w:b/>
                <w:sz w:val="20"/>
                <w:szCs w:val="20"/>
              </w:rPr>
              <w:t>20</w:t>
            </w:r>
            <w:r w:rsidR="00E30DCD">
              <w:rPr>
                <w:b/>
                <w:sz w:val="20"/>
                <w:szCs w:val="20"/>
              </w:rPr>
              <w:t>21</w:t>
            </w:r>
            <w:r w:rsidRPr="000C16D4">
              <w:rPr>
                <w:b/>
                <w:sz w:val="20"/>
                <w:szCs w:val="20"/>
              </w:rPr>
              <w:t xml:space="preserve"> рік</w:t>
            </w:r>
          </w:p>
        </w:tc>
        <w:tc>
          <w:tcPr>
            <w:tcW w:w="1134" w:type="dxa"/>
            <w:vAlign w:val="center"/>
          </w:tcPr>
          <w:p w14:paraId="6EB8492B" w14:textId="4D932259" w:rsidR="004531A8" w:rsidRPr="000C16D4" w:rsidRDefault="004531A8" w:rsidP="00B8460D">
            <w:pPr>
              <w:spacing w:line="240" w:lineRule="atLeast"/>
              <w:rPr>
                <w:b/>
                <w:sz w:val="20"/>
                <w:szCs w:val="20"/>
              </w:rPr>
            </w:pPr>
            <w:r w:rsidRPr="000C16D4">
              <w:rPr>
                <w:b/>
                <w:sz w:val="20"/>
                <w:szCs w:val="20"/>
              </w:rPr>
              <w:t>20</w:t>
            </w:r>
            <w:r w:rsidR="00E30DCD">
              <w:rPr>
                <w:b/>
                <w:sz w:val="20"/>
                <w:szCs w:val="20"/>
              </w:rPr>
              <w:t>22</w:t>
            </w:r>
            <w:r w:rsidRPr="000C16D4">
              <w:rPr>
                <w:b/>
                <w:sz w:val="20"/>
                <w:szCs w:val="20"/>
              </w:rPr>
              <w:t xml:space="preserve"> рік</w:t>
            </w:r>
          </w:p>
        </w:tc>
        <w:tc>
          <w:tcPr>
            <w:tcW w:w="992" w:type="dxa"/>
            <w:vAlign w:val="center"/>
          </w:tcPr>
          <w:p w14:paraId="2EDBD9AD" w14:textId="08954FD7" w:rsidR="004531A8" w:rsidRPr="000C16D4" w:rsidRDefault="004531A8" w:rsidP="00473ACA">
            <w:pPr>
              <w:spacing w:line="240" w:lineRule="atLeast"/>
              <w:rPr>
                <w:b/>
                <w:sz w:val="20"/>
                <w:szCs w:val="20"/>
              </w:rPr>
            </w:pPr>
            <w:r w:rsidRPr="000C16D4">
              <w:rPr>
                <w:b/>
                <w:sz w:val="20"/>
                <w:szCs w:val="20"/>
              </w:rPr>
              <w:t>20</w:t>
            </w:r>
            <w:r w:rsidR="00E30DCD">
              <w:rPr>
                <w:b/>
                <w:sz w:val="20"/>
                <w:szCs w:val="20"/>
              </w:rPr>
              <w:t>21</w:t>
            </w:r>
            <w:r w:rsidRPr="000C16D4">
              <w:rPr>
                <w:b/>
                <w:sz w:val="20"/>
                <w:szCs w:val="20"/>
              </w:rPr>
              <w:t xml:space="preserve"> рік</w:t>
            </w:r>
          </w:p>
        </w:tc>
        <w:tc>
          <w:tcPr>
            <w:tcW w:w="992" w:type="dxa"/>
            <w:vAlign w:val="center"/>
          </w:tcPr>
          <w:p w14:paraId="433AA0C8" w14:textId="105A57D9" w:rsidR="004531A8" w:rsidRPr="000C16D4" w:rsidRDefault="004531A8" w:rsidP="00B8460D">
            <w:pPr>
              <w:spacing w:line="240" w:lineRule="atLeast"/>
              <w:rPr>
                <w:b/>
                <w:sz w:val="20"/>
                <w:szCs w:val="20"/>
              </w:rPr>
            </w:pPr>
            <w:r w:rsidRPr="000C16D4">
              <w:rPr>
                <w:b/>
                <w:sz w:val="20"/>
                <w:szCs w:val="20"/>
              </w:rPr>
              <w:t>20</w:t>
            </w:r>
            <w:r w:rsidR="00E30DCD">
              <w:rPr>
                <w:b/>
                <w:sz w:val="20"/>
                <w:szCs w:val="20"/>
              </w:rPr>
              <w:t>22</w:t>
            </w:r>
            <w:r w:rsidRPr="000C16D4">
              <w:rPr>
                <w:b/>
                <w:sz w:val="20"/>
                <w:szCs w:val="20"/>
              </w:rPr>
              <w:t xml:space="preserve"> рік</w:t>
            </w:r>
          </w:p>
        </w:tc>
        <w:tc>
          <w:tcPr>
            <w:tcW w:w="992" w:type="dxa"/>
            <w:vAlign w:val="center"/>
          </w:tcPr>
          <w:p w14:paraId="3B36F7D1" w14:textId="1D65D6F1" w:rsidR="004531A8" w:rsidRPr="000C16D4" w:rsidRDefault="004531A8" w:rsidP="00473ACA">
            <w:pPr>
              <w:spacing w:line="240" w:lineRule="atLeast"/>
              <w:rPr>
                <w:b/>
                <w:sz w:val="20"/>
                <w:szCs w:val="20"/>
              </w:rPr>
            </w:pPr>
            <w:r w:rsidRPr="000C16D4">
              <w:rPr>
                <w:b/>
                <w:sz w:val="20"/>
                <w:szCs w:val="20"/>
              </w:rPr>
              <w:t>20</w:t>
            </w:r>
            <w:r w:rsidR="00E30DCD">
              <w:rPr>
                <w:b/>
                <w:sz w:val="20"/>
                <w:szCs w:val="20"/>
              </w:rPr>
              <w:t>21</w:t>
            </w:r>
            <w:r w:rsidRPr="000C16D4">
              <w:rPr>
                <w:b/>
                <w:sz w:val="20"/>
                <w:szCs w:val="20"/>
              </w:rPr>
              <w:t xml:space="preserve"> рік</w:t>
            </w:r>
          </w:p>
        </w:tc>
        <w:tc>
          <w:tcPr>
            <w:tcW w:w="992" w:type="dxa"/>
            <w:vAlign w:val="center"/>
          </w:tcPr>
          <w:p w14:paraId="46CDDAA0" w14:textId="77777777" w:rsidR="004531A8" w:rsidRPr="000C16D4" w:rsidRDefault="004531A8" w:rsidP="00504604">
            <w:pPr>
              <w:spacing w:line="240" w:lineRule="atLeast"/>
              <w:rPr>
                <w:b/>
                <w:i/>
                <w:sz w:val="20"/>
                <w:szCs w:val="20"/>
              </w:rPr>
            </w:pPr>
            <w:r w:rsidRPr="000C16D4">
              <w:rPr>
                <w:b/>
                <w:i/>
                <w:sz w:val="20"/>
                <w:szCs w:val="20"/>
              </w:rPr>
              <w:t>Дина-</w:t>
            </w:r>
          </w:p>
          <w:p w14:paraId="624913D3" w14:textId="77777777" w:rsidR="004531A8" w:rsidRPr="000C16D4" w:rsidRDefault="004531A8" w:rsidP="00504604">
            <w:pPr>
              <w:spacing w:line="240" w:lineRule="atLeast"/>
              <w:rPr>
                <w:b/>
                <w:i/>
                <w:sz w:val="20"/>
                <w:szCs w:val="20"/>
              </w:rPr>
            </w:pPr>
            <w:proofErr w:type="spellStart"/>
            <w:r w:rsidRPr="000C16D4">
              <w:rPr>
                <w:b/>
                <w:i/>
                <w:sz w:val="20"/>
                <w:szCs w:val="20"/>
              </w:rPr>
              <w:t>міка</w:t>
            </w:r>
            <w:proofErr w:type="spellEnd"/>
          </w:p>
        </w:tc>
      </w:tr>
      <w:tr w:rsidR="004531A8" w:rsidRPr="00000C13" w14:paraId="50312F6E" w14:textId="77777777" w:rsidTr="00586D1C">
        <w:trPr>
          <w:trHeight w:val="442"/>
        </w:trPr>
        <w:tc>
          <w:tcPr>
            <w:tcW w:w="2518" w:type="dxa"/>
            <w:vAlign w:val="center"/>
          </w:tcPr>
          <w:p w14:paraId="61BD1C94" w14:textId="77777777" w:rsidR="004531A8" w:rsidRPr="00000C13" w:rsidRDefault="00473ACA" w:rsidP="00504604">
            <w:pPr>
              <w:spacing w:line="240" w:lineRule="atLeast"/>
              <w:rPr>
                <w:i/>
                <w:sz w:val="20"/>
                <w:szCs w:val="20"/>
              </w:rPr>
            </w:pPr>
            <w:r w:rsidRPr="00000C13">
              <w:rPr>
                <w:i/>
                <w:sz w:val="20"/>
                <w:szCs w:val="20"/>
              </w:rPr>
              <w:t>Позовні заяви/справи</w:t>
            </w:r>
          </w:p>
        </w:tc>
        <w:tc>
          <w:tcPr>
            <w:tcW w:w="1134" w:type="dxa"/>
            <w:vAlign w:val="center"/>
          </w:tcPr>
          <w:p w14:paraId="2EFE46F0" w14:textId="159AE258" w:rsidR="004531A8" w:rsidRPr="000C16D4" w:rsidRDefault="00E30DCD" w:rsidP="00504604">
            <w:pPr>
              <w:spacing w:line="240" w:lineRule="atLeast"/>
              <w:jc w:val="center"/>
              <w:rPr>
                <w:b/>
                <w:sz w:val="20"/>
                <w:szCs w:val="20"/>
              </w:rPr>
            </w:pPr>
            <w:r>
              <w:rPr>
                <w:b/>
                <w:sz w:val="20"/>
                <w:szCs w:val="20"/>
              </w:rPr>
              <w:t>14836</w:t>
            </w:r>
          </w:p>
        </w:tc>
        <w:tc>
          <w:tcPr>
            <w:tcW w:w="993" w:type="dxa"/>
            <w:vAlign w:val="center"/>
          </w:tcPr>
          <w:p w14:paraId="6BF4319D" w14:textId="6F25DCC1" w:rsidR="004531A8" w:rsidRPr="000C16D4" w:rsidRDefault="00E30DCD" w:rsidP="00504604">
            <w:pPr>
              <w:spacing w:line="240" w:lineRule="atLeast"/>
              <w:jc w:val="center"/>
              <w:rPr>
                <w:b/>
                <w:sz w:val="20"/>
                <w:szCs w:val="20"/>
              </w:rPr>
            </w:pPr>
            <w:r>
              <w:rPr>
                <w:b/>
                <w:sz w:val="20"/>
                <w:szCs w:val="20"/>
              </w:rPr>
              <w:t>16414</w:t>
            </w:r>
          </w:p>
        </w:tc>
        <w:tc>
          <w:tcPr>
            <w:tcW w:w="1134" w:type="dxa"/>
            <w:vAlign w:val="center"/>
          </w:tcPr>
          <w:p w14:paraId="1220385E" w14:textId="4C27C069" w:rsidR="004531A8" w:rsidRPr="000C16D4" w:rsidRDefault="00E30DCD" w:rsidP="00504604">
            <w:pPr>
              <w:spacing w:line="240" w:lineRule="atLeast"/>
              <w:jc w:val="center"/>
              <w:rPr>
                <w:b/>
                <w:sz w:val="20"/>
                <w:szCs w:val="20"/>
              </w:rPr>
            </w:pPr>
            <w:r>
              <w:rPr>
                <w:b/>
                <w:sz w:val="20"/>
                <w:szCs w:val="20"/>
              </w:rPr>
              <w:t>10505</w:t>
            </w:r>
          </w:p>
        </w:tc>
        <w:tc>
          <w:tcPr>
            <w:tcW w:w="992" w:type="dxa"/>
            <w:vAlign w:val="center"/>
          </w:tcPr>
          <w:p w14:paraId="791F2A03" w14:textId="4A0FD57A" w:rsidR="004531A8" w:rsidRPr="000C16D4" w:rsidRDefault="00E30DCD" w:rsidP="00504604">
            <w:pPr>
              <w:spacing w:line="240" w:lineRule="atLeast"/>
              <w:jc w:val="center"/>
              <w:rPr>
                <w:b/>
                <w:sz w:val="20"/>
                <w:szCs w:val="20"/>
              </w:rPr>
            </w:pPr>
            <w:r>
              <w:rPr>
                <w:b/>
                <w:sz w:val="20"/>
                <w:szCs w:val="20"/>
              </w:rPr>
              <w:t>9438</w:t>
            </w:r>
          </w:p>
        </w:tc>
        <w:tc>
          <w:tcPr>
            <w:tcW w:w="992" w:type="dxa"/>
            <w:vAlign w:val="center"/>
          </w:tcPr>
          <w:p w14:paraId="3B9BBA50" w14:textId="6B982FA9" w:rsidR="004531A8" w:rsidRPr="000C16D4" w:rsidRDefault="00E30DCD" w:rsidP="00504604">
            <w:pPr>
              <w:spacing w:line="240" w:lineRule="atLeast"/>
              <w:jc w:val="center"/>
              <w:rPr>
                <w:b/>
                <w:sz w:val="20"/>
                <w:szCs w:val="20"/>
              </w:rPr>
            </w:pPr>
            <w:r>
              <w:rPr>
                <w:b/>
                <w:sz w:val="20"/>
                <w:szCs w:val="20"/>
              </w:rPr>
              <w:t>93</w:t>
            </w:r>
            <w:r w:rsidR="00586D1C">
              <w:rPr>
                <w:b/>
                <w:sz w:val="20"/>
                <w:szCs w:val="20"/>
              </w:rPr>
              <w:t>%</w:t>
            </w:r>
          </w:p>
        </w:tc>
        <w:tc>
          <w:tcPr>
            <w:tcW w:w="992" w:type="dxa"/>
            <w:vAlign w:val="center"/>
          </w:tcPr>
          <w:p w14:paraId="60476767" w14:textId="222C78C6" w:rsidR="004531A8" w:rsidRPr="000C16D4" w:rsidRDefault="00E30DCD" w:rsidP="00504604">
            <w:pPr>
              <w:spacing w:line="240" w:lineRule="atLeast"/>
              <w:jc w:val="center"/>
              <w:rPr>
                <w:b/>
                <w:sz w:val="20"/>
                <w:szCs w:val="20"/>
              </w:rPr>
            </w:pPr>
            <w:r>
              <w:rPr>
                <w:b/>
                <w:sz w:val="20"/>
                <w:szCs w:val="20"/>
              </w:rPr>
              <w:t>93</w:t>
            </w:r>
            <w:r w:rsidR="004531A8" w:rsidRPr="000C16D4">
              <w:rPr>
                <w:b/>
                <w:sz w:val="20"/>
                <w:szCs w:val="20"/>
              </w:rPr>
              <w:t>%</w:t>
            </w:r>
          </w:p>
        </w:tc>
        <w:tc>
          <w:tcPr>
            <w:tcW w:w="992" w:type="dxa"/>
            <w:vAlign w:val="center"/>
          </w:tcPr>
          <w:p w14:paraId="2E56BA2D" w14:textId="768A3207" w:rsidR="004531A8" w:rsidRPr="00586D1C" w:rsidRDefault="00E30DCD" w:rsidP="00586D1C">
            <w:pPr>
              <w:spacing w:line="240" w:lineRule="atLeast"/>
              <w:jc w:val="center"/>
              <w:rPr>
                <w:b/>
                <w:i/>
                <w:sz w:val="20"/>
                <w:szCs w:val="20"/>
              </w:rPr>
            </w:pPr>
            <w:r>
              <w:rPr>
                <w:b/>
                <w:i/>
                <w:sz w:val="20"/>
                <w:szCs w:val="20"/>
              </w:rPr>
              <w:t>0</w:t>
            </w:r>
          </w:p>
        </w:tc>
      </w:tr>
      <w:tr w:rsidR="004531A8" w:rsidRPr="00000C13" w14:paraId="79565764" w14:textId="77777777" w:rsidTr="00586D1C">
        <w:tc>
          <w:tcPr>
            <w:tcW w:w="2518" w:type="dxa"/>
            <w:vAlign w:val="center"/>
          </w:tcPr>
          <w:p w14:paraId="09F57C0F" w14:textId="77777777" w:rsidR="004531A8" w:rsidRPr="00000C13" w:rsidRDefault="004531A8" w:rsidP="00504604">
            <w:pPr>
              <w:spacing w:line="240" w:lineRule="atLeast"/>
              <w:rPr>
                <w:i/>
                <w:sz w:val="20"/>
                <w:szCs w:val="20"/>
              </w:rPr>
            </w:pPr>
            <w:r w:rsidRPr="00000C13">
              <w:rPr>
                <w:i/>
                <w:sz w:val="20"/>
                <w:szCs w:val="20"/>
              </w:rPr>
              <w:t xml:space="preserve">Заяви про перегляд судового рішення за нововиявленими </w:t>
            </w:r>
            <w:r w:rsidR="00504604" w:rsidRPr="00000C13">
              <w:rPr>
                <w:i/>
                <w:sz w:val="20"/>
                <w:szCs w:val="20"/>
              </w:rPr>
              <w:t xml:space="preserve">або виключними </w:t>
            </w:r>
            <w:r w:rsidRPr="00000C13">
              <w:rPr>
                <w:i/>
                <w:sz w:val="20"/>
                <w:szCs w:val="20"/>
              </w:rPr>
              <w:t>обставинами</w:t>
            </w:r>
          </w:p>
        </w:tc>
        <w:tc>
          <w:tcPr>
            <w:tcW w:w="1134" w:type="dxa"/>
            <w:vAlign w:val="center"/>
          </w:tcPr>
          <w:p w14:paraId="29A510E9" w14:textId="68B41A61" w:rsidR="004531A8" w:rsidRPr="000C16D4" w:rsidRDefault="00E30DCD" w:rsidP="00504604">
            <w:pPr>
              <w:spacing w:line="240" w:lineRule="atLeast"/>
              <w:jc w:val="center"/>
              <w:rPr>
                <w:b/>
                <w:sz w:val="20"/>
                <w:szCs w:val="20"/>
              </w:rPr>
            </w:pPr>
            <w:r>
              <w:rPr>
                <w:b/>
                <w:sz w:val="20"/>
                <w:szCs w:val="20"/>
              </w:rPr>
              <w:t>9</w:t>
            </w:r>
          </w:p>
        </w:tc>
        <w:tc>
          <w:tcPr>
            <w:tcW w:w="993" w:type="dxa"/>
            <w:vAlign w:val="center"/>
          </w:tcPr>
          <w:p w14:paraId="3C867CBB" w14:textId="477C0505" w:rsidR="004531A8" w:rsidRPr="000C16D4" w:rsidRDefault="00E30DCD" w:rsidP="00504604">
            <w:pPr>
              <w:spacing w:line="240" w:lineRule="atLeast"/>
              <w:jc w:val="center"/>
              <w:rPr>
                <w:b/>
                <w:sz w:val="20"/>
                <w:szCs w:val="20"/>
              </w:rPr>
            </w:pPr>
            <w:r>
              <w:rPr>
                <w:b/>
                <w:sz w:val="20"/>
                <w:szCs w:val="20"/>
              </w:rPr>
              <w:t>11</w:t>
            </w:r>
          </w:p>
        </w:tc>
        <w:tc>
          <w:tcPr>
            <w:tcW w:w="1134" w:type="dxa"/>
            <w:vAlign w:val="center"/>
          </w:tcPr>
          <w:p w14:paraId="0E6BF3B8" w14:textId="5C651D27" w:rsidR="004531A8" w:rsidRPr="000C16D4" w:rsidRDefault="00E30DCD" w:rsidP="00504604">
            <w:pPr>
              <w:spacing w:line="240" w:lineRule="atLeast"/>
              <w:jc w:val="center"/>
              <w:rPr>
                <w:b/>
                <w:sz w:val="20"/>
                <w:szCs w:val="20"/>
              </w:rPr>
            </w:pPr>
            <w:r>
              <w:rPr>
                <w:b/>
                <w:sz w:val="20"/>
                <w:szCs w:val="20"/>
              </w:rPr>
              <w:t>3</w:t>
            </w:r>
          </w:p>
        </w:tc>
        <w:tc>
          <w:tcPr>
            <w:tcW w:w="992" w:type="dxa"/>
            <w:vAlign w:val="center"/>
          </w:tcPr>
          <w:p w14:paraId="5E718EE4" w14:textId="0FA86404" w:rsidR="004531A8" w:rsidRPr="000C16D4" w:rsidRDefault="00E30DCD" w:rsidP="00504604">
            <w:pPr>
              <w:spacing w:line="240" w:lineRule="atLeast"/>
              <w:jc w:val="center"/>
              <w:rPr>
                <w:b/>
                <w:sz w:val="20"/>
                <w:szCs w:val="20"/>
              </w:rPr>
            </w:pPr>
            <w:r>
              <w:rPr>
                <w:b/>
                <w:sz w:val="20"/>
                <w:szCs w:val="20"/>
              </w:rPr>
              <w:t>2</w:t>
            </w:r>
          </w:p>
        </w:tc>
        <w:tc>
          <w:tcPr>
            <w:tcW w:w="992" w:type="dxa"/>
            <w:vAlign w:val="center"/>
          </w:tcPr>
          <w:p w14:paraId="4583B1BF" w14:textId="77777777" w:rsidR="004531A8" w:rsidRPr="000C16D4" w:rsidRDefault="00586D1C" w:rsidP="00473ACA">
            <w:pPr>
              <w:spacing w:line="240" w:lineRule="atLeast"/>
              <w:jc w:val="center"/>
              <w:rPr>
                <w:b/>
                <w:sz w:val="20"/>
                <w:szCs w:val="20"/>
              </w:rPr>
            </w:pPr>
            <w:r>
              <w:rPr>
                <w:b/>
                <w:sz w:val="20"/>
                <w:szCs w:val="20"/>
              </w:rPr>
              <w:t>0,01%</w:t>
            </w:r>
          </w:p>
        </w:tc>
        <w:tc>
          <w:tcPr>
            <w:tcW w:w="992" w:type="dxa"/>
            <w:vAlign w:val="center"/>
          </w:tcPr>
          <w:p w14:paraId="6846BBF5" w14:textId="6603AFEA" w:rsidR="004531A8" w:rsidRPr="000C16D4" w:rsidRDefault="00000C13" w:rsidP="00504604">
            <w:pPr>
              <w:spacing w:line="240" w:lineRule="atLeast"/>
              <w:jc w:val="center"/>
              <w:rPr>
                <w:b/>
                <w:sz w:val="20"/>
                <w:szCs w:val="20"/>
              </w:rPr>
            </w:pPr>
            <w:r w:rsidRPr="000C16D4">
              <w:rPr>
                <w:b/>
                <w:sz w:val="20"/>
                <w:szCs w:val="20"/>
              </w:rPr>
              <w:t>0,</w:t>
            </w:r>
            <w:r w:rsidR="00E30DCD">
              <w:rPr>
                <w:b/>
                <w:sz w:val="20"/>
                <w:szCs w:val="20"/>
              </w:rPr>
              <w:t>06</w:t>
            </w:r>
            <w:r w:rsidR="004531A8" w:rsidRPr="000C16D4">
              <w:rPr>
                <w:b/>
                <w:sz w:val="20"/>
                <w:szCs w:val="20"/>
              </w:rPr>
              <w:t>%</w:t>
            </w:r>
          </w:p>
        </w:tc>
        <w:tc>
          <w:tcPr>
            <w:tcW w:w="992" w:type="dxa"/>
            <w:vAlign w:val="center"/>
          </w:tcPr>
          <w:p w14:paraId="7CA5A275" w14:textId="65ACF5DE" w:rsidR="004531A8" w:rsidRPr="000C16D4" w:rsidRDefault="00E30DCD" w:rsidP="00586D1C">
            <w:pPr>
              <w:spacing w:line="240" w:lineRule="atLeast"/>
              <w:jc w:val="center"/>
              <w:rPr>
                <w:b/>
                <w:i/>
                <w:sz w:val="20"/>
                <w:szCs w:val="20"/>
              </w:rPr>
            </w:pPr>
            <w:r>
              <w:rPr>
                <w:b/>
                <w:i/>
                <w:sz w:val="20"/>
                <w:szCs w:val="20"/>
              </w:rPr>
              <w:t>-0,05</w:t>
            </w:r>
          </w:p>
        </w:tc>
      </w:tr>
      <w:tr w:rsidR="004531A8" w:rsidRPr="00000C13" w14:paraId="44B1392B" w14:textId="77777777" w:rsidTr="00586D1C">
        <w:tc>
          <w:tcPr>
            <w:tcW w:w="2518" w:type="dxa"/>
            <w:vAlign w:val="center"/>
          </w:tcPr>
          <w:p w14:paraId="00637EF5" w14:textId="77777777" w:rsidR="004531A8" w:rsidRPr="00000C13" w:rsidRDefault="004531A8" w:rsidP="00504604">
            <w:pPr>
              <w:spacing w:line="240" w:lineRule="atLeast"/>
              <w:rPr>
                <w:i/>
                <w:sz w:val="20"/>
                <w:szCs w:val="20"/>
              </w:rPr>
            </w:pPr>
            <w:r w:rsidRPr="00000C13">
              <w:rPr>
                <w:i/>
                <w:sz w:val="20"/>
                <w:szCs w:val="20"/>
              </w:rPr>
              <w:t>Заяви про забезпечення доказів, позову до подання позовної заяви</w:t>
            </w:r>
          </w:p>
        </w:tc>
        <w:tc>
          <w:tcPr>
            <w:tcW w:w="1134" w:type="dxa"/>
            <w:vAlign w:val="center"/>
          </w:tcPr>
          <w:p w14:paraId="040A3893" w14:textId="05D5B0B4" w:rsidR="004531A8" w:rsidRPr="000C16D4" w:rsidRDefault="00E30DCD" w:rsidP="00504604">
            <w:pPr>
              <w:spacing w:line="240" w:lineRule="atLeast"/>
              <w:jc w:val="center"/>
              <w:rPr>
                <w:b/>
                <w:sz w:val="20"/>
                <w:szCs w:val="20"/>
              </w:rPr>
            </w:pPr>
            <w:r>
              <w:rPr>
                <w:b/>
                <w:sz w:val="20"/>
                <w:szCs w:val="20"/>
              </w:rPr>
              <w:t>25</w:t>
            </w:r>
          </w:p>
        </w:tc>
        <w:tc>
          <w:tcPr>
            <w:tcW w:w="993" w:type="dxa"/>
            <w:vAlign w:val="center"/>
          </w:tcPr>
          <w:p w14:paraId="17292264" w14:textId="58D198A5" w:rsidR="004531A8" w:rsidRPr="000C16D4" w:rsidRDefault="00E30DCD" w:rsidP="00504604">
            <w:pPr>
              <w:spacing w:line="240" w:lineRule="atLeast"/>
              <w:jc w:val="center"/>
              <w:rPr>
                <w:b/>
                <w:sz w:val="20"/>
                <w:szCs w:val="20"/>
              </w:rPr>
            </w:pPr>
            <w:r>
              <w:rPr>
                <w:b/>
                <w:sz w:val="20"/>
                <w:szCs w:val="20"/>
              </w:rPr>
              <w:t>52</w:t>
            </w:r>
          </w:p>
        </w:tc>
        <w:tc>
          <w:tcPr>
            <w:tcW w:w="1134" w:type="dxa"/>
            <w:vAlign w:val="center"/>
          </w:tcPr>
          <w:p w14:paraId="20192704" w14:textId="6E881C86" w:rsidR="004531A8" w:rsidRPr="000C16D4" w:rsidRDefault="00E30DCD" w:rsidP="00504604">
            <w:pPr>
              <w:spacing w:line="240" w:lineRule="atLeast"/>
              <w:jc w:val="center"/>
              <w:rPr>
                <w:b/>
                <w:sz w:val="20"/>
                <w:szCs w:val="20"/>
              </w:rPr>
            </w:pPr>
            <w:r>
              <w:rPr>
                <w:b/>
                <w:sz w:val="20"/>
                <w:szCs w:val="20"/>
              </w:rPr>
              <w:t>1</w:t>
            </w:r>
          </w:p>
        </w:tc>
        <w:tc>
          <w:tcPr>
            <w:tcW w:w="992" w:type="dxa"/>
            <w:vAlign w:val="center"/>
          </w:tcPr>
          <w:p w14:paraId="7FFA7916" w14:textId="05005A88" w:rsidR="004531A8" w:rsidRPr="000C16D4" w:rsidRDefault="00E30DCD" w:rsidP="00504604">
            <w:pPr>
              <w:spacing w:line="240" w:lineRule="atLeast"/>
              <w:jc w:val="center"/>
              <w:rPr>
                <w:b/>
                <w:sz w:val="20"/>
                <w:szCs w:val="20"/>
              </w:rPr>
            </w:pPr>
            <w:r>
              <w:rPr>
                <w:b/>
                <w:sz w:val="20"/>
                <w:szCs w:val="20"/>
              </w:rPr>
              <w:t>5</w:t>
            </w:r>
          </w:p>
        </w:tc>
        <w:tc>
          <w:tcPr>
            <w:tcW w:w="992" w:type="dxa"/>
            <w:vAlign w:val="center"/>
          </w:tcPr>
          <w:p w14:paraId="47044521" w14:textId="198BB3FC" w:rsidR="004531A8" w:rsidRPr="000C16D4" w:rsidRDefault="00E30DCD" w:rsidP="00586D1C">
            <w:pPr>
              <w:spacing w:line="240" w:lineRule="atLeast"/>
              <w:jc w:val="center"/>
              <w:rPr>
                <w:b/>
                <w:sz w:val="20"/>
                <w:szCs w:val="20"/>
              </w:rPr>
            </w:pPr>
            <w:r>
              <w:rPr>
                <w:b/>
                <w:sz w:val="20"/>
                <w:szCs w:val="20"/>
              </w:rPr>
              <w:t>0,16</w:t>
            </w:r>
            <w:r w:rsidR="00586D1C">
              <w:rPr>
                <w:b/>
                <w:sz w:val="20"/>
                <w:szCs w:val="20"/>
              </w:rPr>
              <w:t>%</w:t>
            </w:r>
          </w:p>
        </w:tc>
        <w:tc>
          <w:tcPr>
            <w:tcW w:w="992" w:type="dxa"/>
            <w:vAlign w:val="center"/>
          </w:tcPr>
          <w:p w14:paraId="09DCD616" w14:textId="1F84842B" w:rsidR="004531A8" w:rsidRPr="000C16D4" w:rsidRDefault="00000C13" w:rsidP="00000C13">
            <w:pPr>
              <w:spacing w:line="240" w:lineRule="atLeast"/>
              <w:jc w:val="center"/>
              <w:rPr>
                <w:b/>
                <w:sz w:val="20"/>
                <w:szCs w:val="20"/>
              </w:rPr>
            </w:pPr>
            <w:r w:rsidRPr="000C16D4">
              <w:rPr>
                <w:b/>
                <w:sz w:val="20"/>
                <w:szCs w:val="20"/>
              </w:rPr>
              <w:t>0,3</w:t>
            </w:r>
            <w:r w:rsidR="004531A8" w:rsidRPr="000C16D4">
              <w:rPr>
                <w:b/>
                <w:sz w:val="20"/>
                <w:szCs w:val="20"/>
              </w:rPr>
              <w:t>%</w:t>
            </w:r>
          </w:p>
        </w:tc>
        <w:tc>
          <w:tcPr>
            <w:tcW w:w="992" w:type="dxa"/>
            <w:vAlign w:val="center"/>
          </w:tcPr>
          <w:p w14:paraId="780DCE53" w14:textId="628AB19E" w:rsidR="004531A8" w:rsidRPr="000C16D4" w:rsidRDefault="00E30DCD" w:rsidP="00586D1C">
            <w:pPr>
              <w:spacing w:line="240" w:lineRule="atLeast"/>
              <w:jc w:val="center"/>
              <w:rPr>
                <w:b/>
                <w:i/>
                <w:sz w:val="20"/>
                <w:szCs w:val="20"/>
              </w:rPr>
            </w:pPr>
            <w:r>
              <w:rPr>
                <w:b/>
                <w:i/>
                <w:sz w:val="20"/>
                <w:szCs w:val="20"/>
              </w:rPr>
              <w:t>-0,13</w:t>
            </w:r>
          </w:p>
        </w:tc>
      </w:tr>
      <w:tr w:rsidR="004531A8" w:rsidRPr="00000C13" w14:paraId="7C29596F" w14:textId="77777777" w:rsidTr="00586D1C">
        <w:tc>
          <w:tcPr>
            <w:tcW w:w="2518" w:type="dxa"/>
            <w:vAlign w:val="center"/>
          </w:tcPr>
          <w:p w14:paraId="5DEAF991" w14:textId="77777777" w:rsidR="004531A8" w:rsidRPr="00000C13" w:rsidRDefault="00504604" w:rsidP="00504604">
            <w:pPr>
              <w:spacing w:line="240" w:lineRule="atLeast"/>
              <w:rPr>
                <w:i/>
                <w:sz w:val="20"/>
                <w:szCs w:val="20"/>
              </w:rPr>
            </w:pPr>
            <w:r w:rsidRPr="00000C13">
              <w:rPr>
                <w:i/>
                <w:sz w:val="20"/>
                <w:szCs w:val="20"/>
              </w:rPr>
              <w:t>Справи</w:t>
            </w:r>
            <w:r w:rsidR="004531A8" w:rsidRPr="00000C13">
              <w:rPr>
                <w:i/>
                <w:sz w:val="20"/>
                <w:szCs w:val="20"/>
              </w:rPr>
              <w:t xml:space="preserve"> у порядку виконання судових рішень</w:t>
            </w:r>
          </w:p>
        </w:tc>
        <w:tc>
          <w:tcPr>
            <w:tcW w:w="1134" w:type="dxa"/>
            <w:vAlign w:val="center"/>
          </w:tcPr>
          <w:p w14:paraId="1A750C71" w14:textId="7489F44F" w:rsidR="004531A8" w:rsidRPr="000C16D4" w:rsidRDefault="00E30DCD" w:rsidP="00504604">
            <w:pPr>
              <w:spacing w:line="240" w:lineRule="atLeast"/>
              <w:jc w:val="center"/>
              <w:rPr>
                <w:b/>
                <w:sz w:val="20"/>
                <w:szCs w:val="20"/>
              </w:rPr>
            </w:pPr>
            <w:r>
              <w:rPr>
                <w:b/>
                <w:sz w:val="20"/>
                <w:szCs w:val="20"/>
              </w:rPr>
              <w:t>1076</w:t>
            </w:r>
          </w:p>
        </w:tc>
        <w:tc>
          <w:tcPr>
            <w:tcW w:w="993" w:type="dxa"/>
            <w:vAlign w:val="center"/>
          </w:tcPr>
          <w:p w14:paraId="176AF996" w14:textId="742C131B" w:rsidR="004531A8" w:rsidRPr="000C16D4" w:rsidRDefault="00E30DCD" w:rsidP="00504604">
            <w:pPr>
              <w:spacing w:line="240" w:lineRule="atLeast"/>
              <w:jc w:val="center"/>
              <w:rPr>
                <w:b/>
                <w:sz w:val="20"/>
                <w:szCs w:val="20"/>
              </w:rPr>
            </w:pPr>
            <w:r>
              <w:rPr>
                <w:b/>
                <w:sz w:val="20"/>
                <w:szCs w:val="20"/>
              </w:rPr>
              <w:t>113</w:t>
            </w:r>
          </w:p>
        </w:tc>
        <w:tc>
          <w:tcPr>
            <w:tcW w:w="1134" w:type="dxa"/>
            <w:vAlign w:val="center"/>
          </w:tcPr>
          <w:p w14:paraId="7DF59B3F" w14:textId="1CDB9DB2" w:rsidR="004531A8" w:rsidRPr="000C16D4" w:rsidRDefault="00E30DCD" w:rsidP="00504604">
            <w:pPr>
              <w:spacing w:line="240" w:lineRule="atLeast"/>
              <w:jc w:val="center"/>
              <w:rPr>
                <w:b/>
                <w:sz w:val="20"/>
                <w:szCs w:val="20"/>
              </w:rPr>
            </w:pPr>
            <w:r>
              <w:rPr>
                <w:b/>
                <w:sz w:val="20"/>
                <w:szCs w:val="20"/>
              </w:rPr>
              <w:t>646</w:t>
            </w:r>
          </w:p>
        </w:tc>
        <w:tc>
          <w:tcPr>
            <w:tcW w:w="992" w:type="dxa"/>
            <w:vAlign w:val="center"/>
          </w:tcPr>
          <w:p w14:paraId="5251C316" w14:textId="426463A5" w:rsidR="004531A8" w:rsidRPr="000C16D4" w:rsidRDefault="00E30DCD" w:rsidP="00504604">
            <w:pPr>
              <w:spacing w:line="240" w:lineRule="atLeast"/>
              <w:jc w:val="center"/>
              <w:rPr>
                <w:b/>
                <w:sz w:val="20"/>
                <w:szCs w:val="20"/>
              </w:rPr>
            </w:pPr>
            <w:r>
              <w:rPr>
                <w:b/>
                <w:sz w:val="20"/>
                <w:szCs w:val="20"/>
              </w:rPr>
              <w:t>658</w:t>
            </w:r>
          </w:p>
        </w:tc>
        <w:tc>
          <w:tcPr>
            <w:tcW w:w="992" w:type="dxa"/>
            <w:vAlign w:val="center"/>
          </w:tcPr>
          <w:p w14:paraId="25B5FEEE" w14:textId="049DF857" w:rsidR="004531A8" w:rsidRPr="000C16D4" w:rsidRDefault="00CB3357" w:rsidP="00504604">
            <w:pPr>
              <w:spacing w:line="240" w:lineRule="atLeast"/>
              <w:jc w:val="center"/>
              <w:rPr>
                <w:b/>
                <w:sz w:val="20"/>
                <w:szCs w:val="20"/>
              </w:rPr>
            </w:pPr>
            <w:r>
              <w:rPr>
                <w:b/>
                <w:sz w:val="20"/>
                <w:szCs w:val="20"/>
              </w:rPr>
              <w:t>6,7</w:t>
            </w:r>
            <w:r w:rsidR="00586D1C">
              <w:rPr>
                <w:b/>
                <w:sz w:val="20"/>
                <w:szCs w:val="20"/>
              </w:rPr>
              <w:t>%</w:t>
            </w:r>
          </w:p>
        </w:tc>
        <w:tc>
          <w:tcPr>
            <w:tcW w:w="992" w:type="dxa"/>
            <w:vAlign w:val="center"/>
          </w:tcPr>
          <w:p w14:paraId="5201C56E" w14:textId="24D90461" w:rsidR="004531A8" w:rsidRPr="000C16D4" w:rsidRDefault="00CB3357" w:rsidP="00504604">
            <w:pPr>
              <w:spacing w:line="240" w:lineRule="atLeast"/>
              <w:jc w:val="center"/>
              <w:rPr>
                <w:b/>
                <w:sz w:val="20"/>
                <w:szCs w:val="20"/>
              </w:rPr>
            </w:pPr>
            <w:r>
              <w:rPr>
                <w:b/>
                <w:sz w:val="20"/>
                <w:szCs w:val="20"/>
              </w:rPr>
              <w:t>6,4</w:t>
            </w:r>
            <w:r w:rsidR="004531A8" w:rsidRPr="000C16D4">
              <w:rPr>
                <w:b/>
                <w:sz w:val="20"/>
                <w:szCs w:val="20"/>
              </w:rPr>
              <w:t>%</w:t>
            </w:r>
          </w:p>
        </w:tc>
        <w:tc>
          <w:tcPr>
            <w:tcW w:w="992" w:type="dxa"/>
            <w:vAlign w:val="center"/>
          </w:tcPr>
          <w:p w14:paraId="28FFE60D" w14:textId="4E207629" w:rsidR="004531A8" w:rsidRPr="000C16D4" w:rsidRDefault="00CB3357" w:rsidP="00586D1C">
            <w:pPr>
              <w:spacing w:line="240" w:lineRule="atLeast"/>
              <w:jc w:val="center"/>
              <w:rPr>
                <w:b/>
                <w:i/>
                <w:sz w:val="20"/>
                <w:szCs w:val="20"/>
              </w:rPr>
            </w:pPr>
            <w:r>
              <w:rPr>
                <w:b/>
                <w:i/>
                <w:sz w:val="20"/>
                <w:szCs w:val="20"/>
              </w:rPr>
              <w:t>+0,3</w:t>
            </w:r>
          </w:p>
        </w:tc>
      </w:tr>
      <w:tr w:rsidR="004531A8" w:rsidRPr="00000C13" w14:paraId="6D73D5C5" w14:textId="77777777" w:rsidTr="00586D1C">
        <w:tc>
          <w:tcPr>
            <w:tcW w:w="2518" w:type="dxa"/>
            <w:vAlign w:val="center"/>
          </w:tcPr>
          <w:p w14:paraId="5958F9EC" w14:textId="77777777" w:rsidR="004531A8" w:rsidRPr="00000C13" w:rsidRDefault="004531A8" w:rsidP="00504604">
            <w:pPr>
              <w:spacing w:line="240" w:lineRule="atLeast"/>
              <w:rPr>
                <w:i/>
                <w:sz w:val="20"/>
                <w:szCs w:val="20"/>
              </w:rPr>
            </w:pPr>
            <w:r w:rsidRPr="00000C13">
              <w:rPr>
                <w:i/>
                <w:sz w:val="20"/>
                <w:szCs w:val="20"/>
              </w:rPr>
              <w:t>Судові доручення</w:t>
            </w:r>
          </w:p>
        </w:tc>
        <w:tc>
          <w:tcPr>
            <w:tcW w:w="1134" w:type="dxa"/>
            <w:vAlign w:val="center"/>
          </w:tcPr>
          <w:p w14:paraId="4578C3A7" w14:textId="19D13BD1" w:rsidR="004531A8" w:rsidRPr="000C16D4" w:rsidRDefault="00CB3357" w:rsidP="00504604">
            <w:pPr>
              <w:spacing w:line="240" w:lineRule="atLeast"/>
              <w:jc w:val="center"/>
              <w:rPr>
                <w:b/>
                <w:sz w:val="20"/>
                <w:szCs w:val="20"/>
              </w:rPr>
            </w:pPr>
            <w:r>
              <w:rPr>
                <w:b/>
                <w:sz w:val="20"/>
                <w:szCs w:val="20"/>
              </w:rPr>
              <w:t>1</w:t>
            </w:r>
          </w:p>
        </w:tc>
        <w:tc>
          <w:tcPr>
            <w:tcW w:w="993" w:type="dxa"/>
            <w:vAlign w:val="center"/>
          </w:tcPr>
          <w:p w14:paraId="44F6AD3E" w14:textId="4A5A2F4A" w:rsidR="004531A8" w:rsidRPr="000C16D4" w:rsidRDefault="00CB3357" w:rsidP="00504604">
            <w:pPr>
              <w:spacing w:line="240" w:lineRule="atLeast"/>
              <w:jc w:val="center"/>
              <w:rPr>
                <w:b/>
                <w:sz w:val="20"/>
                <w:szCs w:val="20"/>
              </w:rPr>
            </w:pPr>
            <w:r>
              <w:rPr>
                <w:b/>
                <w:sz w:val="20"/>
                <w:szCs w:val="20"/>
              </w:rPr>
              <w:t>2</w:t>
            </w:r>
          </w:p>
        </w:tc>
        <w:tc>
          <w:tcPr>
            <w:tcW w:w="1134" w:type="dxa"/>
            <w:vAlign w:val="center"/>
          </w:tcPr>
          <w:p w14:paraId="4660F99E" w14:textId="08B74DF7" w:rsidR="004531A8" w:rsidRPr="000C16D4" w:rsidRDefault="00CB3357" w:rsidP="00504604">
            <w:pPr>
              <w:spacing w:line="240" w:lineRule="atLeast"/>
              <w:jc w:val="center"/>
              <w:rPr>
                <w:b/>
                <w:sz w:val="20"/>
                <w:szCs w:val="20"/>
              </w:rPr>
            </w:pPr>
            <w:r>
              <w:rPr>
                <w:b/>
                <w:sz w:val="20"/>
                <w:szCs w:val="20"/>
              </w:rPr>
              <w:t>0</w:t>
            </w:r>
          </w:p>
        </w:tc>
        <w:tc>
          <w:tcPr>
            <w:tcW w:w="992" w:type="dxa"/>
            <w:vAlign w:val="center"/>
          </w:tcPr>
          <w:p w14:paraId="1154F0ED" w14:textId="7EA220F0" w:rsidR="004531A8" w:rsidRPr="000C16D4" w:rsidRDefault="00CB3357" w:rsidP="00504604">
            <w:pPr>
              <w:spacing w:line="240" w:lineRule="atLeast"/>
              <w:jc w:val="center"/>
              <w:rPr>
                <w:b/>
                <w:sz w:val="20"/>
                <w:szCs w:val="20"/>
              </w:rPr>
            </w:pPr>
            <w:r>
              <w:rPr>
                <w:b/>
                <w:sz w:val="20"/>
                <w:szCs w:val="20"/>
              </w:rPr>
              <w:t>2</w:t>
            </w:r>
          </w:p>
        </w:tc>
        <w:tc>
          <w:tcPr>
            <w:tcW w:w="992" w:type="dxa"/>
            <w:vAlign w:val="center"/>
          </w:tcPr>
          <w:p w14:paraId="02AB755D" w14:textId="77777777" w:rsidR="004531A8" w:rsidRPr="000C16D4" w:rsidRDefault="00586D1C" w:rsidP="00504604">
            <w:pPr>
              <w:spacing w:line="240" w:lineRule="atLeast"/>
              <w:jc w:val="center"/>
              <w:rPr>
                <w:b/>
                <w:sz w:val="20"/>
                <w:szCs w:val="20"/>
              </w:rPr>
            </w:pPr>
            <w:r>
              <w:rPr>
                <w:b/>
                <w:sz w:val="20"/>
                <w:szCs w:val="20"/>
              </w:rPr>
              <w:t>0,01%</w:t>
            </w:r>
          </w:p>
        </w:tc>
        <w:tc>
          <w:tcPr>
            <w:tcW w:w="992" w:type="dxa"/>
            <w:vAlign w:val="center"/>
          </w:tcPr>
          <w:p w14:paraId="06C22C48" w14:textId="3F082FE7" w:rsidR="004531A8" w:rsidRPr="000C16D4" w:rsidRDefault="00CB3357" w:rsidP="00504604">
            <w:pPr>
              <w:spacing w:line="240" w:lineRule="atLeast"/>
              <w:jc w:val="center"/>
              <w:rPr>
                <w:b/>
                <w:sz w:val="20"/>
                <w:szCs w:val="20"/>
              </w:rPr>
            </w:pPr>
            <w:r>
              <w:rPr>
                <w:b/>
                <w:sz w:val="20"/>
                <w:szCs w:val="20"/>
              </w:rPr>
              <w:t>0,01%</w:t>
            </w:r>
          </w:p>
        </w:tc>
        <w:tc>
          <w:tcPr>
            <w:tcW w:w="992" w:type="dxa"/>
            <w:vAlign w:val="center"/>
          </w:tcPr>
          <w:p w14:paraId="6229822D" w14:textId="201B072F" w:rsidR="004531A8" w:rsidRPr="000C16D4" w:rsidRDefault="00CB3357" w:rsidP="00586D1C">
            <w:pPr>
              <w:spacing w:line="240" w:lineRule="atLeast"/>
              <w:jc w:val="center"/>
              <w:rPr>
                <w:b/>
                <w:i/>
                <w:sz w:val="20"/>
                <w:szCs w:val="20"/>
              </w:rPr>
            </w:pPr>
            <w:r>
              <w:rPr>
                <w:b/>
                <w:i/>
                <w:sz w:val="20"/>
                <w:szCs w:val="20"/>
              </w:rPr>
              <w:t>0</w:t>
            </w:r>
          </w:p>
        </w:tc>
      </w:tr>
      <w:tr w:rsidR="00504604" w:rsidRPr="00000C13" w14:paraId="323FD70C" w14:textId="77777777" w:rsidTr="00586D1C">
        <w:tc>
          <w:tcPr>
            <w:tcW w:w="2518" w:type="dxa"/>
            <w:vAlign w:val="center"/>
          </w:tcPr>
          <w:p w14:paraId="0FDCEAE5" w14:textId="77777777" w:rsidR="00504604" w:rsidRPr="00000C13" w:rsidRDefault="00504604" w:rsidP="00504604">
            <w:pPr>
              <w:spacing w:line="240" w:lineRule="atLeast"/>
              <w:rPr>
                <w:i/>
                <w:sz w:val="20"/>
                <w:szCs w:val="20"/>
              </w:rPr>
            </w:pPr>
            <w:r w:rsidRPr="00000C13">
              <w:rPr>
                <w:i/>
                <w:sz w:val="20"/>
                <w:szCs w:val="20"/>
              </w:rPr>
              <w:t xml:space="preserve">Заяви </w:t>
            </w:r>
            <w:r w:rsidR="00473ACA" w:rsidRPr="00000C13">
              <w:rPr>
                <w:i/>
                <w:sz w:val="20"/>
                <w:szCs w:val="20"/>
              </w:rPr>
              <w:t>про відновлення втраченого судового провадження</w:t>
            </w:r>
          </w:p>
        </w:tc>
        <w:tc>
          <w:tcPr>
            <w:tcW w:w="1134" w:type="dxa"/>
            <w:vAlign w:val="center"/>
          </w:tcPr>
          <w:p w14:paraId="292BFE47" w14:textId="46C4FFC4" w:rsidR="00504604" w:rsidRPr="000C16D4" w:rsidRDefault="00CB3357" w:rsidP="00504604">
            <w:pPr>
              <w:spacing w:line="240" w:lineRule="atLeast"/>
              <w:jc w:val="center"/>
              <w:rPr>
                <w:b/>
                <w:sz w:val="20"/>
                <w:szCs w:val="20"/>
              </w:rPr>
            </w:pPr>
            <w:r>
              <w:rPr>
                <w:b/>
                <w:sz w:val="20"/>
                <w:szCs w:val="20"/>
              </w:rPr>
              <w:t>2</w:t>
            </w:r>
          </w:p>
        </w:tc>
        <w:tc>
          <w:tcPr>
            <w:tcW w:w="993" w:type="dxa"/>
            <w:vAlign w:val="center"/>
          </w:tcPr>
          <w:p w14:paraId="17C6AE48" w14:textId="0E1433F5" w:rsidR="00504604" w:rsidRPr="000C16D4" w:rsidRDefault="00CB3357" w:rsidP="00504604">
            <w:pPr>
              <w:spacing w:line="240" w:lineRule="atLeast"/>
              <w:jc w:val="center"/>
              <w:rPr>
                <w:b/>
                <w:sz w:val="20"/>
                <w:szCs w:val="20"/>
              </w:rPr>
            </w:pPr>
            <w:r>
              <w:rPr>
                <w:b/>
                <w:sz w:val="20"/>
                <w:szCs w:val="20"/>
              </w:rPr>
              <w:t>17</w:t>
            </w:r>
          </w:p>
        </w:tc>
        <w:tc>
          <w:tcPr>
            <w:tcW w:w="1134" w:type="dxa"/>
            <w:vAlign w:val="center"/>
          </w:tcPr>
          <w:p w14:paraId="3C18B462" w14:textId="5962A10D" w:rsidR="00504604" w:rsidRPr="000C16D4" w:rsidRDefault="00CB3357" w:rsidP="00504604">
            <w:pPr>
              <w:spacing w:line="240" w:lineRule="atLeast"/>
              <w:jc w:val="center"/>
              <w:rPr>
                <w:b/>
                <w:sz w:val="20"/>
                <w:szCs w:val="20"/>
              </w:rPr>
            </w:pPr>
            <w:r>
              <w:rPr>
                <w:b/>
                <w:sz w:val="20"/>
                <w:szCs w:val="20"/>
              </w:rPr>
              <w:t>0</w:t>
            </w:r>
          </w:p>
        </w:tc>
        <w:tc>
          <w:tcPr>
            <w:tcW w:w="992" w:type="dxa"/>
            <w:vAlign w:val="center"/>
          </w:tcPr>
          <w:p w14:paraId="1ACCDE3C" w14:textId="428A8ECB" w:rsidR="00504604" w:rsidRPr="000C16D4" w:rsidRDefault="00CB3357" w:rsidP="00504604">
            <w:pPr>
              <w:spacing w:line="240" w:lineRule="atLeast"/>
              <w:jc w:val="center"/>
              <w:rPr>
                <w:b/>
                <w:sz w:val="20"/>
                <w:szCs w:val="20"/>
              </w:rPr>
            </w:pPr>
            <w:r>
              <w:rPr>
                <w:b/>
                <w:sz w:val="20"/>
                <w:szCs w:val="20"/>
              </w:rPr>
              <w:t>5</w:t>
            </w:r>
          </w:p>
        </w:tc>
        <w:tc>
          <w:tcPr>
            <w:tcW w:w="992" w:type="dxa"/>
            <w:vAlign w:val="center"/>
          </w:tcPr>
          <w:p w14:paraId="407653FA" w14:textId="71BBD8FA" w:rsidR="00504604" w:rsidRPr="000C16D4" w:rsidRDefault="00CB3357" w:rsidP="00504604">
            <w:pPr>
              <w:spacing w:line="240" w:lineRule="atLeast"/>
              <w:jc w:val="center"/>
              <w:rPr>
                <w:b/>
                <w:sz w:val="20"/>
                <w:szCs w:val="20"/>
              </w:rPr>
            </w:pPr>
            <w:r>
              <w:rPr>
                <w:b/>
                <w:sz w:val="20"/>
                <w:szCs w:val="20"/>
              </w:rPr>
              <w:t>0,01</w:t>
            </w:r>
          </w:p>
        </w:tc>
        <w:tc>
          <w:tcPr>
            <w:tcW w:w="992" w:type="dxa"/>
            <w:vAlign w:val="center"/>
          </w:tcPr>
          <w:p w14:paraId="16806FCB" w14:textId="2ACCC605" w:rsidR="00504604" w:rsidRPr="000C16D4" w:rsidRDefault="00CB3357" w:rsidP="00504604">
            <w:pPr>
              <w:spacing w:line="240" w:lineRule="atLeast"/>
              <w:jc w:val="center"/>
              <w:rPr>
                <w:b/>
                <w:sz w:val="20"/>
                <w:szCs w:val="20"/>
              </w:rPr>
            </w:pPr>
            <w:r>
              <w:rPr>
                <w:b/>
                <w:sz w:val="20"/>
                <w:szCs w:val="20"/>
              </w:rPr>
              <w:t>0,1</w:t>
            </w:r>
          </w:p>
        </w:tc>
        <w:tc>
          <w:tcPr>
            <w:tcW w:w="992" w:type="dxa"/>
            <w:vAlign w:val="center"/>
          </w:tcPr>
          <w:p w14:paraId="584D8DA5" w14:textId="77777777" w:rsidR="00504604" w:rsidRPr="000C16D4" w:rsidRDefault="00586D1C" w:rsidP="00586D1C">
            <w:pPr>
              <w:spacing w:line="240" w:lineRule="atLeast"/>
              <w:jc w:val="center"/>
              <w:rPr>
                <w:b/>
                <w:i/>
                <w:sz w:val="20"/>
                <w:szCs w:val="20"/>
              </w:rPr>
            </w:pPr>
            <w:r>
              <w:rPr>
                <w:b/>
                <w:i/>
                <w:sz w:val="20"/>
                <w:szCs w:val="20"/>
              </w:rPr>
              <w:t>-0,09</w:t>
            </w:r>
          </w:p>
        </w:tc>
      </w:tr>
    </w:tbl>
    <w:p w14:paraId="5629B49C" w14:textId="77777777" w:rsidR="004531A8" w:rsidRPr="009914E7" w:rsidRDefault="004531A8" w:rsidP="004531A8">
      <w:pPr>
        <w:shd w:val="clear" w:color="auto" w:fill="FFFFFF"/>
        <w:spacing w:line="276" w:lineRule="auto"/>
        <w:ind w:firstLine="709"/>
        <w:jc w:val="center"/>
        <w:rPr>
          <w:b/>
          <w:i/>
          <w:color w:val="FF0000"/>
        </w:rPr>
      </w:pPr>
    </w:p>
    <w:p w14:paraId="1902A8EE" w14:textId="46CCA958" w:rsidR="00F800CA" w:rsidRPr="00205357" w:rsidRDefault="00F800CA" w:rsidP="00F800CA">
      <w:pPr>
        <w:ind w:firstLine="709"/>
        <w:jc w:val="both"/>
        <w:rPr>
          <w:kern w:val="28"/>
          <w:sz w:val="28"/>
          <w:szCs w:val="28"/>
        </w:rPr>
      </w:pPr>
      <w:r>
        <w:rPr>
          <w:kern w:val="28"/>
          <w:sz w:val="28"/>
          <w:szCs w:val="28"/>
        </w:rPr>
        <w:t>Н</w:t>
      </w:r>
      <w:r w:rsidRPr="00205357">
        <w:rPr>
          <w:kern w:val="28"/>
          <w:sz w:val="28"/>
          <w:szCs w:val="28"/>
        </w:rPr>
        <w:t xml:space="preserve">а кінець звітного періоду в КОАС залишилися нерозглянутими </w:t>
      </w:r>
      <w:r w:rsidR="00CB3357">
        <w:rPr>
          <w:kern w:val="28"/>
          <w:sz w:val="28"/>
          <w:szCs w:val="28"/>
        </w:rPr>
        <w:t>8465</w:t>
      </w:r>
      <w:r w:rsidRPr="00205357">
        <w:rPr>
          <w:kern w:val="28"/>
          <w:sz w:val="28"/>
          <w:szCs w:val="28"/>
        </w:rPr>
        <w:t xml:space="preserve"> справ і матеріалів, або </w:t>
      </w:r>
      <w:r w:rsidR="00CB3357">
        <w:rPr>
          <w:kern w:val="28"/>
          <w:sz w:val="28"/>
          <w:szCs w:val="28"/>
        </w:rPr>
        <w:t>34,6</w:t>
      </w:r>
      <w:r w:rsidRPr="00205357">
        <w:rPr>
          <w:kern w:val="28"/>
          <w:sz w:val="28"/>
          <w:szCs w:val="28"/>
        </w:rPr>
        <w:t xml:space="preserve">% </w:t>
      </w:r>
      <w:r w:rsidR="00CB3357">
        <w:rPr>
          <w:kern w:val="28"/>
          <w:sz w:val="28"/>
          <w:szCs w:val="28"/>
        </w:rPr>
        <w:t xml:space="preserve">від </w:t>
      </w:r>
      <w:r w:rsidRPr="00205357">
        <w:rPr>
          <w:kern w:val="28"/>
          <w:sz w:val="28"/>
          <w:szCs w:val="28"/>
        </w:rPr>
        <w:t>загальної кількості справ і матеріалів, що перебували на розгляді, тоді як у 20</w:t>
      </w:r>
      <w:r w:rsidR="00CB3357">
        <w:rPr>
          <w:kern w:val="28"/>
          <w:sz w:val="28"/>
          <w:szCs w:val="28"/>
        </w:rPr>
        <w:t>21</w:t>
      </w:r>
      <w:r w:rsidRPr="00205357">
        <w:rPr>
          <w:kern w:val="28"/>
          <w:sz w:val="28"/>
          <w:szCs w:val="28"/>
        </w:rPr>
        <w:t xml:space="preserve"> році залишок нерозглянутих справ і матеріалів становив </w:t>
      </w:r>
      <w:r w:rsidR="00CB3357">
        <w:rPr>
          <w:kern w:val="28"/>
          <w:sz w:val="28"/>
          <w:szCs w:val="28"/>
        </w:rPr>
        <w:t>10970</w:t>
      </w:r>
      <w:r w:rsidRPr="00205357">
        <w:rPr>
          <w:kern w:val="28"/>
          <w:sz w:val="28"/>
          <w:szCs w:val="28"/>
        </w:rPr>
        <w:t xml:space="preserve"> справ і матеріалів (</w:t>
      </w:r>
      <w:r w:rsidR="00CB3357">
        <w:rPr>
          <w:kern w:val="28"/>
          <w:sz w:val="28"/>
          <w:szCs w:val="28"/>
        </w:rPr>
        <w:t>38,3</w:t>
      </w:r>
      <w:r w:rsidRPr="00205357">
        <w:rPr>
          <w:kern w:val="28"/>
          <w:sz w:val="28"/>
          <w:szCs w:val="28"/>
        </w:rPr>
        <w:t>%). Тобто, у порівнянні з попереднім звітним періодом 20</w:t>
      </w:r>
      <w:r w:rsidR="00CB3357">
        <w:rPr>
          <w:kern w:val="28"/>
          <w:sz w:val="28"/>
          <w:szCs w:val="28"/>
        </w:rPr>
        <w:t>21</w:t>
      </w:r>
      <w:r w:rsidRPr="00205357">
        <w:rPr>
          <w:kern w:val="28"/>
          <w:sz w:val="28"/>
          <w:szCs w:val="28"/>
        </w:rPr>
        <w:t xml:space="preserve"> року залишок нерозглянутих справ і матеріалів </w:t>
      </w:r>
      <w:r>
        <w:rPr>
          <w:kern w:val="28"/>
          <w:sz w:val="28"/>
          <w:szCs w:val="28"/>
        </w:rPr>
        <w:t>на кінець 202</w:t>
      </w:r>
      <w:r w:rsidR="00CB3357">
        <w:rPr>
          <w:kern w:val="28"/>
          <w:sz w:val="28"/>
          <w:szCs w:val="28"/>
        </w:rPr>
        <w:t>2</w:t>
      </w:r>
      <w:r>
        <w:rPr>
          <w:kern w:val="28"/>
          <w:sz w:val="28"/>
          <w:szCs w:val="28"/>
        </w:rPr>
        <w:t xml:space="preserve"> року </w:t>
      </w:r>
      <w:r w:rsidR="00CB3357">
        <w:rPr>
          <w:kern w:val="28"/>
          <w:sz w:val="28"/>
          <w:szCs w:val="28"/>
        </w:rPr>
        <w:t>зменшився</w:t>
      </w:r>
      <w:r w:rsidRPr="00205357">
        <w:rPr>
          <w:kern w:val="28"/>
          <w:sz w:val="28"/>
          <w:szCs w:val="28"/>
        </w:rPr>
        <w:t xml:space="preserve"> на </w:t>
      </w:r>
      <w:r w:rsidR="00CB3357">
        <w:rPr>
          <w:kern w:val="28"/>
          <w:sz w:val="28"/>
          <w:szCs w:val="28"/>
        </w:rPr>
        <w:t>3,7</w:t>
      </w:r>
      <w:r w:rsidRPr="00205357">
        <w:rPr>
          <w:kern w:val="28"/>
          <w:sz w:val="28"/>
          <w:szCs w:val="28"/>
        </w:rPr>
        <w:t>%.</w:t>
      </w:r>
    </w:p>
    <w:p w14:paraId="1617674A" w14:textId="0C9EFE2C" w:rsidR="00F800CA" w:rsidRPr="00205357" w:rsidRDefault="00CB3357" w:rsidP="00F800CA">
      <w:pPr>
        <w:ind w:firstLine="709"/>
        <w:jc w:val="both"/>
        <w:rPr>
          <w:kern w:val="28"/>
          <w:sz w:val="28"/>
          <w:szCs w:val="28"/>
        </w:rPr>
      </w:pPr>
      <w:r>
        <w:rPr>
          <w:kern w:val="28"/>
          <w:sz w:val="28"/>
          <w:szCs w:val="28"/>
        </w:rPr>
        <w:t>Таким чином, с</w:t>
      </w:r>
      <w:r w:rsidR="00F800CA" w:rsidRPr="00205357">
        <w:rPr>
          <w:kern w:val="28"/>
          <w:sz w:val="28"/>
          <w:szCs w:val="28"/>
        </w:rPr>
        <w:t>таном на 31 грудня 202</w:t>
      </w:r>
      <w:r>
        <w:rPr>
          <w:kern w:val="28"/>
          <w:sz w:val="28"/>
          <w:szCs w:val="28"/>
        </w:rPr>
        <w:t>2</w:t>
      </w:r>
      <w:r w:rsidR="00F800CA" w:rsidRPr="00205357">
        <w:rPr>
          <w:kern w:val="28"/>
          <w:sz w:val="28"/>
          <w:szCs w:val="28"/>
        </w:rPr>
        <w:t xml:space="preserve"> року не знайшли свого вирішення</w:t>
      </w:r>
      <w:r w:rsidR="00F800CA">
        <w:rPr>
          <w:kern w:val="28"/>
          <w:sz w:val="28"/>
          <w:szCs w:val="28"/>
        </w:rPr>
        <w:t xml:space="preserve"> </w:t>
      </w:r>
      <w:r>
        <w:rPr>
          <w:kern w:val="28"/>
          <w:sz w:val="28"/>
          <w:szCs w:val="28"/>
        </w:rPr>
        <w:t>8465</w:t>
      </w:r>
      <w:r w:rsidR="00F800CA">
        <w:rPr>
          <w:kern w:val="28"/>
          <w:sz w:val="28"/>
          <w:szCs w:val="28"/>
        </w:rPr>
        <w:t xml:space="preserve"> справ і матеріалів, зокрема:</w:t>
      </w:r>
    </w:p>
    <w:p w14:paraId="1AE23789" w14:textId="3192E054" w:rsidR="00F800CA" w:rsidRPr="00205357" w:rsidRDefault="00CB3357" w:rsidP="00F800CA">
      <w:pPr>
        <w:pStyle w:val="a8"/>
        <w:numPr>
          <w:ilvl w:val="0"/>
          <w:numId w:val="8"/>
        </w:numPr>
        <w:ind w:left="0" w:firstLine="0"/>
        <w:jc w:val="both"/>
        <w:rPr>
          <w:kern w:val="28"/>
          <w:sz w:val="28"/>
          <w:szCs w:val="28"/>
        </w:rPr>
      </w:pPr>
      <w:r>
        <w:rPr>
          <w:kern w:val="28"/>
          <w:sz w:val="28"/>
          <w:szCs w:val="28"/>
          <w:lang w:val="uk-UA"/>
        </w:rPr>
        <w:t>8129</w:t>
      </w:r>
      <w:r w:rsidR="00F800CA">
        <w:rPr>
          <w:kern w:val="28"/>
          <w:sz w:val="28"/>
          <w:szCs w:val="28"/>
          <w:lang w:val="uk-UA"/>
        </w:rPr>
        <w:t xml:space="preserve"> позовних заяв</w:t>
      </w:r>
      <w:r>
        <w:rPr>
          <w:kern w:val="28"/>
          <w:sz w:val="28"/>
          <w:szCs w:val="28"/>
          <w:lang w:val="uk-UA"/>
        </w:rPr>
        <w:t xml:space="preserve"> та </w:t>
      </w:r>
      <w:r w:rsidR="00F800CA" w:rsidRPr="00205357">
        <w:rPr>
          <w:kern w:val="28"/>
          <w:sz w:val="28"/>
          <w:szCs w:val="28"/>
          <w:lang w:val="uk-UA"/>
        </w:rPr>
        <w:t xml:space="preserve">справ, що становить </w:t>
      </w:r>
      <w:r>
        <w:rPr>
          <w:kern w:val="28"/>
          <w:sz w:val="28"/>
          <w:szCs w:val="28"/>
          <w:lang w:val="uk-UA"/>
        </w:rPr>
        <w:t>96</w:t>
      </w:r>
      <w:r w:rsidR="00F800CA" w:rsidRPr="00205357">
        <w:rPr>
          <w:kern w:val="28"/>
          <w:sz w:val="28"/>
          <w:szCs w:val="28"/>
          <w:lang w:val="uk-UA"/>
        </w:rPr>
        <w:t>% від нерозглянутих справ і матеріалів, що перебували на розгляді у КОАС протягом звітного періоду, тоді як у 20</w:t>
      </w:r>
      <w:r>
        <w:rPr>
          <w:kern w:val="28"/>
          <w:sz w:val="28"/>
          <w:szCs w:val="28"/>
          <w:lang w:val="uk-UA"/>
        </w:rPr>
        <w:t>21</w:t>
      </w:r>
      <w:r w:rsidR="00F800CA" w:rsidRPr="00205357">
        <w:rPr>
          <w:kern w:val="28"/>
          <w:sz w:val="28"/>
          <w:szCs w:val="28"/>
          <w:lang w:val="uk-UA"/>
        </w:rPr>
        <w:t xml:space="preserve"> році показник залишку нерозглянутих справ і матеріалів позовних заяв становив </w:t>
      </w:r>
      <w:r>
        <w:rPr>
          <w:kern w:val="28"/>
          <w:sz w:val="28"/>
          <w:szCs w:val="28"/>
          <w:lang w:val="uk-UA"/>
        </w:rPr>
        <w:t>10550</w:t>
      </w:r>
      <w:r w:rsidR="00F800CA" w:rsidRPr="00205357">
        <w:rPr>
          <w:kern w:val="28"/>
          <w:sz w:val="28"/>
          <w:szCs w:val="28"/>
          <w:lang w:val="uk-UA"/>
        </w:rPr>
        <w:t xml:space="preserve"> одиниць (96%); </w:t>
      </w:r>
    </w:p>
    <w:p w14:paraId="73793857" w14:textId="0331687C" w:rsidR="00F800CA" w:rsidRPr="00205357" w:rsidRDefault="00CB3357" w:rsidP="00F800CA">
      <w:pPr>
        <w:pStyle w:val="a3"/>
        <w:numPr>
          <w:ilvl w:val="0"/>
          <w:numId w:val="8"/>
        </w:numPr>
        <w:spacing w:before="0" w:beforeAutospacing="0" w:after="0" w:afterAutospacing="0"/>
        <w:ind w:left="0" w:firstLine="0"/>
        <w:jc w:val="both"/>
        <w:rPr>
          <w:kern w:val="28"/>
          <w:sz w:val="28"/>
          <w:szCs w:val="28"/>
          <w:lang w:val="uk-UA"/>
        </w:rPr>
      </w:pPr>
      <w:r>
        <w:rPr>
          <w:kern w:val="28"/>
          <w:sz w:val="28"/>
          <w:szCs w:val="28"/>
          <w:lang w:val="uk-UA"/>
        </w:rPr>
        <w:t>13</w:t>
      </w:r>
      <w:r w:rsidR="00F800CA" w:rsidRPr="00205357">
        <w:rPr>
          <w:kern w:val="28"/>
          <w:sz w:val="28"/>
          <w:szCs w:val="28"/>
          <w:lang w:val="uk-UA"/>
        </w:rPr>
        <w:t xml:space="preserve"> (0,</w:t>
      </w:r>
      <w:r>
        <w:rPr>
          <w:kern w:val="28"/>
          <w:sz w:val="28"/>
          <w:szCs w:val="28"/>
          <w:lang w:val="uk-UA"/>
        </w:rPr>
        <w:t>15</w:t>
      </w:r>
      <w:r w:rsidR="00F800CA" w:rsidRPr="00205357">
        <w:rPr>
          <w:kern w:val="28"/>
          <w:sz w:val="28"/>
          <w:szCs w:val="28"/>
          <w:lang w:val="uk-UA"/>
        </w:rPr>
        <w:t>%) заяв про перегляд судового рішення за нововиявленими або виключними обставинами, кількість нерозглянутих заяв у 2019 році</w:t>
      </w:r>
      <w:r>
        <w:rPr>
          <w:kern w:val="28"/>
          <w:sz w:val="28"/>
          <w:szCs w:val="28"/>
          <w:lang w:val="uk-UA"/>
        </w:rPr>
        <w:t xml:space="preserve"> становила 13 (0,11%)</w:t>
      </w:r>
      <w:r w:rsidR="00F800CA" w:rsidRPr="00205357">
        <w:rPr>
          <w:kern w:val="28"/>
          <w:sz w:val="28"/>
          <w:szCs w:val="28"/>
          <w:lang w:val="uk-UA"/>
        </w:rPr>
        <w:t>;</w:t>
      </w:r>
    </w:p>
    <w:p w14:paraId="0C735CF1" w14:textId="30D8CA5B" w:rsidR="00F800CA" w:rsidRPr="00205357" w:rsidRDefault="00CB3357" w:rsidP="00F800CA">
      <w:pPr>
        <w:pStyle w:val="a3"/>
        <w:numPr>
          <w:ilvl w:val="0"/>
          <w:numId w:val="8"/>
        </w:numPr>
        <w:spacing w:before="0" w:beforeAutospacing="0" w:after="0" w:afterAutospacing="0"/>
        <w:ind w:left="0" w:firstLine="0"/>
        <w:jc w:val="both"/>
        <w:rPr>
          <w:kern w:val="28"/>
          <w:sz w:val="28"/>
          <w:szCs w:val="28"/>
          <w:lang w:val="uk-UA"/>
        </w:rPr>
      </w:pPr>
      <w:r>
        <w:rPr>
          <w:kern w:val="28"/>
          <w:sz w:val="28"/>
          <w:szCs w:val="28"/>
          <w:lang w:val="uk-UA"/>
        </w:rPr>
        <w:t>320</w:t>
      </w:r>
      <w:r w:rsidR="00F800CA" w:rsidRPr="00205357">
        <w:rPr>
          <w:kern w:val="28"/>
          <w:sz w:val="28"/>
          <w:szCs w:val="28"/>
          <w:lang w:val="uk-UA"/>
        </w:rPr>
        <w:t xml:space="preserve"> (</w:t>
      </w:r>
      <w:r>
        <w:rPr>
          <w:kern w:val="28"/>
          <w:sz w:val="28"/>
          <w:szCs w:val="28"/>
          <w:lang w:val="uk-UA"/>
        </w:rPr>
        <w:t>3,7</w:t>
      </w:r>
      <w:r w:rsidR="00F800CA" w:rsidRPr="00205357">
        <w:rPr>
          <w:kern w:val="28"/>
          <w:sz w:val="28"/>
          <w:szCs w:val="28"/>
          <w:lang w:val="uk-UA"/>
        </w:rPr>
        <w:t>%) заяв у порядку виконання судових рішень, тоді як у 20</w:t>
      </w:r>
      <w:r>
        <w:rPr>
          <w:kern w:val="28"/>
          <w:sz w:val="28"/>
          <w:szCs w:val="28"/>
          <w:lang w:val="uk-UA"/>
        </w:rPr>
        <w:t>21</w:t>
      </w:r>
      <w:r w:rsidR="00F800CA" w:rsidRPr="00205357">
        <w:rPr>
          <w:kern w:val="28"/>
          <w:sz w:val="28"/>
          <w:szCs w:val="28"/>
          <w:lang w:val="uk-UA"/>
        </w:rPr>
        <w:t xml:space="preserve"> році залишок нерозглянутих заяв у порядку виконання судових рішень становив </w:t>
      </w:r>
      <w:r>
        <w:rPr>
          <w:kern w:val="28"/>
          <w:sz w:val="28"/>
          <w:szCs w:val="28"/>
          <w:lang w:val="uk-UA"/>
        </w:rPr>
        <w:t>407</w:t>
      </w:r>
      <w:r w:rsidR="00F800CA" w:rsidRPr="00205357">
        <w:rPr>
          <w:kern w:val="28"/>
          <w:sz w:val="28"/>
          <w:szCs w:val="28"/>
          <w:lang w:val="uk-UA"/>
        </w:rPr>
        <w:t xml:space="preserve"> (</w:t>
      </w:r>
      <w:r>
        <w:rPr>
          <w:kern w:val="28"/>
          <w:sz w:val="28"/>
          <w:szCs w:val="28"/>
          <w:lang w:val="uk-UA"/>
        </w:rPr>
        <w:t>3,7</w:t>
      </w:r>
      <w:r w:rsidR="00F800CA" w:rsidRPr="00205357">
        <w:rPr>
          <w:kern w:val="28"/>
          <w:sz w:val="28"/>
          <w:szCs w:val="28"/>
          <w:lang w:val="uk-UA"/>
        </w:rPr>
        <w:t>%);</w:t>
      </w:r>
    </w:p>
    <w:p w14:paraId="50380840" w14:textId="5A62C4DD" w:rsidR="00F800CA" w:rsidRPr="00CB3357" w:rsidRDefault="00F800CA" w:rsidP="00EF52B4">
      <w:pPr>
        <w:pStyle w:val="a8"/>
        <w:numPr>
          <w:ilvl w:val="0"/>
          <w:numId w:val="8"/>
        </w:numPr>
        <w:shd w:val="clear" w:color="auto" w:fill="FFFFFF"/>
        <w:ind w:left="0" w:firstLine="709"/>
        <w:jc w:val="both"/>
        <w:rPr>
          <w:kern w:val="28"/>
          <w:sz w:val="28"/>
          <w:szCs w:val="28"/>
        </w:rPr>
      </w:pPr>
      <w:r w:rsidRPr="00CB3357">
        <w:rPr>
          <w:kern w:val="28"/>
          <w:sz w:val="28"/>
          <w:szCs w:val="28"/>
          <w:lang w:val="uk-UA"/>
        </w:rPr>
        <w:t>1 заява про відновлення втраченого судового провадження (0,01%)</w:t>
      </w:r>
      <w:r w:rsidR="00CB3357" w:rsidRPr="00CB3357">
        <w:rPr>
          <w:kern w:val="28"/>
          <w:sz w:val="28"/>
          <w:szCs w:val="28"/>
          <w:lang w:val="uk-UA"/>
        </w:rPr>
        <w:t>.</w:t>
      </w:r>
      <w:r w:rsidRPr="00CB3357">
        <w:rPr>
          <w:kern w:val="28"/>
          <w:sz w:val="28"/>
          <w:szCs w:val="28"/>
          <w:lang w:val="uk-UA"/>
        </w:rPr>
        <w:t xml:space="preserve"> </w:t>
      </w:r>
    </w:p>
    <w:p w14:paraId="10A1533F" w14:textId="77777777" w:rsidR="00DD150D" w:rsidRPr="00205357" w:rsidRDefault="00DD150D" w:rsidP="00AE50D5">
      <w:pPr>
        <w:ind w:firstLine="709"/>
        <w:jc w:val="both"/>
        <w:rPr>
          <w:kern w:val="28"/>
          <w:sz w:val="28"/>
          <w:szCs w:val="28"/>
        </w:rPr>
      </w:pPr>
      <w:r w:rsidRPr="00205357">
        <w:rPr>
          <w:kern w:val="28"/>
          <w:sz w:val="28"/>
          <w:szCs w:val="28"/>
        </w:rPr>
        <w:t xml:space="preserve">Показником, за результатом аналізу якого можна дійти висновку про ефективність роботи суду, </w:t>
      </w:r>
      <w:r w:rsidRPr="00F800CA">
        <w:rPr>
          <w:kern w:val="28"/>
          <w:sz w:val="28"/>
          <w:szCs w:val="28"/>
        </w:rPr>
        <w:t>є відсоток розгляду.</w:t>
      </w:r>
    </w:p>
    <w:p w14:paraId="1803631E" w14:textId="77777777" w:rsidR="00DD150D" w:rsidRPr="00205357" w:rsidRDefault="00DD150D" w:rsidP="00AE50D5">
      <w:pPr>
        <w:ind w:firstLine="709"/>
        <w:jc w:val="both"/>
        <w:rPr>
          <w:kern w:val="28"/>
          <w:sz w:val="28"/>
          <w:szCs w:val="28"/>
        </w:rPr>
      </w:pPr>
      <w:r w:rsidRPr="00205357">
        <w:rPr>
          <w:kern w:val="28"/>
          <w:sz w:val="28"/>
          <w:szCs w:val="28"/>
        </w:rPr>
        <w:t xml:space="preserve">Значення </w:t>
      </w:r>
      <w:r w:rsidR="00F800CA">
        <w:rPr>
          <w:kern w:val="28"/>
          <w:sz w:val="28"/>
          <w:szCs w:val="28"/>
        </w:rPr>
        <w:t xml:space="preserve">такого </w:t>
      </w:r>
      <w:r w:rsidRPr="00205357">
        <w:rPr>
          <w:kern w:val="28"/>
          <w:sz w:val="28"/>
          <w:szCs w:val="28"/>
        </w:rPr>
        <w:t>показника більше ніж 100% свідчить про те, що у звітн</w:t>
      </w:r>
      <w:r w:rsidR="00F800CA">
        <w:rPr>
          <w:kern w:val="28"/>
          <w:sz w:val="28"/>
          <w:szCs w:val="28"/>
        </w:rPr>
        <w:t>ому</w:t>
      </w:r>
      <w:r w:rsidRPr="00205357">
        <w:rPr>
          <w:kern w:val="28"/>
          <w:sz w:val="28"/>
          <w:szCs w:val="28"/>
        </w:rPr>
        <w:t xml:space="preserve"> період</w:t>
      </w:r>
      <w:r w:rsidR="00F800CA">
        <w:rPr>
          <w:kern w:val="28"/>
          <w:sz w:val="28"/>
          <w:szCs w:val="28"/>
        </w:rPr>
        <w:t>і</w:t>
      </w:r>
      <w:r w:rsidRPr="00205357">
        <w:rPr>
          <w:kern w:val="28"/>
          <w:sz w:val="28"/>
          <w:szCs w:val="28"/>
        </w:rPr>
        <w:t xml:space="preserve"> залишок нерозглянутих справ скорочується, значення показника 100% свідчить про те, що у звітн</w:t>
      </w:r>
      <w:r w:rsidR="00F800CA">
        <w:rPr>
          <w:kern w:val="28"/>
          <w:sz w:val="28"/>
          <w:szCs w:val="28"/>
        </w:rPr>
        <w:t>ому</w:t>
      </w:r>
      <w:r w:rsidRPr="00205357">
        <w:rPr>
          <w:kern w:val="28"/>
          <w:sz w:val="28"/>
          <w:szCs w:val="28"/>
        </w:rPr>
        <w:t xml:space="preserve"> період</w:t>
      </w:r>
      <w:r w:rsidR="00F800CA">
        <w:rPr>
          <w:kern w:val="28"/>
          <w:sz w:val="28"/>
          <w:szCs w:val="28"/>
        </w:rPr>
        <w:t>і</w:t>
      </w:r>
      <w:r w:rsidRPr="00205357">
        <w:rPr>
          <w:kern w:val="28"/>
          <w:sz w:val="28"/>
          <w:szCs w:val="28"/>
        </w:rPr>
        <w:t xml:space="preserve"> залишок нерозглянутих справ не змінюється, значення показника менше ніж 10</w:t>
      </w:r>
      <w:r w:rsidR="00F800CA">
        <w:rPr>
          <w:kern w:val="28"/>
          <w:sz w:val="28"/>
          <w:szCs w:val="28"/>
        </w:rPr>
        <w:t>0% свідчить про те, що у звітному</w:t>
      </w:r>
      <w:r w:rsidRPr="00205357">
        <w:rPr>
          <w:kern w:val="28"/>
          <w:sz w:val="28"/>
          <w:szCs w:val="28"/>
        </w:rPr>
        <w:t xml:space="preserve"> період</w:t>
      </w:r>
      <w:r w:rsidR="00F800CA">
        <w:rPr>
          <w:kern w:val="28"/>
          <w:sz w:val="28"/>
          <w:szCs w:val="28"/>
        </w:rPr>
        <w:t>і</w:t>
      </w:r>
      <w:r w:rsidRPr="00205357">
        <w:rPr>
          <w:kern w:val="28"/>
          <w:sz w:val="28"/>
          <w:szCs w:val="28"/>
        </w:rPr>
        <w:t xml:space="preserve"> залишок нерозглянутих справ збільшується.</w:t>
      </w:r>
    </w:p>
    <w:p w14:paraId="54FE3776" w14:textId="77777777" w:rsidR="00DD150D" w:rsidRPr="00205357" w:rsidRDefault="00DD150D" w:rsidP="00AE50D5">
      <w:pPr>
        <w:ind w:firstLine="709"/>
        <w:jc w:val="both"/>
        <w:rPr>
          <w:kern w:val="28"/>
          <w:sz w:val="28"/>
          <w:szCs w:val="28"/>
        </w:rPr>
      </w:pPr>
      <w:r w:rsidRPr="00205357">
        <w:rPr>
          <w:kern w:val="28"/>
          <w:sz w:val="28"/>
          <w:szCs w:val="28"/>
        </w:rPr>
        <w:lastRenderedPageBreak/>
        <w:t>За даними Європейської комісії з ефективності правосуддя, відсоток розгляду справ у 84% і нижче є тривожним сигналом, 85–95% – насторожуючим, 96–102% – нейтральний показник, 103% і більше – передова практика. Трапляються випадки, коли значення цього показника сягає 120% і вище. Це є свідченням того, що на початку звітного періоду суд мав значний залишок нерозглянутих справ, і у звітному періоді було докладено достатньо зусиль для підвищення ефективності роботи суду з розгляду справ.</w:t>
      </w:r>
    </w:p>
    <w:p w14:paraId="37A2813C" w14:textId="77777777" w:rsidR="00A3054A" w:rsidRPr="00205357" w:rsidRDefault="00EE1DDF" w:rsidP="00AE50D5">
      <w:pPr>
        <w:ind w:firstLine="709"/>
        <w:jc w:val="both"/>
        <w:rPr>
          <w:kern w:val="28"/>
          <w:sz w:val="28"/>
          <w:szCs w:val="28"/>
        </w:rPr>
      </w:pPr>
      <w:r w:rsidRPr="00205357">
        <w:rPr>
          <w:kern w:val="28"/>
          <w:sz w:val="28"/>
          <w:szCs w:val="28"/>
        </w:rPr>
        <w:t xml:space="preserve"> </w:t>
      </w:r>
      <w:r w:rsidR="00DD150D" w:rsidRPr="00205357">
        <w:rPr>
          <w:kern w:val="28"/>
          <w:sz w:val="28"/>
          <w:szCs w:val="28"/>
        </w:rPr>
        <w:t>Таким чином, рекомендованим стандартом цього показника є рівень 95%–105%, тобто від нижчого нейтрального значення до початкових значень передової практики.</w:t>
      </w:r>
      <w:r w:rsidR="00A3054A" w:rsidRPr="00205357">
        <w:rPr>
          <w:kern w:val="28"/>
          <w:sz w:val="28"/>
          <w:szCs w:val="28"/>
        </w:rPr>
        <w:t xml:space="preserve"> </w:t>
      </w:r>
    </w:p>
    <w:p w14:paraId="7044ACB1" w14:textId="7D9DC1F8" w:rsidR="00DD150D" w:rsidRPr="00205357" w:rsidRDefault="00A3054A" w:rsidP="00AE50D5">
      <w:pPr>
        <w:ind w:firstLine="709"/>
        <w:jc w:val="both"/>
        <w:rPr>
          <w:kern w:val="28"/>
          <w:sz w:val="28"/>
          <w:szCs w:val="28"/>
        </w:rPr>
      </w:pPr>
      <w:r w:rsidRPr="00205357">
        <w:rPr>
          <w:kern w:val="28"/>
          <w:sz w:val="28"/>
          <w:szCs w:val="28"/>
        </w:rPr>
        <w:t>У 20</w:t>
      </w:r>
      <w:r w:rsidR="00F800CA">
        <w:rPr>
          <w:kern w:val="28"/>
          <w:sz w:val="28"/>
          <w:szCs w:val="28"/>
        </w:rPr>
        <w:t>2</w:t>
      </w:r>
      <w:r w:rsidR="00CB3357">
        <w:rPr>
          <w:kern w:val="28"/>
          <w:sz w:val="28"/>
          <w:szCs w:val="28"/>
        </w:rPr>
        <w:t>2</w:t>
      </w:r>
      <w:r w:rsidRPr="00205357">
        <w:rPr>
          <w:kern w:val="28"/>
          <w:sz w:val="28"/>
          <w:szCs w:val="28"/>
        </w:rPr>
        <w:t xml:space="preserve"> році відсоток розгляду справ КОАС склав </w:t>
      </w:r>
      <w:r w:rsidR="00CB3357">
        <w:rPr>
          <w:kern w:val="28"/>
          <w:sz w:val="28"/>
          <w:szCs w:val="28"/>
        </w:rPr>
        <w:t>113,4</w:t>
      </w:r>
      <w:r w:rsidR="00DE0546" w:rsidRPr="00205357">
        <w:rPr>
          <w:kern w:val="28"/>
          <w:sz w:val="28"/>
          <w:szCs w:val="28"/>
        </w:rPr>
        <w:t>%,</w:t>
      </w:r>
      <w:r w:rsidR="00586D1C" w:rsidRPr="00205357">
        <w:rPr>
          <w:kern w:val="28"/>
          <w:sz w:val="28"/>
          <w:szCs w:val="28"/>
        </w:rPr>
        <w:t xml:space="preserve"> що є </w:t>
      </w:r>
      <w:r w:rsidR="00CB3357">
        <w:rPr>
          <w:kern w:val="28"/>
          <w:sz w:val="28"/>
          <w:szCs w:val="28"/>
        </w:rPr>
        <w:t>передовою практикою</w:t>
      </w:r>
      <w:r w:rsidR="00586D1C" w:rsidRPr="00205357">
        <w:rPr>
          <w:kern w:val="28"/>
          <w:sz w:val="28"/>
          <w:szCs w:val="28"/>
        </w:rPr>
        <w:t>,</w:t>
      </w:r>
      <w:r w:rsidR="00DE0546" w:rsidRPr="00205357">
        <w:rPr>
          <w:kern w:val="28"/>
          <w:sz w:val="28"/>
          <w:szCs w:val="28"/>
        </w:rPr>
        <w:t xml:space="preserve"> тоді як у 20</w:t>
      </w:r>
      <w:r w:rsidR="00CB3357">
        <w:rPr>
          <w:kern w:val="28"/>
          <w:sz w:val="28"/>
          <w:szCs w:val="28"/>
        </w:rPr>
        <w:t>2111</w:t>
      </w:r>
      <w:r w:rsidRPr="00205357">
        <w:rPr>
          <w:kern w:val="28"/>
          <w:sz w:val="28"/>
          <w:szCs w:val="28"/>
        </w:rPr>
        <w:t xml:space="preserve"> році даний показник становив </w:t>
      </w:r>
      <w:r w:rsidR="00CB3357">
        <w:rPr>
          <w:kern w:val="28"/>
          <w:sz w:val="28"/>
          <w:szCs w:val="28"/>
        </w:rPr>
        <w:t>86,5</w:t>
      </w:r>
      <w:r w:rsidRPr="00205357">
        <w:rPr>
          <w:kern w:val="28"/>
          <w:sz w:val="28"/>
          <w:szCs w:val="28"/>
        </w:rPr>
        <w:t xml:space="preserve">%, </w:t>
      </w:r>
      <w:r w:rsidR="00586D1C" w:rsidRPr="00205357">
        <w:rPr>
          <w:kern w:val="28"/>
          <w:sz w:val="28"/>
          <w:szCs w:val="28"/>
        </w:rPr>
        <w:t>тобто</w:t>
      </w:r>
      <w:r w:rsidRPr="00205357">
        <w:rPr>
          <w:kern w:val="28"/>
          <w:sz w:val="28"/>
          <w:szCs w:val="28"/>
        </w:rPr>
        <w:t xml:space="preserve"> насторожуючим показником ефективності роботи суду.</w:t>
      </w:r>
    </w:p>
    <w:p w14:paraId="15A1F099" w14:textId="77777777" w:rsidR="00DD150D" w:rsidRPr="00205357" w:rsidRDefault="00DD150D" w:rsidP="00AE50D5">
      <w:pPr>
        <w:ind w:firstLine="709"/>
        <w:jc w:val="both"/>
        <w:rPr>
          <w:kern w:val="28"/>
          <w:sz w:val="28"/>
          <w:szCs w:val="28"/>
        </w:rPr>
      </w:pPr>
      <w:r w:rsidRPr="00205357">
        <w:rPr>
          <w:kern w:val="28"/>
          <w:sz w:val="28"/>
          <w:szCs w:val="28"/>
        </w:rPr>
        <w:t xml:space="preserve">Показник відсотка розгляду справ </w:t>
      </w:r>
      <w:r w:rsidR="00001CFF" w:rsidRPr="00205357">
        <w:rPr>
          <w:kern w:val="28"/>
          <w:sz w:val="28"/>
          <w:szCs w:val="28"/>
        </w:rPr>
        <w:t xml:space="preserve">КОАС </w:t>
      </w:r>
      <w:r w:rsidRPr="00205357">
        <w:rPr>
          <w:kern w:val="28"/>
          <w:sz w:val="28"/>
          <w:szCs w:val="28"/>
        </w:rPr>
        <w:t xml:space="preserve">наведено </w:t>
      </w:r>
      <w:r w:rsidR="00F53796" w:rsidRPr="00205357">
        <w:rPr>
          <w:kern w:val="28"/>
          <w:sz w:val="28"/>
          <w:szCs w:val="28"/>
        </w:rPr>
        <w:t>у</w:t>
      </w:r>
      <w:r w:rsidRPr="00205357">
        <w:rPr>
          <w:kern w:val="28"/>
          <w:sz w:val="28"/>
          <w:szCs w:val="28"/>
        </w:rPr>
        <w:t xml:space="preserve"> гістограмі 3.</w:t>
      </w:r>
    </w:p>
    <w:p w14:paraId="0097DF73" w14:textId="77777777" w:rsidR="0088505E" w:rsidRPr="00205357" w:rsidRDefault="0088505E" w:rsidP="00D7102E">
      <w:pPr>
        <w:spacing w:line="276" w:lineRule="auto"/>
        <w:ind w:firstLine="709"/>
        <w:jc w:val="right"/>
        <w:rPr>
          <w:kern w:val="28"/>
          <w:sz w:val="28"/>
          <w:szCs w:val="28"/>
        </w:rPr>
      </w:pPr>
      <w:r w:rsidRPr="00205357">
        <w:rPr>
          <w:kern w:val="28"/>
          <w:sz w:val="28"/>
          <w:szCs w:val="28"/>
        </w:rPr>
        <w:t>Гістограма 3</w:t>
      </w:r>
    </w:p>
    <w:p w14:paraId="5D63E54A" w14:textId="77777777" w:rsidR="0088505E" w:rsidRPr="00205357" w:rsidRDefault="0088505E" w:rsidP="00D7102E">
      <w:pPr>
        <w:spacing w:line="276" w:lineRule="auto"/>
        <w:ind w:firstLine="709"/>
        <w:jc w:val="center"/>
        <w:rPr>
          <w:b/>
          <w:kern w:val="28"/>
          <w:sz w:val="28"/>
          <w:szCs w:val="28"/>
        </w:rPr>
      </w:pPr>
      <w:r w:rsidRPr="00205357">
        <w:rPr>
          <w:b/>
          <w:kern w:val="28"/>
          <w:sz w:val="28"/>
          <w:szCs w:val="28"/>
        </w:rPr>
        <w:t xml:space="preserve">Динаміка відсотка розгляду справ КОАС </w:t>
      </w:r>
    </w:p>
    <w:p w14:paraId="5C602FA9" w14:textId="40DD88EC" w:rsidR="00845B02" w:rsidRPr="00205357" w:rsidRDefault="0088505E" w:rsidP="00D7102E">
      <w:pPr>
        <w:spacing w:line="276" w:lineRule="auto"/>
        <w:ind w:firstLine="709"/>
        <w:jc w:val="center"/>
        <w:rPr>
          <w:b/>
          <w:kern w:val="28"/>
          <w:sz w:val="28"/>
          <w:szCs w:val="28"/>
        </w:rPr>
      </w:pPr>
      <w:r w:rsidRPr="00205357">
        <w:rPr>
          <w:b/>
          <w:kern w:val="28"/>
          <w:sz w:val="28"/>
          <w:szCs w:val="28"/>
        </w:rPr>
        <w:t xml:space="preserve">у </w:t>
      </w:r>
      <w:r w:rsidR="00134F28" w:rsidRPr="00205357">
        <w:rPr>
          <w:b/>
          <w:kern w:val="28"/>
          <w:sz w:val="28"/>
          <w:szCs w:val="28"/>
        </w:rPr>
        <w:t xml:space="preserve"> </w:t>
      </w:r>
      <w:r w:rsidRPr="00205357">
        <w:rPr>
          <w:b/>
          <w:kern w:val="28"/>
          <w:sz w:val="28"/>
          <w:szCs w:val="28"/>
        </w:rPr>
        <w:t>20</w:t>
      </w:r>
      <w:r w:rsidR="00CB3357">
        <w:rPr>
          <w:b/>
          <w:kern w:val="28"/>
          <w:sz w:val="28"/>
          <w:szCs w:val="28"/>
        </w:rPr>
        <w:t>22</w:t>
      </w:r>
      <w:r w:rsidR="00064C15" w:rsidRPr="00205357">
        <w:rPr>
          <w:b/>
          <w:kern w:val="28"/>
          <w:sz w:val="28"/>
          <w:szCs w:val="28"/>
        </w:rPr>
        <w:t xml:space="preserve"> </w:t>
      </w:r>
      <w:r w:rsidRPr="00205357">
        <w:rPr>
          <w:b/>
          <w:kern w:val="28"/>
          <w:sz w:val="28"/>
          <w:szCs w:val="28"/>
        </w:rPr>
        <w:t>–</w:t>
      </w:r>
      <w:r w:rsidR="00064C15" w:rsidRPr="00205357">
        <w:rPr>
          <w:b/>
          <w:kern w:val="28"/>
          <w:sz w:val="28"/>
          <w:szCs w:val="28"/>
        </w:rPr>
        <w:t xml:space="preserve"> </w:t>
      </w:r>
      <w:r w:rsidRPr="00205357">
        <w:rPr>
          <w:b/>
          <w:kern w:val="28"/>
          <w:sz w:val="28"/>
          <w:szCs w:val="28"/>
        </w:rPr>
        <w:t>20</w:t>
      </w:r>
      <w:r w:rsidR="00CB3357">
        <w:rPr>
          <w:b/>
          <w:kern w:val="28"/>
          <w:sz w:val="28"/>
          <w:szCs w:val="28"/>
        </w:rPr>
        <w:t>21</w:t>
      </w:r>
      <w:r w:rsidRPr="00205357">
        <w:rPr>
          <w:b/>
          <w:kern w:val="28"/>
          <w:sz w:val="28"/>
          <w:szCs w:val="28"/>
        </w:rPr>
        <w:t xml:space="preserve"> роках</w:t>
      </w:r>
      <w:r w:rsidR="00FE4C10" w:rsidRPr="00205357">
        <w:rPr>
          <w:b/>
          <w:kern w:val="28"/>
          <w:sz w:val="28"/>
          <w:szCs w:val="28"/>
        </w:rPr>
        <w:t xml:space="preserve"> </w:t>
      </w:r>
    </w:p>
    <w:p w14:paraId="71113B49" w14:textId="77777777" w:rsidR="00681EDE" w:rsidRPr="00C87CAD" w:rsidRDefault="00671721" w:rsidP="00D7102E">
      <w:pPr>
        <w:spacing w:line="276" w:lineRule="auto"/>
        <w:ind w:firstLine="709"/>
        <w:jc w:val="both"/>
      </w:pPr>
      <w:r w:rsidRPr="00C87CAD">
        <w:rPr>
          <w:noProof/>
          <w:lang w:val="ru-RU"/>
        </w:rPr>
        <w:drawing>
          <wp:inline distT="0" distB="0" distL="0" distR="0" wp14:anchorId="32B97E1E" wp14:editId="6ACF7D5A">
            <wp:extent cx="5133975" cy="2867025"/>
            <wp:effectExtent l="1905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1C5801" w14:textId="77777777" w:rsidR="00887596" w:rsidRPr="00205357" w:rsidRDefault="00887596" w:rsidP="00AE50D5">
      <w:pPr>
        <w:ind w:firstLine="709"/>
        <w:jc w:val="both"/>
        <w:rPr>
          <w:kern w:val="28"/>
          <w:sz w:val="28"/>
          <w:szCs w:val="28"/>
        </w:rPr>
      </w:pPr>
    </w:p>
    <w:p w14:paraId="0368FB34" w14:textId="77777777" w:rsidR="004C2B07" w:rsidRDefault="005760FD" w:rsidP="00C87CAD">
      <w:pPr>
        <w:pStyle w:val="1"/>
        <w:numPr>
          <w:ilvl w:val="0"/>
          <w:numId w:val="9"/>
        </w:numPr>
        <w:spacing w:before="0" w:beforeAutospacing="0" w:after="0" w:afterAutospacing="0"/>
        <w:jc w:val="both"/>
        <w:rPr>
          <w:kern w:val="28"/>
          <w:sz w:val="28"/>
          <w:szCs w:val="28"/>
        </w:rPr>
      </w:pPr>
      <w:bookmarkStart w:id="4" w:name="_Toc428543695"/>
      <w:bookmarkStart w:id="5" w:name="_Toc428365911"/>
      <w:r w:rsidRPr="00205357">
        <w:rPr>
          <w:kern w:val="28"/>
          <w:sz w:val="28"/>
          <w:szCs w:val="28"/>
        </w:rPr>
        <w:t>Розгляд справ у порядку адміністративного судочинства</w:t>
      </w:r>
      <w:r w:rsidR="00C82A86">
        <w:rPr>
          <w:kern w:val="28"/>
          <w:sz w:val="28"/>
          <w:szCs w:val="28"/>
        </w:rPr>
        <w:t>.</w:t>
      </w:r>
    </w:p>
    <w:p w14:paraId="6D79AF63" w14:textId="77777777" w:rsidR="00C82A86" w:rsidRPr="00205357" w:rsidRDefault="00C82A86" w:rsidP="00C82A86">
      <w:pPr>
        <w:pStyle w:val="1"/>
        <w:spacing w:before="0" w:beforeAutospacing="0" w:after="0" w:afterAutospacing="0"/>
        <w:ind w:left="360"/>
        <w:jc w:val="both"/>
        <w:rPr>
          <w:kern w:val="28"/>
          <w:sz w:val="28"/>
          <w:szCs w:val="28"/>
        </w:rPr>
      </w:pPr>
      <w:r>
        <w:rPr>
          <w:kern w:val="28"/>
          <w:sz w:val="28"/>
          <w:szCs w:val="28"/>
        </w:rPr>
        <w:t>«Звіт судів першої інстанції про розгляд справ у порядку адміністративного судочинства» за формою №1-а.</w:t>
      </w:r>
    </w:p>
    <w:bookmarkEnd w:id="4"/>
    <w:bookmarkEnd w:id="5"/>
    <w:p w14:paraId="704A5D53" w14:textId="77777777" w:rsidR="00566199" w:rsidRDefault="00566199" w:rsidP="00FE4C10">
      <w:pPr>
        <w:pStyle w:val="a9"/>
        <w:ind w:firstLine="709"/>
        <w:jc w:val="both"/>
        <w:rPr>
          <w:kern w:val="28"/>
          <w:sz w:val="28"/>
          <w:szCs w:val="28"/>
          <w:lang w:val="uk-UA"/>
        </w:rPr>
      </w:pPr>
    </w:p>
    <w:p w14:paraId="6FEB3CCC" w14:textId="3CCF0A6C" w:rsidR="00FE4C10" w:rsidRPr="00205357" w:rsidRDefault="00FE4C10" w:rsidP="00FE4C10">
      <w:pPr>
        <w:pStyle w:val="a9"/>
        <w:ind w:firstLine="709"/>
        <w:jc w:val="both"/>
        <w:rPr>
          <w:kern w:val="28"/>
          <w:sz w:val="28"/>
          <w:szCs w:val="28"/>
          <w:lang w:val="uk-UA"/>
        </w:rPr>
      </w:pPr>
      <w:r w:rsidRPr="00205357">
        <w:rPr>
          <w:kern w:val="28"/>
          <w:sz w:val="28"/>
          <w:szCs w:val="28"/>
          <w:lang w:val="uk-UA"/>
        </w:rPr>
        <w:t xml:space="preserve">У досліджуваному періоді статистичному спостереженню підлягало </w:t>
      </w:r>
      <w:r w:rsidR="00CB3357">
        <w:rPr>
          <w:kern w:val="28"/>
          <w:sz w:val="28"/>
          <w:szCs w:val="28"/>
          <w:lang w:val="uk-UA"/>
        </w:rPr>
        <w:t>22966</w:t>
      </w:r>
      <w:r w:rsidRPr="00205357">
        <w:rPr>
          <w:kern w:val="28"/>
          <w:sz w:val="28"/>
          <w:szCs w:val="28"/>
          <w:lang w:val="uk-UA"/>
        </w:rPr>
        <w:t xml:space="preserve"> справ і матеріалів</w:t>
      </w:r>
      <w:r w:rsidR="00C82A86">
        <w:rPr>
          <w:kern w:val="28"/>
          <w:sz w:val="28"/>
          <w:szCs w:val="28"/>
          <w:lang w:val="uk-UA"/>
        </w:rPr>
        <w:t xml:space="preserve">, </w:t>
      </w:r>
      <w:r w:rsidR="00C82A86" w:rsidRPr="00205357">
        <w:rPr>
          <w:kern w:val="28"/>
          <w:sz w:val="28"/>
          <w:szCs w:val="28"/>
          <w:lang w:val="uk-UA"/>
        </w:rPr>
        <w:t>що перебували у провадженні суду</w:t>
      </w:r>
      <w:r w:rsidRPr="00205357">
        <w:rPr>
          <w:kern w:val="28"/>
          <w:sz w:val="28"/>
          <w:szCs w:val="28"/>
          <w:lang w:val="uk-UA"/>
        </w:rPr>
        <w:t>. Превалювання цього показника в структурі справ і матеріалів дозволяє виявити основні тенденції надходження позовних заяв і справ у розрізі категорій.</w:t>
      </w:r>
    </w:p>
    <w:p w14:paraId="2E8863DC" w14:textId="77777777" w:rsidR="00FE4C10" w:rsidRPr="00205357" w:rsidRDefault="00FE4C10" w:rsidP="00FE4C10">
      <w:pPr>
        <w:pStyle w:val="a9"/>
        <w:ind w:firstLine="709"/>
        <w:jc w:val="both"/>
        <w:rPr>
          <w:kern w:val="28"/>
          <w:sz w:val="28"/>
          <w:szCs w:val="28"/>
          <w:lang w:val="uk-UA"/>
        </w:rPr>
      </w:pPr>
      <w:r w:rsidRPr="00205357">
        <w:rPr>
          <w:kern w:val="28"/>
          <w:sz w:val="28"/>
          <w:szCs w:val="28"/>
          <w:lang w:val="uk-UA"/>
        </w:rPr>
        <w:t>Для аналізу цих даних звернемося до діаграми 1.</w:t>
      </w:r>
    </w:p>
    <w:p w14:paraId="416BAB3D" w14:textId="77777777" w:rsidR="00D41BF5" w:rsidRPr="00205357" w:rsidRDefault="00D41BF5" w:rsidP="00FE4C10">
      <w:pPr>
        <w:pStyle w:val="a9"/>
        <w:ind w:firstLine="851"/>
        <w:jc w:val="right"/>
        <w:rPr>
          <w:kern w:val="28"/>
          <w:sz w:val="28"/>
          <w:szCs w:val="28"/>
          <w:lang w:val="uk-UA"/>
        </w:rPr>
      </w:pPr>
    </w:p>
    <w:p w14:paraId="5A952577" w14:textId="77777777" w:rsidR="00FE4C10" w:rsidRPr="00205357" w:rsidRDefault="00FE4C10" w:rsidP="00FE4C10">
      <w:pPr>
        <w:pStyle w:val="a9"/>
        <w:ind w:firstLine="851"/>
        <w:jc w:val="right"/>
        <w:rPr>
          <w:kern w:val="28"/>
          <w:sz w:val="28"/>
          <w:szCs w:val="28"/>
          <w:lang w:val="uk-UA"/>
        </w:rPr>
      </w:pPr>
      <w:r w:rsidRPr="00205357">
        <w:rPr>
          <w:kern w:val="28"/>
          <w:sz w:val="28"/>
          <w:szCs w:val="28"/>
          <w:lang w:val="uk-UA"/>
        </w:rPr>
        <w:t>Діаграма 1</w:t>
      </w:r>
    </w:p>
    <w:p w14:paraId="26CB2C0F" w14:textId="77777777" w:rsidR="00FE4C10" w:rsidRPr="00205357" w:rsidRDefault="00FE4C10" w:rsidP="00FE4C10">
      <w:pPr>
        <w:pStyle w:val="a9"/>
        <w:jc w:val="center"/>
        <w:rPr>
          <w:b/>
          <w:kern w:val="28"/>
          <w:sz w:val="28"/>
          <w:szCs w:val="28"/>
          <w:lang w:val="uk-UA"/>
        </w:rPr>
      </w:pPr>
      <w:r w:rsidRPr="00205357">
        <w:rPr>
          <w:b/>
          <w:kern w:val="28"/>
          <w:sz w:val="28"/>
          <w:szCs w:val="28"/>
          <w:lang w:val="uk-UA"/>
        </w:rPr>
        <w:t>Співвідношення показників надходження справ за категоріями</w:t>
      </w:r>
    </w:p>
    <w:p w14:paraId="5B660F84" w14:textId="4F61D245" w:rsidR="00FE4C10" w:rsidRPr="00205357" w:rsidRDefault="00FE4C10" w:rsidP="00FE4C10">
      <w:pPr>
        <w:pStyle w:val="a9"/>
        <w:jc w:val="center"/>
        <w:rPr>
          <w:b/>
          <w:kern w:val="28"/>
          <w:sz w:val="28"/>
          <w:szCs w:val="28"/>
          <w:lang w:val="uk-UA"/>
        </w:rPr>
      </w:pPr>
      <w:r w:rsidRPr="00205357">
        <w:rPr>
          <w:b/>
          <w:kern w:val="28"/>
          <w:sz w:val="28"/>
          <w:szCs w:val="28"/>
          <w:lang w:val="uk-UA"/>
        </w:rPr>
        <w:t>до КОАС у 20</w:t>
      </w:r>
      <w:r w:rsidR="00D70292" w:rsidRPr="00205357">
        <w:rPr>
          <w:b/>
          <w:kern w:val="28"/>
          <w:sz w:val="28"/>
          <w:szCs w:val="28"/>
          <w:lang w:val="uk-UA"/>
        </w:rPr>
        <w:t>2</w:t>
      </w:r>
      <w:r w:rsidR="00CB3357">
        <w:rPr>
          <w:b/>
          <w:kern w:val="28"/>
          <w:sz w:val="28"/>
          <w:szCs w:val="28"/>
          <w:lang w:val="uk-UA"/>
        </w:rPr>
        <w:t>2</w:t>
      </w:r>
      <w:r w:rsidRPr="00205357">
        <w:rPr>
          <w:b/>
          <w:kern w:val="28"/>
          <w:sz w:val="28"/>
          <w:szCs w:val="28"/>
          <w:lang w:val="uk-UA"/>
        </w:rPr>
        <w:t>–20</w:t>
      </w:r>
      <w:r w:rsidR="00CB3357">
        <w:rPr>
          <w:b/>
          <w:kern w:val="28"/>
          <w:sz w:val="28"/>
          <w:szCs w:val="28"/>
          <w:lang w:val="uk-UA"/>
        </w:rPr>
        <w:t>21</w:t>
      </w:r>
      <w:r w:rsidRPr="00205357">
        <w:rPr>
          <w:b/>
          <w:kern w:val="28"/>
          <w:sz w:val="28"/>
          <w:szCs w:val="28"/>
          <w:lang w:val="uk-UA"/>
        </w:rPr>
        <w:t xml:space="preserve">  роках</w:t>
      </w:r>
    </w:p>
    <w:p w14:paraId="756E3383" w14:textId="77777777" w:rsidR="00FE4C10" w:rsidRPr="000C16D4" w:rsidRDefault="00FE4C10" w:rsidP="00FE4C10">
      <w:pPr>
        <w:pStyle w:val="a9"/>
        <w:spacing w:line="276" w:lineRule="auto"/>
        <w:jc w:val="both"/>
        <w:rPr>
          <w:sz w:val="24"/>
          <w:szCs w:val="24"/>
          <w:lang w:val="uk-UA"/>
        </w:rPr>
      </w:pPr>
      <w:r w:rsidRPr="000C16D4">
        <w:rPr>
          <w:noProof/>
          <w:sz w:val="24"/>
          <w:szCs w:val="24"/>
        </w:rPr>
        <w:lastRenderedPageBreak/>
        <w:drawing>
          <wp:inline distT="0" distB="0" distL="0" distR="0" wp14:anchorId="46D79C62" wp14:editId="030A514F">
            <wp:extent cx="6276975" cy="3476625"/>
            <wp:effectExtent l="0" t="0" r="0"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FBB0C66" w14:textId="77777777" w:rsidR="00FE4C10" w:rsidRDefault="00FE4C10" w:rsidP="00FE4C10">
      <w:pPr>
        <w:pStyle w:val="a9"/>
        <w:spacing w:line="276" w:lineRule="auto"/>
        <w:jc w:val="both"/>
        <w:rPr>
          <w:sz w:val="24"/>
          <w:szCs w:val="24"/>
          <w:lang w:val="uk-UA"/>
        </w:rPr>
      </w:pPr>
    </w:p>
    <w:p w14:paraId="65D7566E" w14:textId="77777777" w:rsidR="00FE4C10" w:rsidRPr="00C87CAD" w:rsidRDefault="00FE4C10" w:rsidP="00FE4C10">
      <w:pPr>
        <w:pStyle w:val="a9"/>
        <w:spacing w:line="276" w:lineRule="auto"/>
        <w:jc w:val="both"/>
        <w:rPr>
          <w:sz w:val="24"/>
          <w:szCs w:val="24"/>
          <w:lang w:val="uk-UA"/>
        </w:rPr>
      </w:pPr>
      <w:r w:rsidRPr="00C87CAD">
        <w:rPr>
          <w:noProof/>
          <w:sz w:val="24"/>
          <w:szCs w:val="24"/>
        </w:rPr>
        <w:drawing>
          <wp:inline distT="0" distB="0" distL="0" distR="0" wp14:anchorId="39633ED2" wp14:editId="57EF5C2E">
            <wp:extent cx="6286500" cy="3352800"/>
            <wp:effectExtent l="0" t="0" r="0" b="0"/>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1BAEB4" w14:textId="20C1AD1C" w:rsidR="0044621A" w:rsidRPr="00205357" w:rsidRDefault="00FE4C10" w:rsidP="00FE4C10">
      <w:pPr>
        <w:pStyle w:val="a9"/>
        <w:ind w:firstLine="709"/>
        <w:jc w:val="both"/>
        <w:rPr>
          <w:kern w:val="28"/>
          <w:sz w:val="28"/>
          <w:szCs w:val="28"/>
          <w:lang w:val="uk-UA"/>
        </w:rPr>
      </w:pPr>
      <w:r w:rsidRPr="00205357">
        <w:rPr>
          <w:kern w:val="28"/>
          <w:sz w:val="28"/>
          <w:szCs w:val="28"/>
          <w:lang w:val="uk-UA"/>
        </w:rPr>
        <w:t>Аналіз показників надходження адміністративних справ</w:t>
      </w:r>
      <w:r w:rsidR="0044621A" w:rsidRPr="00205357">
        <w:rPr>
          <w:kern w:val="28"/>
          <w:sz w:val="28"/>
          <w:szCs w:val="28"/>
          <w:lang w:val="uk-UA"/>
        </w:rPr>
        <w:t xml:space="preserve"> у 202</w:t>
      </w:r>
      <w:r w:rsidR="00A37FBC">
        <w:rPr>
          <w:kern w:val="28"/>
          <w:sz w:val="28"/>
          <w:szCs w:val="28"/>
          <w:lang w:val="uk-UA"/>
        </w:rPr>
        <w:t>2</w:t>
      </w:r>
      <w:r w:rsidR="0044621A" w:rsidRPr="00205357">
        <w:rPr>
          <w:kern w:val="28"/>
          <w:sz w:val="28"/>
          <w:szCs w:val="28"/>
          <w:lang w:val="uk-UA"/>
        </w:rPr>
        <w:t xml:space="preserve"> році</w:t>
      </w:r>
      <w:r w:rsidRPr="00205357">
        <w:rPr>
          <w:kern w:val="28"/>
          <w:sz w:val="28"/>
          <w:szCs w:val="28"/>
          <w:lang w:val="uk-UA"/>
        </w:rPr>
        <w:t xml:space="preserve"> показав, що у звітному періоді </w:t>
      </w:r>
      <w:r w:rsidR="0044621A" w:rsidRPr="00205357">
        <w:rPr>
          <w:kern w:val="28"/>
          <w:sz w:val="28"/>
          <w:szCs w:val="28"/>
          <w:lang w:val="uk-UA"/>
        </w:rPr>
        <w:t>найбільшу</w:t>
      </w:r>
      <w:r w:rsidRPr="00205357">
        <w:rPr>
          <w:kern w:val="28"/>
          <w:sz w:val="28"/>
          <w:szCs w:val="28"/>
          <w:lang w:val="uk-UA"/>
        </w:rPr>
        <w:t xml:space="preserve"> кількість справ </w:t>
      </w:r>
      <w:r w:rsidR="0044621A" w:rsidRPr="00205357">
        <w:rPr>
          <w:kern w:val="28"/>
          <w:sz w:val="28"/>
          <w:szCs w:val="28"/>
          <w:lang w:val="uk-UA"/>
        </w:rPr>
        <w:t>становлять справи зі спорів з приводу реалізації публічної політики у сферах праці, зайнятості населення та соціального захисту громадянина</w:t>
      </w:r>
      <w:r w:rsidR="00C82A86">
        <w:rPr>
          <w:kern w:val="28"/>
          <w:sz w:val="28"/>
          <w:szCs w:val="28"/>
          <w:lang w:val="uk-UA"/>
        </w:rPr>
        <w:t>,</w:t>
      </w:r>
      <w:r w:rsidR="0044621A" w:rsidRPr="00205357">
        <w:rPr>
          <w:kern w:val="28"/>
          <w:sz w:val="28"/>
          <w:szCs w:val="28"/>
          <w:lang w:val="uk-UA"/>
        </w:rPr>
        <w:t xml:space="preserve"> спорів у сфері публічної житлової політики (</w:t>
      </w:r>
      <w:r w:rsidR="00A37FBC">
        <w:rPr>
          <w:kern w:val="28"/>
          <w:sz w:val="28"/>
          <w:szCs w:val="28"/>
          <w:lang w:val="uk-UA"/>
        </w:rPr>
        <w:t>8508</w:t>
      </w:r>
      <w:r w:rsidR="0044621A" w:rsidRPr="00205357">
        <w:rPr>
          <w:kern w:val="28"/>
          <w:sz w:val="28"/>
          <w:szCs w:val="28"/>
          <w:lang w:val="uk-UA"/>
        </w:rPr>
        <w:t xml:space="preserve"> або </w:t>
      </w:r>
      <w:r w:rsidR="00A37FBC">
        <w:rPr>
          <w:kern w:val="28"/>
          <w:sz w:val="28"/>
          <w:szCs w:val="28"/>
          <w:lang w:val="uk-UA"/>
        </w:rPr>
        <w:t>68</w:t>
      </w:r>
      <w:r w:rsidR="0044621A" w:rsidRPr="00205357">
        <w:rPr>
          <w:kern w:val="28"/>
          <w:sz w:val="28"/>
          <w:szCs w:val="28"/>
          <w:lang w:val="uk-UA"/>
        </w:rPr>
        <w:t>%). У порівнянні з надходженням справ зазначеної категорії спорів у 20</w:t>
      </w:r>
      <w:r w:rsidR="00A37FBC">
        <w:rPr>
          <w:kern w:val="28"/>
          <w:sz w:val="28"/>
          <w:szCs w:val="28"/>
          <w:lang w:val="uk-UA"/>
        </w:rPr>
        <w:t>21</w:t>
      </w:r>
      <w:r w:rsidR="0044621A" w:rsidRPr="00205357">
        <w:rPr>
          <w:kern w:val="28"/>
          <w:sz w:val="28"/>
          <w:szCs w:val="28"/>
          <w:lang w:val="uk-UA"/>
        </w:rPr>
        <w:t xml:space="preserve"> році (</w:t>
      </w:r>
      <w:r w:rsidR="00A37FBC">
        <w:rPr>
          <w:kern w:val="28"/>
          <w:sz w:val="28"/>
          <w:szCs w:val="28"/>
          <w:lang w:val="uk-UA"/>
        </w:rPr>
        <w:t>10898</w:t>
      </w:r>
      <w:r w:rsidR="0044621A" w:rsidRPr="00205357">
        <w:rPr>
          <w:kern w:val="28"/>
          <w:sz w:val="28"/>
          <w:szCs w:val="28"/>
          <w:lang w:val="uk-UA"/>
        </w:rPr>
        <w:t xml:space="preserve"> – </w:t>
      </w:r>
      <w:r w:rsidR="00A37FBC">
        <w:rPr>
          <w:kern w:val="28"/>
          <w:sz w:val="28"/>
          <w:szCs w:val="28"/>
          <w:lang w:val="uk-UA"/>
        </w:rPr>
        <w:t>60</w:t>
      </w:r>
      <w:r w:rsidR="0044621A" w:rsidRPr="00205357">
        <w:rPr>
          <w:kern w:val="28"/>
          <w:sz w:val="28"/>
          <w:szCs w:val="28"/>
          <w:lang w:val="uk-UA"/>
        </w:rPr>
        <w:t xml:space="preserve">%) показник надходження таких </w:t>
      </w:r>
      <w:r w:rsidR="00C82A86">
        <w:rPr>
          <w:kern w:val="28"/>
          <w:sz w:val="28"/>
          <w:szCs w:val="28"/>
          <w:lang w:val="uk-UA"/>
        </w:rPr>
        <w:t>справ у 202</w:t>
      </w:r>
      <w:r w:rsidR="00A37FBC">
        <w:rPr>
          <w:kern w:val="28"/>
          <w:sz w:val="28"/>
          <w:szCs w:val="28"/>
          <w:lang w:val="uk-UA"/>
        </w:rPr>
        <w:t>2</w:t>
      </w:r>
      <w:r w:rsidR="00C82A86">
        <w:rPr>
          <w:kern w:val="28"/>
          <w:sz w:val="28"/>
          <w:szCs w:val="28"/>
          <w:lang w:val="uk-UA"/>
        </w:rPr>
        <w:t xml:space="preserve"> році </w:t>
      </w:r>
      <w:r w:rsidR="00A37FBC">
        <w:rPr>
          <w:kern w:val="28"/>
          <w:sz w:val="28"/>
          <w:szCs w:val="28"/>
          <w:lang w:val="uk-UA"/>
        </w:rPr>
        <w:t>зменшився</w:t>
      </w:r>
      <w:r w:rsidR="0044621A" w:rsidRPr="00205357">
        <w:rPr>
          <w:kern w:val="28"/>
          <w:sz w:val="28"/>
          <w:szCs w:val="28"/>
          <w:lang w:val="uk-UA"/>
        </w:rPr>
        <w:t xml:space="preserve"> на </w:t>
      </w:r>
      <w:r w:rsidR="00A37FBC">
        <w:rPr>
          <w:kern w:val="28"/>
          <w:sz w:val="28"/>
          <w:szCs w:val="28"/>
          <w:lang w:val="uk-UA"/>
        </w:rPr>
        <w:t>2390</w:t>
      </w:r>
      <w:r w:rsidR="0044621A" w:rsidRPr="00205357">
        <w:rPr>
          <w:kern w:val="28"/>
          <w:sz w:val="28"/>
          <w:szCs w:val="28"/>
          <w:lang w:val="uk-UA"/>
        </w:rPr>
        <w:t xml:space="preserve"> одиниць або на </w:t>
      </w:r>
      <w:r w:rsidR="00A37FBC">
        <w:rPr>
          <w:kern w:val="28"/>
          <w:sz w:val="28"/>
          <w:szCs w:val="28"/>
          <w:lang w:val="uk-UA"/>
        </w:rPr>
        <w:t>22</w:t>
      </w:r>
      <w:r w:rsidR="0044621A" w:rsidRPr="00205357">
        <w:rPr>
          <w:kern w:val="28"/>
          <w:sz w:val="28"/>
          <w:szCs w:val="28"/>
          <w:lang w:val="uk-UA"/>
        </w:rPr>
        <w:t>%.</w:t>
      </w:r>
    </w:p>
    <w:p w14:paraId="6E09E2B7" w14:textId="0C4D4322" w:rsidR="00FE4C10" w:rsidRPr="00205357" w:rsidRDefault="0044621A" w:rsidP="00FE4C10">
      <w:pPr>
        <w:pStyle w:val="a9"/>
        <w:ind w:firstLine="709"/>
        <w:jc w:val="both"/>
        <w:rPr>
          <w:kern w:val="28"/>
          <w:sz w:val="28"/>
          <w:szCs w:val="28"/>
          <w:lang w:val="uk-UA"/>
        </w:rPr>
      </w:pPr>
      <w:r w:rsidRPr="00205357">
        <w:rPr>
          <w:kern w:val="28"/>
          <w:sz w:val="28"/>
          <w:szCs w:val="28"/>
          <w:lang w:val="uk-UA"/>
        </w:rPr>
        <w:t xml:space="preserve">Також значну частку справ </w:t>
      </w:r>
      <w:r w:rsidR="00FE4C10" w:rsidRPr="00205357">
        <w:rPr>
          <w:kern w:val="28"/>
          <w:sz w:val="28"/>
          <w:szCs w:val="28"/>
          <w:lang w:val="uk-UA"/>
        </w:rPr>
        <w:t xml:space="preserve">становлять справи </w:t>
      </w:r>
      <w:r w:rsidR="002545C0" w:rsidRPr="00205357">
        <w:rPr>
          <w:kern w:val="28"/>
          <w:sz w:val="28"/>
          <w:szCs w:val="28"/>
          <w:lang w:val="uk-UA"/>
        </w:rPr>
        <w:t xml:space="preserve">зі спорів з приводу адміністрування податків, зборів, платежів, а також контролю за дотриманням вимог податкового законодавства </w:t>
      </w:r>
      <w:r w:rsidR="00FE4C10" w:rsidRPr="00205357">
        <w:rPr>
          <w:kern w:val="28"/>
          <w:sz w:val="28"/>
          <w:szCs w:val="28"/>
          <w:lang w:val="uk-UA"/>
        </w:rPr>
        <w:t>(</w:t>
      </w:r>
      <w:r w:rsidR="00A37FBC">
        <w:rPr>
          <w:kern w:val="28"/>
          <w:sz w:val="28"/>
          <w:szCs w:val="28"/>
          <w:lang w:val="uk-UA"/>
        </w:rPr>
        <w:t>1177</w:t>
      </w:r>
      <w:r w:rsidR="00C82A86">
        <w:rPr>
          <w:kern w:val="28"/>
          <w:sz w:val="28"/>
          <w:szCs w:val="28"/>
          <w:lang w:val="uk-UA"/>
        </w:rPr>
        <w:t xml:space="preserve"> одиниць </w:t>
      </w:r>
      <w:r w:rsidR="00D845BB" w:rsidRPr="00205357">
        <w:rPr>
          <w:kern w:val="28"/>
          <w:sz w:val="28"/>
          <w:szCs w:val="28"/>
          <w:lang w:val="uk-UA"/>
        </w:rPr>
        <w:t>-</w:t>
      </w:r>
      <w:r w:rsidR="00FE4C10" w:rsidRPr="00205357">
        <w:rPr>
          <w:kern w:val="28"/>
          <w:sz w:val="28"/>
          <w:szCs w:val="28"/>
          <w:lang w:val="uk-UA"/>
        </w:rPr>
        <w:t xml:space="preserve"> </w:t>
      </w:r>
      <w:r w:rsidR="002545C0" w:rsidRPr="00205357">
        <w:rPr>
          <w:kern w:val="28"/>
          <w:sz w:val="28"/>
          <w:szCs w:val="28"/>
          <w:lang w:val="uk-UA"/>
        </w:rPr>
        <w:t>9</w:t>
      </w:r>
      <w:r w:rsidR="00FE4C10" w:rsidRPr="00205357">
        <w:rPr>
          <w:kern w:val="28"/>
          <w:sz w:val="28"/>
          <w:szCs w:val="28"/>
          <w:lang w:val="uk-UA"/>
        </w:rPr>
        <w:t xml:space="preserve">%). </w:t>
      </w:r>
      <w:r w:rsidR="00C82A86">
        <w:rPr>
          <w:kern w:val="28"/>
          <w:sz w:val="28"/>
          <w:szCs w:val="28"/>
          <w:lang w:val="uk-UA"/>
        </w:rPr>
        <w:t>У</w:t>
      </w:r>
      <w:r w:rsidR="00FE4C10" w:rsidRPr="00205357">
        <w:rPr>
          <w:kern w:val="28"/>
          <w:sz w:val="28"/>
          <w:szCs w:val="28"/>
          <w:lang w:val="uk-UA"/>
        </w:rPr>
        <w:t xml:space="preserve"> порівнюваному періоді 20</w:t>
      </w:r>
      <w:r w:rsidR="00A37FBC">
        <w:rPr>
          <w:kern w:val="28"/>
          <w:sz w:val="28"/>
          <w:szCs w:val="28"/>
          <w:lang w:val="uk-UA"/>
        </w:rPr>
        <w:t>21</w:t>
      </w:r>
      <w:r w:rsidR="00FE4C10" w:rsidRPr="00205357">
        <w:rPr>
          <w:kern w:val="28"/>
          <w:sz w:val="28"/>
          <w:szCs w:val="28"/>
          <w:lang w:val="uk-UA"/>
        </w:rPr>
        <w:t xml:space="preserve"> року </w:t>
      </w:r>
      <w:r w:rsidR="002545C0" w:rsidRPr="00205357">
        <w:rPr>
          <w:kern w:val="28"/>
          <w:sz w:val="28"/>
          <w:szCs w:val="28"/>
          <w:lang w:val="uk-UA"/>
        </w:rPr>
        <w:t xml:space="preserve">надходження </w:t>
      </w:r>
      <w:r w:rsidR="00FE4C10" w:rsidRPr="00205357">
        <w:rPr>
          <w:kern w:val="28"/>
          <w:sz w:val="28"/>
          <w:szCs w:val="28"/>
          <w:lang w:val="uk-UA"/>
        </w:rPr>
        <w:t>справ</w:t>
      </w:r>
      <w:r w:rsidR="002545C0" w:rsidRPr="00205357">
        <w:rPr>
          <w:kern w:val="28"/>
          <w:sz w:val="28"/>
          <w:szCs w:val="28"/>
          <w:lang w:val="uk-UA"/>
        </w:rPr>
        <w:t xml:space="preserve"> даної категорії спорів</w:t>
      </w:r>
      <w:r w:rsidR="00FE4C10" w:rsidRPr="00205357">
        <w:rPr>
          <w:kern w:val="28"/>
          <w:sz w:val="28"/>
          <w:szCs w:val="28"/>
          <w:lang w:val="uk-UA"/>
        </w:rPr>
        <w:t xml:space="preserve"> </w:t>
      </w:r>
      <w:r w:rsidR="002545C0" w:rsidRPr="00205357">
        <w:rPr>
          <w:kern w:val="28"/>
          <w:sz w:val="28"/>
          <w:szCs w:val="28"/>
          <w:lang w:val="uk-UA"/>
        </w:rPr>
        <w:t xml:space="preserve">становило </w:t>
      </w:r>
      <w:r w:rsidR="00A37FBC">
        <w:rPr>
          <w:kern w:val="28"/>
          <w:sz w:val="28"/>
          <w:szCs w:val="28"/>
          <w:lang w:val="uk-UA"/>
        </w:rPr>
        <w:t xml:space="preserve">2343 </w:t>
      </w:r>
      <w:r w:rsidR="002545C0" w:rsidRPr="00205357">
        <w:rPr>
          <w:kern w:val="28"/>
          <w:sz w:val="28"/>
          <w:szCs w:val="28"/>
          <w:lang w:val="uk-UA"/>
        </w:rPr>
        <w:t>–</w:t>
      </w:r>
      <w:r w:rsidR="00FE4C10" w:rsidRPr="00205357">
        <w:rPr>
          <w:kern w:val="28"/>
          <w:sz w:val="28"/>
          <w:szCs w:val="28"/>
          <w:lang w:val="uk-UA"/>
        </w:rPr>
        <w:t xml:space="preserve"> </w:t>
      </w:r>
      <w:r w:rsidR="00A37FBC">
        <w:rPr>
          <w:kern w:val="28"/>
          <w:sz w:val="28"/>
          <w:szCs w:val="28"/>
          <w:lang w:val="uk-UA"/>
        </w:rPr>
        <w:t>12,9</w:t>
      </w:r>
      <w:r w:rsidR="002545C0" w:rsidRPr="00205357">
        <w:rPr>
          <w:kern w:val="28"/>
          <w:sz w:val="28"/>
          <w:szCs w:val="28"/>
          <w:lang w:val="uk-UA"/>
        </w:rPr>
        <w:t>%</w:t>
      </w:r>
      <w:r w:rsidR="00C82A86">
        <w:rPr>
          <w:kern w:val="28"/>
          <w:sz w:val="28"/>
          <w:szCs w:val="28"/>
          <w:lang w:val="uk-UA"/>
        </w:rPr>
        <w:t>. Т</w:t>
      </w:r>
      <w:r w:rsidR="008A4F9D" w:rsidRPr="00205357">
        <w:rPr>
          <w:kern w:val="28"/>
          <w:sz w:val="28"/>
          <w:szCs w:val="28"/>
          <w:lang w:val="uk-UA"/>
        </w:rPr>
        <w:t xml:space="preserve">обто </w:t>
      </w:r>
      <w:r w:rsidR="002545C0" w:rsidRPr="00205357">
        <w:rPr>
          <w:kern w:val="28"/>
          <w:sz w:val="28"/>
          <w:szCs w:val="28"/>
          <w:lang w:val="uk-UA"/>
        </w:rPr>
        <w:t xml:space="preserve">надходження </w:t>
      </w:r>
      <w:r w:rsidR="008A4F9D" w:rsidRPr="00205357">
        <w:rPr>
          <w:kern w:val="28"/>
          <w:sz w:val="28"/>
          <w:szCs w:val="28"/>
          <w:lang w:val="uk-UA"/>
        </w:rPr>
        <w:t>зазначених</w:t>
      </w:r>
      <w:r w:rsidR="002545C0" w:rsidRPr="00205357">
        <w:rPr>
          <w:kern w:val="28"/>
          <w:sz w:val="28"/>
          <w:szCs w:val="28"/>
          <w:lang w:val="uk-UA"/>
        </w:rPr>
        <w:t xml:space="preserve"> спорів </w:t>
      </w:r>
      <w:r w:rsidR="00A37FBC">
        <w:rPr>
          <w:kern w:val="28"/>
          <w:sz w:val="28"/>
          <w:szCs w:val="28"/>
          <w:lang w:val="uk-UA"/>
        </w:rPr>
        <w:t>зменшилося</w:t>
      </w:r>
      <w:r w:rsidR="002545C0" w:rsidRPr="00205357">
        <w:rPr>
          <w:kern w:val="28"/>
          <w:sz w:val="28"/>
          <w:szCs w:val="28"/>
          <w:lang w:val="uk-UA"/>
        </w:rPr>
        <w:t xml:space="preserve"> на </w:t>
      </w:r>
      <w:r w:rsidR="00A37FBC">
        <w:rPr>
          <w:kern w:val="28"/>
          <w:sz w:val="28"/>
          <w:szCs w:val="28"/>
          <w:lang w:val="uk-UA"/>
        </w:rPr>
        <w:t>1166</w:t>
      </w:r>
      <w:r w:rsidR="002545C0" w:rsidRPr="00205357">
        <w:rPr>
          <w:kern w:val="28"/>
          <w:sz w:val="28"/>
          <w:szCs w:val="28"/>
          <w:lang w:val="uk-UA"/>
        </w:rPr>
        <w:t xml:space="preserve"> або на </w:t>
      </w:r>
      <w:r w:rsidR="00A37FBC">
        <w:rPr>
          <w:kern w:val="28"/>
          <w:sz w:val="28"/>
          <w:szCs w:val="28"/>
          <w:lang w:val="uk-UA"/>
        </w:rPr>
        <w:t>4</w:t>
      </w:r>
      <w:r w:rsidR="002545C0" w:rsidRPr="00205357">
        <w:rPr>
          <w:kern w:val="28"/>
          <w:sz w:val="28"/>
          <w:szCs w:val="28"/>
          <w:lang w:val="uk-UA"/>
        </w:rPr>
        <w:t>9%</w:t>
      </w:r>
      <w:r w:rsidR="00FE4C10" w:rsidRPr="00205357">
        <w:rPr>
          <w:kern w:val="28"/>
          <w:sz w:val="28"/>
          <w:szCs w:val="28"/>
          <w:lang w:val="uk-UA"/>
        </w:rPr>
        <w:t>.</w:t>
      </w:r>
    </w:p>
    <w:p w14:paraId="0C4B7095" w14:textId="72B35AE8" w:rsidR="001A7654" w:rsidRPr="00205357" w:rsidRDefault="00C82A86" w:rsidP="00FE4C10">
      <w:pPr>
        <w:pStyle w:val="a9"/>
        <w:ind w:firstLine="709"/>
        <w:jc w:val="both"/>
        <w:rPr>
          <w:kern w:val="28"/>
          <w:sz w:val="28"/>
          <w:szCs w:val="28"/>
          <w:lang w:val="uk-UA"/>
        </w:rPr>
      </w:pPr>
      <w:r>
        <w:rPr>
          <w:kern w:val="28"/>
          <w:sz w:val="28"/>
          <w:szCs w:val="28"/>
          <w:lang w:val="uk-UA"/>
        </w:rPr>
        <w:lastRenderedPageBreak/>
        <w:t>У 202</w:t>
      </w:r>
      <w:r w:rsidR="00A37FBC">
        <w:rPr>
          <w:kern w:val="28"/>
          <w:sz w:val="28"/>
          <w:szCs w:val="28"/>
          <w:lang w:val="uk-UA"/>
        </w:rPr>
        <w:t>2</w:t>
      </w:r>
      <w:r>
        <w:rPr>
          <w:kern w:val="28"/>
          <w:sz w:val="28"/>
          <w:szCs w:val="28"/>
          <w:lang w:val="uk-UA"/>
        </w:rPr>
        <w:t xml:space="preserve"> році з</w:t>
      </w:r>
      <w:r w:rsidR="001A7654" w:rsidRPr="00205357">
        <w:rPr>
          <w:kern w:val="28"/>
          <w:sz w:val="28"/>
          <w:szCs w:val="28"/>
          <w:lang w:val="uk-UA"/>
        </w:rPr>
        <w:t>меншився</w:t>
      </w:r>
      <w:r w:rsidR="00FE4C10" w:rsidRPr="00205357">
        <w:rPr>
          <w:kern w:val="28"/>
          <w:sz w:val="28"/>
          <w:szCs w:val="28"/>
          <w:lang w:val="uk-UA"/>
        </w:rPr>
        <w:t xml:space="preserve"> показник надходження справ зі спорів у сфері економіки</w:t>
      </w:r>
      <w:r w:rsidR="00A37FBC">
        <w:rPr>
          <w:kern w:val="28"/>
          <w:sz w:val="28"/>
          <w:szCs w:val="28"/>
          <w:lang w:val="uk-UA"/>
        </w:rPr>
        <w:t xml:space="preserve"> та публічної фінансової політики</w:t>
      </w:r>
      <w:r w:rsidR="00FE4C10" w:rsidRPr="00205357">
        <w:rPr>
          <w:kern w:val="28"/>
          <w:sz w:val="28"/>
          <w:szCs w:val="28"/>
          <w:lang w:val="uk-UA"/>
        </w:rPr>
        <w:t xml:space="preserve"> у порівнянні з 20</w:t>
      </w:r>
      <w:r w:rsidR="00A37FBC">
        <w:rPr>
          <w:kern w:val="28"/>
          <w:sz w:val="28"/>
          <w:szCs w:val="28"/>
          <w:lang w:val="uk-UA"/>
        </w:rPr>
        <w:t>21</w:t>
      </w:r>
      <w:r w:rsidR="00FE4C10" w:rsidRPr="00205357">
        <w:rPr>
          <w:kern w:val="28"/>
          <w:sz w:val="28"/>
          <w:szCs w:val="28"/>
          <w:lang w:val="uk-UA"/>
        </w:rPr>
        <w:t xml:space="preserve"> роком</w:t>
      </w:r>
      <w:r w:rsidR="001A7654" w:rsidRPr="00205357">
        <w:rPr>
          <w:kern w:val="28"/>
          <w:sz w:val="28"/>
          <w:szCs w:val="28"/>
          <w:lang w:val="uk-UA"/>
        </w:rPr>
        <w:t xml:space="preserve"> та справ зі спорів з приводу забезпечення сталого розвитку населених пунктів та землекористування</w:t>
      </w:r>
      <w:r w:rsidR="00FE4C10" w:rsidRPr="00205357">
        <w:rPr>
          <w:kern w:val="28"/>
          <w:sz w:val="28"/>
          <w:szCs w:val="28"/>
          <w:lang w:val="uk-UA"/>
        </w:rPr>
        <w:t xml:space="preserve">. Так, частка справ зі спорів у сфері економіки </w:t>
      </w:r>
      <w:r w:rsidR="00A37FBC">
        <w:rPr>
          <w:kern w:val="28"/>
          <w:sz w:val="28"/>
          <w:szCs w:val="28"/>
          <w:lang w:val="uk-UA"/>
        </w:rPr>
        <w:t>та публічної фінансової політики</w:t>
      </w:r>
      <w:r w:rsidR="00A37FBC" w:rsidRPr="00205357">
        <w:rPr>
          <w:kern w:val="28"/>
          <w:sz w:val="28"/>
          <w:szCs w:val="28"/>
          <w:lang w:val="uk-UA"/>
        </w:rPr>
        <w:t xml:space="preserve"> </w:t>
      </w:r>
      <w:r w:rsidR="001A7654" w:rsidRPr="00205357">
        <w:rPr>
          <w:kern w:val="28"/>
          <w:sz w:val="28"/>
          <w:szCs w:val="28"/>
          <w:lang w:val="uk-UA"/>
        </w:rPr>
        <w:t>зменшилась</w:t>
      </w:r>
      <w:r w:rsidR="00FE4C10" w:rsidRPr="00205357">
        <w:rPr>
          <w:kern w:val="28"/>
          <w:sz w:val="28"/>
          <w:szCs w:val="28"/>
          <w:lang w:val="uk-UA"/>
        </w:rPr>
        <w:t xml:space="preserve"> на </w:t>
      </w:r>
      <w:r w:rsidR="00A37FBC">
        <w:rPr>
          <w:kern w:val="28"/>
          <w:sz w:val="28"/>
          <w:szCs w:val="28"/>
          <w:lang w:val="uk-UA"/>
        </w:rPr>
        <w:t>60,5</w:t>
      </w:r>
      <w:r w:rsidR="00FE4C10" w:rsidRPr="00205357">
        <w:rPr>
          <w:kern w:val="28"/>
          <w:sz w:val="28"/>
          <w:szCs w:val="28"/>
          <w:lang w:val="uk-UA"/>
        </w:rPr>
        <w:t xml:space="preserve">% (з </w:t>
      </w:r>
      <w:r w:rsidR="00A37FBC">
        <w:rPr>
          <w:kern w:val="28"/>
          <w:sz w:val="28"/>
          <w:szCs w:val="28"/>
          <w:lang w:val="uk-UA"/>
        </w:rPr>
        <w:t>571</w:t>
      </w:r>
      <w:r>
        <w:rPr>
          <w:kern w:val="28"/>
          <w:sz w:val="28"/>
          <w:szCs w:val="28"/>
          <w:lang w:val="uk-UA"/>
        </w:rPr>
        <w:t xml:space="preserve"> </w:t>
      </w:r>
      <w:r w:rsidR="00D845BB" w:rsidRPr="00205357">
        <w:rPr>
          <w:kern w:val="28"/>
          <w:sz w:val="28"/>
          <w:szCs w:val="28"/>
          <w:lang w:val="uk-UA"/>
        </w:rPr>
        <w:t>-</w:t>
      </w:r>
      <w:r w:rsidR="00FE4C10" w:rsidRPr="00205357">
        <w:rPr>
          <w:kern w:val="28"/>
          <w:sz w:val="28"/>
          <w:szCs w:val="28"/>
          <w:lang w:val="uk-UA"/>
        </w:rPr>
        <w:t xml:space="preserve"> </w:t>
      </w:r>
      <w:r w:rsidR="00A37FBC">
        <w:rPr>
          <w:kern w:val="28"/>
          <w:sz w:val="28"/>
          <w:szCs w:val="28"/>
          <w:lang w:val="uk-UA"/>
        </w:rPr>
        <w:t>3</w:t>
      </w:r>
      <w:r w:rsidR="00FE4C10" w:rsidRPr="00205357">
        <w:rPr>
          <w:kern w:val="28"/>
          <w:sz w:val="28"/>
          <w:szCs w:val="28"/>
          <w:lang w:val="uk-UA"/>
        </w:rPr>
        <w:t>%</w:t>
      </w:r>
      <w:r w:rsidR="001A7654" w:rsidRPr="00205357">
        <w:rPr>
          <w:kern w:val="28"/>
          <w:sz w:val="28"/>
          <w:szCs w:val="28"/>
          <w:lang w:val="uk-UA"/>
        </w:rPr>
        <w:t xml:space="preserve"> у 20</w:t>
      </w:r>
      <w:r w:rsidR="00A37FBC">
        <w:rPr>
          <w:kern w:val="28"/>
          <w:sz w:val="28"/>
          <w:szCs w:val="28"/>
          <w:lang w:val="uk-UA"/>
        </w:rPr>
        <w:t>21</w:t>
      </w:r>
      <w:r w:rsidR="00F53796" w:rsidRPr="00205357">
        <w:rPr>
          <w:kern w:val="28"/>
          <w:sz w:val="28"/>
          <w:szCs w:val="28"/>
          <w:lang w:val="uk-UA"/>
        </w:rPr>
        <w:t xml:space="preserve"> році</w:t>
      </w:r>
      <w:r w:rsidR="00FE4C10" w:rsidRPr="00205357">
        <w:rPr>
          <w:kern w:val="28"/>
          <w:sz w:val="28"/>
          <w:szCs w:val="28"/>
          <w:lang w:val="uk-UA"/>
        </w:rPr>
        <w:t xml:space="preserve"> до </w:t>
      </w:r>
      <w:r w:rsidR="00A37FBC">
        <w:rPr>
          <w:kern w:val="28"/>
          <w:sz w:val="28"/>
          <w:szCs w:val="28"/>
          <w:lang w:val="uk-UA"/>
        </w:rPr>
        <w:t>225</w:t>
      </w:r>
      <w:r w:rsidR="00FE4C10" w:rsidRPr="00205357">
        <w:rPr>
          <w:kern w:val="28"/>
          <w:sz w:val="28"/>
          <w:szCs w:val="28"/>
          <w:lang w:val="uk-UA"/>
        </w:rPr>
        <w:t xml:space="preserve"> </w:t>
      </w:r>
      <w:r w:rsidR="001A7654" w:rsidRPr="00205357">
        <w:rPr>
          <w:kern w:val="28"/>
          <w:sz w:val="28"/>
          <w:szCs w:val="28"/>
          <w:lang w:val="uk-UA"/>
        </w:rPr>
        <w:t>–</w:t>
      </w:r>
      <w:r w:rsidR="00FE4C10" w:rsidRPr="00205357">
        <w:rPr>
          <w:kern w:val="28"/>
          <w:sz w:val="28"/>
          <w:szCs w:val="28"/>
          <w:lang w:val="uk-UA"/>
        </w:rPr>
        <w:t xml:space="preserve"> </w:t>
      </w:r>
      <w:r w:rsidR="00A37FBC">
        <w:rPr>
          <w:kern w:val="28"/>
          <w:sz w:val="28"/>
          <w:szCs w:val="28"/>
          <w:lang w:val="uk-UA"/>
        </w:rPr>
        <w:t>2</w:t>
      </w:r>
      <w:r w:rsidR="00FE4C10" w:rsidRPr="00205357">
        <w:rPr>
          <w:kern w:val="28"/>
          <w:sz w:val="28"/>
          <w:szCs w:val="28"/>
          <w:lang w:val="uk-UA"/>
        </w:rPr>
        <w:t>%</w:t>
      </w:r>
      <w:r w:rsidR="001A7654" w:rsidRPr="00205357">
        <w:rPr>
          <w:kern w:val="28"/>
          <w:sz w:val="28"/>
          <w:szCs w:val="28"/>
          <w:lang w:val="uk-UA"/>
        </w:rPr>
        <w:t xml:space="preserve"> у 202</w:t>
      </w:r>
      <w:r w:rsidR="00A37FBC">
        <w:rPr>
          <w:kern w:val="28"/>
          <w:sz w:val="28"/>
          <w:szCs w:val="28"/>
          <w:lang w:val="uk-UA"/>
        </w:rPr>
        <w:t>2</w:t>
      </w:r>
      <w:r w:rsidR="00F53796" w:rsidRPr="00205357">
        <w:rPr>
          <w:kern w:val="28"/>
          <w:sz w:val="28"/>
          <w:szCs w:val="28"/>
          <w:lang w:val="uk-UA"/>
        </w:rPr>
        <w:t xml:space="preserve"> році</w:t>
      </w:r>
      <w:r w:rsidR="001A7654" w:rsidRPr="00205357">
        <w:rPr>
          <w:kern w:val="28"/>
          <w:sz w:val="28"/>
          <w:szCs w:val="28"/>
          <w:lang w:val="uk-UA"/>
        </w:rPr>
        <w:t xml:space="preserve">), а </w:t>
      </w:r>
      <w:r>
        <w:rPr>
          <w:kern w:val="28"/>
          <w:sz w:val="28"/>
          <w:szCs w:val="28"/>
          <w:lang w:val="uk-UA"/>
        </w:rPr>
        <w:t xml:space="preserve">частка </w:t>
      </w:r>
      <w:r w:rsidR="001A7654" w:rsidRPr="00205357">
        <w:rPr>
          <w:kern w:val="28"/>
          <w:sz w:val="28"/>
          <w:szCs w:val="28"/>
          <w:lang w:val="uk-UA"/>
        </w:rPr>
        <w:t xml:space="preserve">справ зі спорів з приводу забезпечення сталого розвитку населених пунктів та землекористування на </w:t>
      </w:r>
      <w:r w:rsidR="00A37FBC">
        <w:rPr>
          <w:kern w:val="28"/>
          <w:sz w:val="28"/>
          <w:szCs w:val="28"/>
          <w:lang w:val="uk-UA"/>
        </w:rPr>
        <w:t>2,7</w:t>
      </w:r>
      <w:r w:rsidR="001A7654" w:rsidRPr="00205357">
        <w:rPr>
          <w:kern w:val="28"/>
          <w:sz w:val="28"/>
          <w:szCs w:val="28"/>
          <w:lang w:val="uk-UA"/>
        </w:rPr>
        <w:t xml:space="preserve">% (з </w:t>
      </w:r>
      <w:r w:rsidR="00A37FBC">
        <w:rPr>
          <w:kern w:val="28"/>
          <w:sz w:val="28"/>
          <w:szCs w:val="28"/>
          <w:lang w:val="uk-UA"/>
        </w:rPr>
        <w:t>1085</w:t>
      </w:r>
      <w:r>
        <w:rPr>
          <w:kern w:val="28"/>
          <w:sz w:val="28"/>
          <w:szCs w:val="28"/>
          <w:lang w:val="uk-UA"/>
        </w:rPr>
        <w:t xml:space="preserve"> </w:t>
      </w:r>
      <w:r w:rsidR="00A37FBC">
        <w:rPr>
          <w:kern w:val="28"/>
          <w:sz w:val="28"/>
          <w:szCs w:val="28"/>
          <w:lang w:val="uk-UA"/>
        </w:rPr>
        <w:t>справ</w:t>
      </w:r>
      <w:r w:rsidR="001A7654" w:rsidRPr="00205357">
        <w:rPr>
          <w:kern w:val="28"/>
          <w:sz w:val="28"/>
          <w:szCs w:val="28"/>
          <w:lang w:val="uk-UA"/>
        </w:rPr>
        <w:t xml:space="preserve"> – </w:t>
      </w:r>
      <w:r w:rsidR="00A37FBC">
        <w:rPr>
          <w:kern w:val="28"/>
          <w:sz w:val="28"/>
          <w:szCs w:val="28"/>
          <w:lang w:val="uk-UA"/>
        </w:rPr>
        <w:t>6</w:t>
      </w:r>
      <w:r w:rsidR="001A7654" w:rsidRPr="00205357">
        <w:rPr>
          <w:kern w:val="28"/>
          <w:sz w:val="28"/>
          <w:szCs w:val="28"/>
          <w:lang w:val="uk-UA"/>
        </w:rPr>
        <w:t>% у 20</w:t>
      </w:r>
      <w:r w:rsidR="00A37FBC">
        <w:rPr>
          <w:kern w:val="28"/>
          <w:sz w:val="28"/>
          <w:szCs w:val="28"/>
          <w:lang w:val="uk-UA"/>
        </w:rPr>
        <w:t>21</w:t>
      </w:r>
      <w:r w:rsidR="001A7654" w:rsidRPr="00205357">
        <w:rPr>
          <w:kern w:val="28"/>
          <w:sz w:val="28"/>
          <w:szCs w:val="28"/>
          <w:lang w:val="uk-UA"/>
        </w:rPr>
        <w:t xml:space="preserve"> році до </w:t>
      </w:r>
      <w:r w:rsidR="00A37FBC">
        <w:rPr>
          <w:kern w:val="28"/>
          <w:sz w:val="28"/>
          <w:szCs w:val="28"/>
          <w:lang w:val="uk-UA"/>
        </w:rPr>
        <w:t>850</w:t>
      </w:r>
      <w:r w:rsidR="001A7654" w:rsidRPr="00205357">
        <w:rPr>
          <w:kern w:val="28"/>
          <w:sz w:val="28"/>
          <w:szCs w:val="28"/>
          <w:lang w:val="uk-UA"/>
        </w:rPr>
        <w:t xml:space="preserve"> – </w:t>
      </w:r>
      <w:r w:rsidR="00A37FBC">
        <w:rPr>
          <w:kern w:val="28"/>
          <w:sz w:val="28"/>
          <w:szCs w:val="28"/>
          <w:lang w:val="uk-UA"/>
        </w:rPr>
        <w:t>7</w:t>
      </w:r>
      <w:r w:rsidR="001A7654" w:rsidRPr="00205357">
        <w:rPr>
          <w:kern w:val="28"/>
          <w:sz w:val="28"/>
          <w:szCs w:val="28"/>
          <w:lang w:val="uk-UA"/>
        </w:rPr>
        <w:t>% у 202</w:t>
      </w:r>
      <w:r w:rsidR="00A37FBC">
        <w:rPr>
          <w:kern w:val="28"/>
          <w:sz w:val="28"/>
          <w:szCs w:val="28"/>
          <w:lang w:val="uk-UA"/>
        </w:rPr>
        <w:t>2</w:t>
      </w:r>
      <w:r w:rsidR="001A7654" w:rsidRPr="00205357">
        <w:rPr>
          <w:kern w:val="28"/>
          <w:sz w:val="28"/>
          <w:szCs w:val="28"/>
          <w:lang w:val="uk-UA"/>
        </w:rPr>
        <w:t xml:space="preserve"> році).</w:t>
      </w:r>
    </w:p>
    <w:p w14:paraId="452ABF66" w14:textId="0B464024" w:rsidR="00FE4C10" w:rsidRPr="00205357" w:rsidRDefault="00C82A86" w:rsidP="00FE4C10">
      <w:pPr>
        <w:pStyle w:val="a9"/>
        <w:ind w:firstLine="709"/>
        <w:jc w:val="both"/>
        <w:rPr>
          <w:kern w:val="28"/>
          <w:sz w:val="28"/>
          <w:szCs w:val="28"/>
          <w:lang w:val="uk-UA"/>
        </w:rPr>
      </w:pPr>
      <w:r>
        <w:rPr>
          <w:kern w:val="28"/>
          <w:sz w:val="28"/>
          <w:szCs w:val="28"/>
          <w:lang w:val="uk-UA"/>
        </w:rPr>
        <w:t>Водночас, у</w:t>
      </w:r>
      <w:r w:rsidR="001D4CFE" w:rsidRPr="00205357">
        <w:rPr>
          <w:kern w:val="28"/>
          <w:sz w:val="28"/>
          <w:szCs w:val="28"/>
          <w:lang w:val="uk-UA"/>
        </w:rPr>
        <w:t xml:space="preserve"> 20</w:t>
      </w:r>
      <w:r w:rsidR="00A37FBC">
        <w:rPr>
          <w:kern w:val="28"/>
          <w:sz w:val="28"/>
          <w:szCs w:val="28"/>
          <w:lang w:val="uk-UA"/>
        </w:rPr>
        <w:t>22</w:t>
      </w:r>
      <w:r w:rsidR="001D4CFE" w:rsidRPr="00205357">
        <w:rPr>
          <w:kern w:val="28"/>
          <w:sz w:val="28"/>
          <w:szCs w:val="28"/>
          <w:lang w:val="uk-UA"/>
        </w:rPr>
        <w:t xml:space="preserve"> році спостерігається збільшення </w:t>
      </w:r>
      <w:r>
        <w:rPr>
          <w:kern w:val="28"/>
          <w:sz w:val="28"/>
          <w:szCs w:val="28"/>
          <w:lang w:val="uk-UA"/>
        </w:rPr>
        <w:t xml:space="preserve">надходження </w:t>
      </w:r>
      <w:r w:rsidR="00FE4C10" w:rsidRPr="00205357">
        <w:rPr>
          <w:kern w:val="28"/>
          <w:sz w:val="28"/>
          <w:szCs w:val="28"/>
          <w:lang w:val="uk-UA"/>
        </w:rPr>
        <w:t xml:space="preserve">спорів з </w:t>
      </w:r>
      <w:r w:rsidR="001A7654" w:rsidRPr="00205357">
        <w:rPr>
          <w:kern w:val="28"/>
          <w:sz w:val="28"/>
          <w:szCs w:val="28"/>
          <w:lang w:val="uk-UA"/>
        </w:rPr>
        <w:t>відносин публічної служби</w:t>
      </w:r>
      <w:r w:rsidR="00FE4C10" w:rsidRPr="00205357">
        <w:rPr>
          <w:kern w:val="28"/>
          <w:sz w:val="28"/>
          <w:szCs w:val="28"/>
          <w:lang w:val="uk-UA"/>
        </w:rPr>
        <w:t xml:space="preserve"> на </w:t>
      </w:r>
      <w:r w:rsidR="00A37FBC">
        <w:rPr>
          <w:kern w:val="28"/>
          <w:sz w:val="28"/>
          <w:szCs w:val="28"/>
          <w:lang w:val="uk-UA"/>
        </w:rPr>
        <w:t>48,9</w:t>
      </w:r>
      <w:r w:rsidR="00FE4C10" w:rsidRPr="00205357">
        <w:rPr>
          <w:kern w:val="28"/>
          <w:sz w:val="28"/>
          <w:szCs w:val="28"/>
          <w:lang w:val="uk-UA"/>
        </w:rPr>
        <w:t>%</w:t>
      </w:r>
      <w:r w:rsidR="001A7654" w:rsidRPr="00205357">
        <w:rPr>
          <w:kern w:val="28"/>
          <w:sz w:val="28"/>
          <w:szCs w:val="28"/>
          <w:lang w:val="uk-UA"/>
        </w:rPr>
        <w:t xml:space="preserve"> (з </w:t>
      </w:r>
      <w:r w:rsidR="00A37FBC">
        <w:rPr>
          <w:kern w:val="28"/>
          <w:sz w:val="28"/>
          <w:szCs w:val="28"/>
          <w:lang w:val="uk-UA"/>
        </w:rPr>
        <w:t>571</w:t>
      </w:r>
      <w:r>
        <w:rPr>
          <w:kern w:val="28"/>
          <w:sz w:val="28"/>
          <w:szCs w:val="28"/>
          <w:lang w:val="uk-UA"/>
        </w:rPr>
        <w:t xml:space="preserve"> одиниць </w:t>
      </w:r>
      <w:r w:rsidR="001A7654" w:rsidRPr="00205357">
        <w:rPr>
          <w:kern w:val="28"/>
          <w:sz w:val="28"/>
          <w:szCs w:val="28"/>
          <w:lang w:val="uk-UA"/>
        </w:rPr>
        <w:t xml:space="preserve">– </w:t>
      </w:r>
      <w:r w:rsidR="00A37FBC">
        <w:rPr>
          <w:kern w:val="28"/>
          <w:sz w:val="28"/>
          <w:szCs w:val="28"/>
          <w:lang w:val="uk-UA"/>
        </w:rPr>
        <w:t>3</w:t>
      </w:r>
      <w:r w:rsidR="001A7654" w:rsidRPr="00205357">
        <w:rPr>
          <w:kern w:val="28"/>
          <w:sz w:val="28"/>
          <w:szCs w:val="28"/>
          <w:lang w:val="uk-UA"/>
        </w:rPr>
        <w:t>% у 20</w:t>
      </w:r>
      <w:r w:rsidR="00A37FBC">
        <w:rPr>
          <w:kern w:val="28"/>
          <w:sz w:val="28"/>
          <w:szCs w:val="28"/>
          <w:lang w:val="uk-UA"/>
        </w:rPr>
        <w:t>21</w:t>
      </w:r>
      <w:r w:rsidR="001A7654" w:rsidRPr="00205357">
        <w:rPr>
          <w:kern w:val="28"/>
          <w:sz w:val="28"/>
          <w:szCs w:val="28"/>
          <w:lang w:val="uk-UA"/>
        </w:rPr>
        <w:t xml:space="preserve"> році до 977 – 6,6% у 2020 році)</w:t>
      </w:r>
      <w:r w:rsidR="00FE4C10" w:rsidRPr="00205357">
        <w:rPr>
          <w:kern w:val="28"/>
          <w:sz w:val="28"/>
          <w:szCs w:val="28"/>
          <w:lang w:val="uk-UA"/>
        </w:rPr>
        <w:t xml:space="preserve">. </w:t>
      </w:r>
    </w:p>
    <w:p w14:paraId="13FD7989" w14:textId="79736F64" w:rsidR="00D41BF5" w:rsidRPr="00205357" w:rsidRDefault="001D4CFE" w:rsidP="00FE4C10">
      <w:pPr>
        <w:pStyle w:val="a9"/>
        <w:ind w:firstLine="709"/>
        <w:jc w:val="both"/>
        <w:rPr>
          <w:color w:val="000000" w:themeColor="text1"/>
          <w:kern w:val="28"/>
          <w:sz w:val="28"/>
          <w:szCs w:val="28"/>
          <w:lang w:val="uk-UA"/>
        </w:rPr>
      </w:pPr>
      <w:r w:rsidRPr="00205357">
        <w:rPr>
          <w:color w:val="000000" w:themeColor="text1"/>
          <w:kern w:val="28"/>
          <w:sz w:val="28"/>
          <w:szCs w:val="28"/>
          <w:lang w:val="uk-UA"/>
        </w:rPr>
        <w:t>Разом з тим,</w:t>
      </w:r>
      <w:r w:rsidR="00FE4C10" w:rsidRPr="00205357">
        <w:rPr>
          <w:color w:val="000000" w:themeColor="text1"/>
          <w:kern w:val="28"/>
          <w:sz w:val="28"/>
          <w:szCs w:val="28"/>
          <w:lang w:val="uk-UA"/>
        </w:rPr>
        <w:t xml:space="preserve"> у звітному періоді </w:t>
      </w:r>
      <w:r w:rsidR="00C82A86">
        <w:rPr>
          <w:color w:val="000000" w:themeColor="text1"/>
          <w:kern w:val="28"/>
          <w:sz w:val="28"/>
          <w:szCs w:val="28"/>
          <w:lang w:val="uk-UA"/>
        </w:rPr>
        <w:t>в</w:t>
      </w:r>
      <w:r w:rsidR="00FE4C10" w:rsidRPr="00205357">
        <w:rPr>
          <w:color w:val="000000" w:themeColor="text1"/>
          <w:kern w:val="28"/>
          <w:sz w:val="28"/>
          <w:szCs w:val="28"/>
          <w:lang w:val="uk-UA"/>
        </w:rPr>
        <w:t xml:space="preserve"> порівнянні з минулим </w:t>
      </w:r>
      <w:r w:rsidR="00C82A86">
        <w:rPr>
          <w:color w:val="000000" w:themeColor="text1"/>
          <w:kern w:val="28"/>
          <w:sz w:val="28"/>
          <w:szCs w:val="28"/>
          <w:lang w:val="uk-UA"/>
        </w:rPr>
        <w:t xml:space="preserve">роком </w:t>
      </w:r>
      <w:r w:rsidR="00F41DB5">
        <w:rPr>
          <w:color w:val="000000" w:themeColor="text1"/>
          <w:kern w:val="28"/>
          <w:sz w:val="28"/>
          <w:szCs w:val="28"/>
          <w:lang w:val="uk-UA"/>
        </w:rPr>
        <w:t xml:space="preserve">зменшилася кількість спорів </w:t>
      </w:r>
      <w:r w:rsidR="00135C77">
        <w:rPr>
          <w:color w:val="000000" w:themeColor="text1"/>
          <w:kern w:val="28"/>
          <w:sz w:val="28"/>
          <w:szCs w:val="28"/>
          <w:lang w:val="uk-UA"/>
        </w:rPr>
        <w:t xml:space="preserve">з </w:t>
      </w:r>
      <w:r w:rsidR="00FE4C10" w:rsidRPr="00205357">
        <w:rPr>
          <w:color w:val="000000" w:themeColor="text1"/>
          <w:kern w:val="28"/>
          <w:sz w:val="28"/>
          <w:szCs w:val="28"/>
          <w:lang w:val="uk-UA"/>
        </w:rPr>
        <w:t>приводу забезпечення громадського порядку, національної безпеки та оборони України</w:t>
      </w:r>
      <w:r w:rsidR="00F41DB5">
        <w:rPr>
          <w:color w:val="000000" w:themeColor="text1"/>
          <w:kern w:val="28"/>
          <w:sz w:val="28"/>
          <w:szCs w:val="28"/>
          <w:lang w:val="uk-UA"/>
        </w:rPr>
        <w:t xml:space="preserve"> </w:t>
      </w:r>
      <w:r w:rsidRPr="00205357">
        <w:rPr>
          <w:color w:val="000000" w:themeColor="text1"/>
          <w:kern w:val="28"/>
          <w:sz w:val="28"/>
          <w:szCs w:val="28"/>
          <w:lang w:val="uk-UA"/>
        </w:rPr>
        <w:t xml:space="preserve">– </w:t>
      </w:r>
      <w:r w:rsidR="00F41DB5">
        <w:rPr>
          <w:color w:val="000000" w:themeColor="text1"/>
          <w:kern w:val="28"/>
          <w:sz w:val="28"/>
          <w:szCs w:val="28"/>
          <w:lang w:val="uk-UA"/>
        </w:rPr>
        <w:t>з 665 (4</w:t>
      </w:r>
      <w:r w:rsidRPr="00205357">
        <w:rPr>
          <w:color w:val="000000" w:themeColor="text1"/>
          <w:kern w:val="28"/>
          <w:sz w:val="28"/>
          <w:szCs w:val="28"/>
          <w:lang w:val="uk-UA"/>
        </w:rPr>
        <w:t>%</w:t>
      </w:r>
      <w:r w:rsidR="00F41DB5">
        <w:rPr>
          <w:color w:val="000000" w:themeColor="text1"/>
          <w:kern w:val="28"/>
          <w:sz w:val="28"/>
          <w:szCs w:val="28"/>
          <w:lang w:val="uk-UA"/>
        </w:rPr>
        <w:t>)</w:t>
      </w:r>
      <w:r w:rsidR="00D41BF5" w:rsidRPr="00205357">
        <w:rPr>
          <w:color w:val="000000" w:themeColor="text1"/>
          <w:kern w:val="28"/>
          <w:sz w:val="28"/>
          <w:szCs w:val="28"/>
          <w:lang w:val="uk-UA"/>
        </w:rPr>
        <w:t xml:space="preserve"> у 20</w:t>
      </w:r>
      <w:r w:rsidR="00F41DB5">
        <w:rPr>
          <w:color w:val="000000" w:themeColor="text1"/>
          <w:kern w:val="28"/>
          <w:sz w:val="28"/>
          <w:szCs w:val="28"/>
          <w:lang w:val="uk-UA"/>
        </w:rPr>
        <w:t>21</w:t>
      </w:r>
      <w:r w:rsidR="00D41BF5" w:rsidRPr="00205357">
        <w:rPr>
          <w:color w:val="000000" w:themeColor="text1"/>
          <w:kern w:val="28"/>
          <w:sz w:val="28"/>
          <w:szCs w:val="28"/>
          <w:lang w:val="uk-UA"/>
        </w:rPr>
        <w:t xml:space="preserve"> році </w:t>
      </w:r>
      <w:r w:rsidR="00F41DB5">
        <w:rPr>
          <w:color w:val="000000" w:themeColor="text1"/>
          <w:kern w:val="28"/>
          <w:sz w:val="28"/>
          <w:szCs w:val="28"/>
          <w:lang w:val="uk-UA"/>
        </w:rPr>
        <w:t>до 256 (2</w:t>
      </w:r>
      <w:r w:rsidR="00C82A86">
        <w:rPr>
          <w:color w:val="000000" w:themeColor="text1"/>
          <w:kern w:val="28"/>
          <w:sz w:val="28"/>
          <w:szCs w:val="28"/>
          <w:lang w:val="uk-UA"/>
        </w:rPr>
        <w:t>%</w:t>
      </w:r>
      <w:r w:rsidR="00F41DB5">
        <w:rPr>
          <w:color w:val="000000" w:themeColor="text1"/>
          <w:kern w:val="28"/>
          <w:sz w:val="28"/>
          <w:szCs w:val="28"/>
          <w:lang w:val="uk-UA"/>
        </w:rPr>
        <w:t>)</w:t>
      </w:r>
      <w:r w:rsidR="00D41BF5" w:rsidRPr="00205357">
        <w:rPr>
          <w:color w:val="000000" w:themeColor="text1"/>
          <w:kern w:val="28"/>
          <w:sz w:val="28"/>
          <w:szCs w:val="28"/>
          <w:lang w:val="uk-UA"/>
        </w:rPr>
        <w:t xml:space="preserve"> у 202</w:t>
      </w:r>
      <w:r w:rsidR="00F41DB5">
        <w:rPr>
          <w:color w:val="000000" w:themeColor="text1"/>
          <w:kern w:val="28"/>
          <w:sz w:val="28"/>
          <w:szCs w:val="28"/>
          <w:lang w:val="uk-UA"/>
        </w:rPr>
        <w:t>2</w:t>
      </w:r>
      <w:r w:rsidR="00D41BF5" w:rsidRPr="00205357">
        <w:rPr>
          <w:color w:val="000000" w:themeColor="text1"/>
          <w:kern w:val="28"/>
          <w:sz w:val="28"/>
          <w:szCs w:val="28"/>
          <w:lang w:val="uk-UA"/>
        </w:rPr>
        <w:t xml:space="preserve"> році</w:t>
      </w:r>
      <w:r w:rsidR="00F41DB5">
        <w:rPr>
          <w:color w:val="000000" w:themeColor="text1"/>
          <w:kern w:val="28"/>
          <w:sz w:val="28"/>
          <w:szCs w:val="28"/>
          <w:lang w:val="uk-UA"/>
        </w:rPr>
        <w:t>.</w:t>
      </w:r>
    </w:p>
    <w:p w14:paraId="7E2C2933" w14:textId="59F6B294" w:rsidR="00FE4C10" w:rsidRPr="00205357" w:rsidRDefault="00FE4C10" w:rsidP="00FE4C10">
      <w:pPr>
        <w:pStyle w:val="a9"/>
        <w:ind w:firstLine="709"/>
        <w:jc w:val="both"/>
        <w:rPr>
          <w:color w:val="000000" w:themeColor="text1"/>
          <w:kern w:val="28"/>
          <w:sz w:val="28"/>
          <w:szCs w:val="28"/>
          <w:lang w:val="uk-UA"/>
        </w:rPr>
      </w:pPr>
      <w:r w:rsidRPr="00205357">
        <w:rPr>
          <w:color w:val="000000" w:themeColor="text1"/>
          <w:kern w:val="28"/>
          <w:sz w:val="28"/>
          <w:szCs w:val="28"/>
          <w:lang w:val="uk-UA"/>
        </w:rPr>
        <w:t>Щодо</w:t>
      </w:r>
      <w:r w:rsidR="00C82A86">
        <w:rPr>
          <w:color w:val="000000" w:themeColor="text1"/>
          <w:kern w:val="28"/>
          <w:sz w:val="28"/>
          <w:szCs w:val="28"/>
          <w:lang w:val="uk-UA"/>
        </w:rPr>
        <w:t xml:space="preserve"> </w:t>
      </w:r>
      <w:r w:rsidRPr="00205357">
        <w:rPr>
          <w:color w:val="000000" w:themeColor="text1"/>
          <w:kern w:val="28"/>
          <w:sz w:val="28"/>
          <w:szCs w:val="28"/>
          <w:lang w:val="uk-UA"/>
        </w:rPr>
        <w:t>справ</w:t>
      </w:r>
      <w:r w:rsidR="00566199" w:rsidRPr="00566199">
        <w:rPr>
          <w:color w:val="000000" w:themeColor="text1"/>
          <w:kern w:val="28"/>
          <w:sz w:val="28"/>
          <w:szCs w:val="28"/>
          <w:lang w:val="uk-UA"/>
        </w:rPr>
        <w:t xml:space="preserve"> </w:t>
      </w:r>
      <w:r w:rsidR="00566199" w:rsidRPr="00205357">
        <w:rPr>
          <w:color w:val="000000" w:themeColor="text1"/>
          <w:kern w:val="28"/>
          <w:sz w:val="28"/>
          <w:szCs w:val="28"/>
          <w:lang w:val="uk-UA"/>
        </w:rPr>
        <w:t>за іншими категоріями спорів</w:t>
      </w:r>
      <w:r w:rsidRPr="00205357">
        <w:rPr>
          <w:color w:val="000000" w:themeColor="text1"/>
          <w:kern w:val="28"/>
          <w:sz w:val="28"/>
          <w:szCs w:val="28"/>
          <w:lang w:val="uk-UA"/>
        </w:rPr>
        <w:t xml:space="preserve">, </w:t>
      </w:r>
      <w:r w:rsidR="00C82A86">
        <w:rPr>
          <w:color w:val="000000" w:themeColor="text1"/>
          <w:kern w:val="28"/>
          <w:sz w:val="28"/>
          <w:szCs w:val="28"/>
          <w:lang w:val="uk-UA"/>
        </w:rPr>
        <w:t>які</w:t>
      </w:r>
      <w:r w:rsidRPr="00205357">
        <w:rPr>
          <w:color w:val="000000" w:themeColor="text1"/>
          <w:kern w:val="28"/>
          <w:sz w:val="28"/>
          <w:szCs w:val="28"/>
          <w:lang w:val="uk-UA"/>
        </w:rPr>
        <w:t xml:space="preserve"> надійшли на розгляд </w:t>
      </w:r>
      <w:r w:rsidR="00C82A86">
        <w:rPr>
          <w:color w:val="000000" w:themeColor="text1"/>
          <w:kern w:val="28"/>
          <w:sz w:val="28"/>
          <w:szCs w:val="28"/>
          <w:lang w:val="uk-UA"/>
        </w:rPr>
        <w:t xml:space="preserve">до КОАС </w:t>
      </w:r>
      <w:r w:rsidR="00566199">
        <w:rPr>
          <w:color w:val="000000" w:themeColor="text1"/>
          <w:kern w:val="28"/>
          <w:sz w:val="28"/>
          <w:szCs w:val="28"/>
          <w:lang w:val="uk-UA"/>
        </w:rPr>
        <w:t xml:space="preserve">у 2020 році, то </w:t>
      </w:r>
      <w:r w:rsidR="00F41DB5">
        <w:rPr>
          <w:color w:val="000000" w:themeColor="text1"/>
          <w:kern w:val="28"/>
          <w:sz w:val="28"/>
          <w:szCs w:val="28"/>
          <w:lang w:val="uk-UA"/>
        </w:rPr>
        <w:t>кількість таких справ</w:t>
      </w:r>
      <w:r w:rsidRPr="00205357">
        <w:rPr>
          <w:color w:val="000000" w:themeColor="text1"/>
          <w:kern w:val="28"/>
          <w:sz w:val="28"/>
          <w:szCs w:val="28"/>
          <w:lang w:val="uk-UA"/>
        </w:rPr>
        <w:t xml:space="preserve"> </w:t>
      </w:r>
      <w:r w:rsidR="00566199">
        <w:rPr>
          <w:color w:val="000000" w:themeColor="text1"/>
          <w:kern w:val="28"/>
          <w:sz w:val="28"/>
          <w:szCs w:val="28"/>
          <w:lang w:val="uk-UA"/>
        </w:rPr>
        <w:t>у порі</w:t>
      </w:r>
      <w:r w:rsidR="00C82A86">
        <w:rPr>
          <w:color w:val="000000" w:themeColor="text1"/>
          <w:kern w:val="28"/>
          <w:sz w:val="28"/>
          <w:szCs w:val="28"/>
          <w:lang w:val="uk-UA"/>
        </w:rPr>
        <w:t>внянні</w:t>
      </w:r>
      <w:r w:rsidR="00C82A86" w:rsidRPr="00205357">
        <w:rPr>
          <w:color w:val="000000" w:themeColor="text1"/>
          <w:kern w:val="28"/>
          <w:sz w:val="28"/>
          <w:szCs w:val="28"/>
          <w:lang w:val="uk-UA"/>
        </w:rPr>
        <w:t xml:space="preserve"> з 201</w:t>
      </w:r>
      <w:r w:rsidR="00C82A86">
        <w:rPr>
          <w:color w:val="000000" w:themeColor="text1"/>
          <w:kern w:val="28"/>
          <w:sz w:val="28"/>
          <w:szCs w:val="28"/>
          <w:lang w:val="uk-UA"/>
        </w:rPr>
        <w:t>9</w:t>
      </w:r>
      <w:r w:rsidR="00C82A86" w:rsidRPr="00205357">
        <w:rPr>
          <w:color w:val="000000" w:themeColor="text1"/>
          <w:kern w:val="28"/>
          <w:sz w:val="28"/>
          <w:szCs w:val="28"/>
          <w:lang w:val="uk-UA"/>
        </w:rPr>
        <w:t xml:space="preserve"> роком</w:t>
      </w:r>
      <w:r w:rsidR="00F41DB5">
        <w:rPr>
          <w:color w:val="000000" w:themeColor="text1"/>
          <w:kern w:val="28"/>
          <w:sz w:val="28"/>
          <w:szCs w:val="28"/>
          <w:lang w:val="uk-UA"/>
        </w:rPr>
        <w:t xml:space="preserve"> значно зменшилася: з 717 (4%) у 2021 році до 123 (1%) у 2022 році.</w:t>
      </w:r>
    </w:p>
    <w:p w14:paraId="7F357EB6" w14:textId="00B0D953" w:rsidR="004C2B07" w:rsidRDefault="00C72F64" w:rsidP="00AE50D5">
      <w:pPr>
        <w:ind w:firstLine="709"/>
        <w:jc w:val="both"/>
        <w:rPr>
          <w:color w:val="FF0000"/>
          <w:kern w:val="28"/>
          <w:sz w:val="28"/>
          <w:szCs w:val="28"/>
        </w:rPr>
      </w:pPr>
      <w:r w:rsidRPr="00205357">
        <w:rPr>
          <w:color w:val="000000" w:themeColor="text1"/>
          <w:kern w:val="28"/>
          <w:sz w:val="28"/>
          <w:szCs w:val="28"/>
        </w:rPr>
        <w:t>У</w:t>
      </w:r>
      <w:r w:rsidR="004C2B07" w:rsidRPr="00205357">
        <w:rPr>
          <w:color w:val="000000" w:themeColor="text1"/>
          <w:kern w:val="28"/>
          <w:sz w:val="28"/>
          <w:szCs w:val="28"/>
        </w:rPr>
        <w:t xml:space="preserve"> </w:t>
      </w:r>
      <w:r w:rsidR="00D41BF5" w:rsidRPr="00205357">
        <w:rPr>
          <w:color w:val="000000" w:themeColor="text1"/>
          <w:kern w:val="28"/>
          <w:sz w:val="28"/>
          <w:szCs w:val="28"/>
        </w:rPr>
        <w:t>202</w:t>
      </w:r>
      <w:r w:rsidR="00F41DB5">
        <w:rPr>
          <w:color w:val="000000" w:themeColor="text1"/>
          <w:kern w:val="28"/>
          <w:sz w:val="28"/>
          <w:szCs w:val="28"/>
        </w:rPr>
        <w:t>2</w:t>
      </w:r>
      <w:r w:rsidR="004C2B07" w:rsidRPr="00205357">
        <w:rPr>
          <w:color w:val="000000" w:themeColor="text1"/>
          <w:kern w:val="28"/>
          <w:sz w:val="28"/>
          <w:szCs w:val="28"/>
        </w:rPr>
        <w:t xml:space="preserve"> ро</w:t>
      </w:r>
      <w:r w:rsidR="00DE6ABB" w:rsidRPr="00205357">
        <w:rPr>
          <w:color w:val="000000" w:themeColor="text1"/>
          <w:kern w:val="28"/>
          <w:sz w:val="28"/>
          <w:szCs w:val="28"/>
        </w:rPr>
        <w:t>ці</w:t>
      </w:r>
      <w:r w:rsidR="004C2B07" w:rsidRPr="00205357">
        <w:rPr>
          <w:color w:val="000000" w:themeColor="text1"/>
          <w:kern w:val="28"/>
          <w:sz w:val="28"/>
          <w:szCs w:val="28"/>
        </w:rPr>
        <w:t xml:space="preserve"> загальна кількість розглянутих </w:t>
      </w:r>
      <w:r w:rsidR="000660D9" w:rsidRPr="00205357">
        <w:rPr>
          <w:color w:val="000000" w:themeColor="text1"/>
          <w:kern w:val="28"/>
          <w:sz w:val="28"/>
          <w:szCs w:val="28"/>
        </w:rPr>
        <w:t xml:space="preserve">КОАС </w:t>
      </w:r>
      <w:r w:rsidR="004C2B07" w:rsidRPr="00205357">
        <w:rPr>
          <w:color w:val="000000" w:themeColor="text1"/>
          <w:kern w:val="28"/>
          <w:sz w:val="28"/>
          <w:szCs w:val="28"/>
        </w:rPr>
        <w:t xml:space="preserve">справ і </w:t>
      </w:r>
      <w:r w:rsidR="004C12EF" w:rsidRPr="00205357">
        <w:rPr>
          <w:color w:val="000000" w:themeColor="text1"/>
          <w:kern w:val="28"/>
          <w:sz w:val="28"/>
          <w:szCs w:val="28"/>
        </w:rPr>
        <w:t xml:space="preserve">позовних заяв </w:t>
      </w:r>
      <w:r w:rsidR="004C2B07" w:rsidRPr="00205357">
        <w:rPr>
          <w:color w:val="000000" w:themeColor="text1"/>
          <w:kern w:val="28"/>
          <w:sz w:val="28"/>
          <w:szCs w:val="28"/>
        </w:rPr>
        <w:t>станови</w:t>
      </w:r>
      <w:r w:rsidR="00537381" w:rsidRPr="00205357">
        <w:rPr>
          <w:color w:val="000000" w:themeColor="text1"/>
          <w:kern w:val="28"/>
          <w:sz w:val="28"/>
          <w:szCs w:val="28"/>
        </w:rPr>
        <w:t>ть</w:t>
      </w:r>
      <w:r w:rsidR="004C2B07" w:rsidRPr="00205357">
        <w:rPr>
          <w:color w:val="000000" w:themeColor="text1"/>
          <w:kern w:val="28"/>
          <w:sz w:val="28"/>
          <w:szCs w:val="28"/>
        </w:rPr>
        <w:t xml:space="preserve"> </w:t>
      </w:r>
      <w:r w:rsidR="00F41DB5">
        <w:rPr>
          <w:color w:val="000000" w:themeColor="text1"/>
          <w:kern w:val="28"/>
          <w:sz w:val="28"/>
          <w:szCs w:val="28"/>
        </w:rPr>
        <w:t>14839</w:t>
      </w:r>
      <w:r w:rsidR="001D4CFE" w:rsidRPr="00205357">
        <w:rPr>
          <w:color w:val="000000" w:themeColor="text1"/>
          <w:kern w:val="28"/>
          <w:sz w:val="28"/>
          <w:szCs w:val="28"/>
        </w:rPr>
        <w:t>, тоді як у 20</w:t>
      </w:r>
      <w:r w:rsidR="00F41DB5">
        <w:rPr>
          <w:color w:val="000000" w:themeColor="text1"/>
          <w:kern w:val="28"/>
          <w:sz w:val="28"/>
          <w:szCs w:val="28"/>
        </w:rPr>
        <w:t>21</w:t>
      </w:r>
      <w:r w:rsidR="001D4CFE" w:rsidRPr="00205357">
        <w:rPr>
          <w:color w:val="000000" w:themeColor="text1"/>
          <w:kern w:val="28"/>
          <w:sz w:val="28"/>
          <w:szCs w:val="28"/>
        </w:rPr>
        <w:t xml:space="preserve"> році такий показник становив </w:t>
      </w:r>
      <w:r w:rsidR="00F41DB5">
        <w:rPr>
          <w:color w:val="000000" w:themeColor="text1"/>
          <w:kern w:val="28"/>
          <w:sz w:val="28"/>
          <w:szCs w:val="28"/>
        </w:rPr>
        <w:t>16414</w:t>
      </w:r>
      <w:r w:rsidR="00991359" w:rsidRPr="00205357">
        <w:rPr>
          <w:color w:val="000000" w:themeColor="text1"/>
          <w:kern w:val="28"/>
          <w:sz w:val="28"/>
          <w:szCs w:val="28"/>
        </w:rPr>
        <w:t>.</w:t>
      </w:r>
      <w:r w:rsidR="00D41BF5" w:rsidRPr="00205357">
        <w:rPr>
          <w:color w:val="000000" w:themeColor="text1"/>
          <w:kern w:val="28"/>
          <w:sz w:val="28"/>
          <w:szCs w:val="28"/>
        </w:rPr>
        <w:t xml:space="preserve"> </w:t>
      </w:r>
      <w:r w:rsidR="004C2B07" w:rsidRPr="00205357">
        <w:rPr>
          <w:color w:val="000000" w:themeColor="text1"/>
          <w:kern w:val="28"/>
          <w:sz w:val="28"/>
          <w:szCs w:val="28"/>
        </w:rPr>
        <w:t xml:space="preserve">Загальні показники розгляду справ і матеріалів </w:t>
      </w:r>
      <w:r w:rsidR="00537381" w:rsidRPr="00205357">
        <w:rPr>
          <w:color w:val="000000" w:themeColor="text1"/>
          <w:kern w:val="28"/>
          <w:sz w:val="28"/>
          <w:szCs w:val="28"/>
        </w:rPr>
        <w:t>суддями К</w:t>
      </w:r>
      <w:r w:rsidR="00802A38" w:rsidRPr="00205357">
        <w:rPr>
          <w:color w:val="000000" w:themeColor="text1"/>
          <w:kern w:val="28"/>
          <w:sz w:val="28"/>
          <w:szCs w:val="28"/>
        </w:rPr>
        <w:t xml:space="preserve">ОАС </w:t>
      </w:r>
      <w:r w:rsidR="004C2B07" w:rsidRPr="00205357">
        <w:rPr>
          <w:color w:val="000000" w:themeColor="text1"/>
          <w:kern w:val="28"/>
          <w:sz w:val="28"/>
          <w:szCs w:val="28"/>
        </w:rPr>
        <w:t>у 20</w:t>
      </w:r>
      <w:r w:rsidR="00F41DB5">
        <w:rPr>
          <w:color w:val="000000" w:themeColor="text1"/>
          <w:kern w:val="28"/>
          <w:sz w:val="28"/>
          <w:szCs w:val="28"/>
        </w:rPr>
        <w:t>21</w:t>
      </w:r>
      <w:r w:rsidR="00740B65" w:rsidRPr="00205357">
        <w:rPr>
          <w:color w:val="000000" w:themeColor="text1"/>
          <w:kern w:val="28"/>
          <w:sz w:val="28"/>
          <w:szCs w:val="28"/>
        </w:rPr>
        <w:t xml:space="preserve"> </w:t>
      </w:r>
      <w:r w:rsidR="004C2B07" w:rsidRPr="00205357">
        <w:rPr>
          <w:color w:val="000000" w:themeColor="text1"/>
          <w:kern w:val="28"/>
          <w:sz w:val="28"/>
          <w:szCs w:val="28"/>
        </w:rPr>
        <w:t>–</w:t>
      </w:r>
      <w:r w:rsidR="00864D2D" w:rsidRPr="00205357">
        <w:rPr>
          <w:color w:val="000000" w:themeColor="text1"/>
          <w:kern w:val="28"/>
          <w:sz w:val="28"/>
          <w:szCs w:val="28"/>
        </w:rPr>
        <w:t xml:space="preserve"> </w:t>
      </w:r>
      <w:r w:rsidR="004C2B07" w:rsidRPr="00205357">
        <w:rPr>
          <w:color w:val="000000" w:themeColor="text1"/>
          <w:kern w:val="28"/>
          <w:sz w:val="28"/>
          <w:szCs w:val="28"/>
        </w:rPr>
        <w:t>20</w:t>
      </w:r>
      <w:r w:rsidR="00D41BF5" w:rsidRPr="00205357">
        <w:rPr>
          <w:color w:val="000000" w:themeColor="text1"/>
          <w:kern w:val="28"/>
          <w:sz w:val="28"/>
          <w:szCs w:val="28"/>
        </w:rPr>
        <w:t>2</w:t>
      </w:r>
      <w:r w:rsidR="00F41DB5">
        <w:rPr>
          <w:color w:val="000000" w:themeColor="text1"/>
          <w:kern w:val="28"/>
          <w:sz w:val="28"/>
          <w:szCs w:val="28"/>
        </w:rPr>
        <w:t>2</w:t>
      </w:r>
      <w:r w:rsidR="004C2B07" w:rsidRPr="00205357">
        <w:rPr>
          <w:color w:val="000000" w:themeColor="text1"/>
          <w:kern w:val="28"/>
          <w:sz w:val="28"/>
          <w:szCs w:val="28"/>
        </w:rPr>
        <w:t xml:space="preserve"> роках відображено </w:t>
      </w:r>
      <w:r w:rsidR="00F53796" w:rsidRPr="00205357">
        <w:rPr>
          <w:color w:val="000000" w:themeColor="text1"/>
          <w:kern w:val="28"/>
          <w:sz w:val="28"/>
          <w:szCs w:val="28"/>
        </w:rPr>
        <w:t>у</w:t>
      </w:r>
      <w:r w:rsidR="004C2B07" w:rsidRPr="00205357">
        <w:rPr>
          <w:color w:val="000000" w:themeColor="text1"/>
          <w:kern w:val="28"/>
          <w:sz w:val="28"/>
          <w:szCs w:val="28"/>
        </w:rPr>
        <w:t xml:space="preserve"> діаграмі </w:t>
      </w:r>
      <w:r w:rsidR="00D41BF5" w:rsidRPr="00205357">
        <w:rPr>
          <w:color w:val="000000" w:themeColor="text1"/>
          <w:kern w:val="28"/>
          <w:sz w:val="28"/>
          <w:szCs w:val="28"/>
        </w:rPr>
        <w:t>2</w:t>
      </w:r>
      <w:r w:rsidR="004C2B07" w:rsidRPr="00205357">
        <w:rPr>
          <w:color w:val="000000" w:themeColor="text1"/>
          <w:kern w:val="28"/>
          <w:sz w:val="28"/>
          <w:szCs w:val="28"/>
        </w:rPr>
        <w:t>,</w:t>
      </w:r>
      <w:r w:rsidR="0057745D" w:rsidRPr="00205357">
        <w:rPr>
          <w:color w:val="000000" w:themeColor="text1"/>
          <w:kern w:val="28"/>
          <w:sz w:val="28"/>
          <w:szCs w:val="28"/>
        </w:rPr>
        <w:t xml:space="preserve"> </w:t>
      </w:r>
      <w:r w:rsidR="00566199">
        <w:rPr>
          <w:color w:val="000000" w:themeColor="text1"/>
          <w:kern w:val="28"/>
          <w:sz w:val="28"/>
          <w:szCs w:val="28"/>
        </w:rPr>
        <w:t>а аналіз</w:t>
      </w:r>
      <w:r w:rsidR="004C2B07" w:rsidRPr="00205357">
        <w:rPr>
          <w:color w:val="000000" w:themeColor="text1"/>
          <w:kern w:val="28"/>
          <w:sz w:val="28"/>
          <w:szCs w:val="28"/>
        </w:rPr>
        <w:t xml:space="preserve"> даних наведено </w:t>
      </w:r>
      <w:r w:rsidR="00D41BF5" w:rsidRPr="00205357">
        <w:rPr>
          <w:color w:val="000000" w:themeColor="text1"/>
          <w:kern w:val="28"/>
          <w:sz w:val="28"/>
          <w:szCs w:val="28"/>
        </w:rPr>
        <w:t>далі</w:t>
      </w:r>
      <w:r w:rsidR="00566199">
        <w:rPr>
          <w:color w:val="FF0000"/>
          <w:kern w:val="28"/>
          <w:sz w:val="28"/>
          <w:szCs w:val="28"/>
        </w:rPr>
        <w:t>.</w:t>
      </w:r>
    </w:p>
    <w:p w14:paraId="424B0F9E" w14:textId="77777777" w:rsidR="00566199" w:rsidRPr="00205357" w:rsidRDefault="00566199" w:rsidP="00AE50D5">
      <w:pPr>
        <w:ind w:firstLine="709"/>
        <w:jc w:val="both"/>
        <w:rPr>
          <w:color w:val="FF0000"/>
          <w:kern w:val="28"/>
          <w:sz w:val="28"/>
          <w:szCs w:val="28"/>
        </w:rPr>
      </w:pPr>
    </w:p>
    <w:p w14:paraId="54A2F1D8" w14:textId="77777777" w:rsidR="00802A38" w:rsidRPr="00C87CAD" w:rsidRDefault="004C2B07" w:rsidP="00634269">
      <w:pPr>
        <w:spacing w:line="276" w:lineRule="auto"/>
        <w:ind w:firstLine="709"/>
        <w:jc w:val="right"/>
        <w:rPr>
          <w:b/>
          <w:i/>
        </w:rPr>
      </w:pPr>
      <w:r w:rsidRPr="00B76414">
        <w:rPr>
          <w:sz w:val="28"/>
          <w:szCs w:val="28"/>
        </w:rPr>
        <w:t>Діаграма 2</w:t>
      </w:r>
      <w:r w:rsidR="00EC259D" w:rsidRPr="00566199">
        <w:rPr>
          <w:b/>
          <w:i/>
          <w:noProof/>
          <w:color w:val="7030A0"/>
          <w:lang w:val="ru-RU"/>
        </w:rPr>
        <w:drawing>
          <wp:inline distT="0" distB="0" distL="0" distR="0" wp14:anchorId="24F21130" wp14:editId="47D384FE">
            <wp:extent cx="5963920" cy="4038600"/>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24D652" w14:textId="5C2D6DA9" w:rsidR="0022257A" w:rsidRPr="00205357" w:rsidRDefault="004769F6" w:rsidP="00AE50D5">
      <w:pPr>
        <w:ind w:firstLine="709"/>
        <w:jc w:val="both"/>
        <w:rPr>
          <w:kern w:val="28"/>
          <w:sz w:val="28"/>
          <w:szCs w:val="28"/>
        </w:rPr>
      </w:pPr>
      <w:r>
        <w:rPr>
          <w:kern w:val="28"/>
          <w:sz w:val="28"/>
          <w:szCs w:val="28"/>
        </w:rPr>
        <w:t xml:space="preserve">Згідно з </w:t>
      </w:r>
      <w:r w:rsidR="0022257A" w:rsidRPr="00205357">
        <w:rPr>
          <w:kern w:val="28"/>
          <w:sz w:val="28"/>
          <w:szCs w:val="28"/>
        </w:rPr>
        <w:t>даними статистичної звітності, у 20</w:t>
      </w:r>
      <w:r w:rsidR="00D41BF5" w:rsidRPr="00205357">
        <w:rPr>
          <w:kern w:val="28"/>
          <w:sz w:val="28"/>
          <w:szCs w:val="28"/>
        </w:rPr>
        <w:t>2</w:t>
      </w:r>
      <w:r>
        <w:rPr>
          <w:kern w:val="28"/>
          <w:sz w:val="28"/>
          <w:szCs w:val="28"/>
        </w:rPr>
        <w:t>2</w:t>
      </w:r>
      <w:r w:rsidR="0022257A" w:rsidRPr="00205357">
        <w:rPr>
          <w:kern w:val="28"/>
          <w:sz w:val="28"/>
          <w:szCs w:val="28"/>
        </w:rPr>
        <w:t xml:space="preserve"> ро</w:t>
      </w:r>
      <w:r w:rsidR="003B5E0C" w:rsidRPr="00205357">
        <w:rPr>
          <w:kern w:val="28"/>
          <w:sz w:val="28"/>
          <w:szCs w:val="28"/>
        </w:rPr>
        <w:t>ці</w:t>
      </w:r>
      <w:r w:rsidR="0022257A" w:rsidRPr="00205357">
        <w:rPr>
          <w:kern w:val="28"/>
          <w:sz w:val="28"/>
          <w:szCs w:val="28"/>
        </w:rPr>
        <w:t xml:space="preserve"> КОАС повернув </w:t>
      </w:r>
      <w:r>
        <w:rPr>
          <w:kern w:val="28"/>
          <w:sz w:val="28"/>
          <w:szCs w:val="28"/>
        </w:rPr>
        <w:t>2459</w:t>
      </w:r>
      <w:r w:rsidR="00BA346E">
        <w:rPr>
          <w:kern w:val="28"/>
          <w:sz w:val="28"/>
          <w:szCs w:val="28"/>
        </w:rPr>
        <w:t xml:space="preserve"> (16,6%)</w:t>
      </w:r>
      <w:r w:rsidR="0022257A" w:rsidRPr="00205357">
        <w:rPr>
          <w:kern w:val="28"/>
          <w:sz w:val="28"/>
          <w:szCs w:val="28"/>
        </w:rPr>
        <w:t xml:space="preserve"> </w:t>
      </w:r>
      <w:r w:rsidR="00F53796" w:rsidRPr="00205357">
        <w:rPr>
          <w:kern w:val="28"/>
          <w:sz w:val="28"/>
          <w:szCs w:val="28"/>
        </w:rPr>
        <w:t>позовних</w:t>
      </w:r>
      <w:r w:rsidR="0091315F" w:rsidRPr="00205357">
        <w:rPr>
          <w:kern w:val="28"/>
          <w:sz w:val="28"/>
          <w:szCs w:val="28"/>
        </w:rPr>
        <w:t xml:space="preserve"> заяв</w:t>
      </w:r>
      <w:r w:rsidR="00451174" w:rsidRPr="00205357">
        <w:rPr>
          <w:kern w:val="28"/>
          <w:sz w:val="28"/>
          <w:szCs w:val="28"/>
        </w:rPr>
        <w:t>, тоді як у</w:t>
      </w:r>
      <w:r w:rsidR="0022257A" w:rsidRPr="00205357">
        <w:rPr>
          <w:kern w:val="28"/>
          <w:sz w:val="28"/>
          <w:szCs w:val="28"/>
        </w:rPr>
        <w:t xml:space="preserve"> порівнюваному періоді </w:t>
      </w:r>
      <w:r w:rsidR="006F3FC8" w:rsidRPr="00205357">
        <w:rPr>
          <w:kern w:val="28"/>
          <w:sz w:val="28"/>
          <w:szCs w:val="28"/>
        </w:rPr>
        <w:t>20</w:t>
      </w:r>
      <w:r>
        <w:rPr>
          <w:kern w:val="28"/>
          <w:sz w:val="28"/>
          <w:szCs w:val="28"/>
        </w:rPr>
        <w:t>21</w:t>
      </w:r>
      <w:r w:rsidR="006F3FC8" w:rsidRPr="00205357">
        <w:rPr>
          <w:kern w:val="28"/>
          <w:sz w:val="28"/>
          <w:szCs w:val="28"/>
        </w:rPr>
        <w:t xml:space="preserve"> </w:t>
      </w:r>
      <w:r w:rsidR="00F53796" w:rsidRPr="00205357">
        <w:rPr>
          <w:kern w:val="28"/>
          <w:sz w:val="28"/>
          <w:szCs w:val="28"/>
        </w:rPr>
        <w:t>року</w:t>
      </w:r>
      <w:r w:rsidR="006F3FC8" w:rsidRPr="00205357">
        <w:rPr>
          <w:kern w:val="28"/>
          <w:sz w:val="28"/>
          <w:szCs w:val="28"/>
        </w:rPr>
        <w:t xml:space="preserve"> такий</w:t>
      </w:r>
      <w:r w:rsidR="006B22F0" w:rsidRPr="00205357">
        <w:rPr>
          <w:kern w:val="28"/>
          <w:sz w:val="28"/>
          <w:szCs w:val="28"/>
        </w:rPr>
        <w:t xml:space="preserve"> показник становив</w:t>
      </w:r>
      <w:r w:rsidR="00496D6F" w:rsidRPr="00205357">
        <w:rPr>
          <w:kern w:val="28"/>
          <w:sz w:val="28"/>
          <w:szCs w:val="28"/>
        </w:rPr>
        <w:t xml:space="preserve"> </w:t>
      </w:r>
      <w:r>
        <w:rPr>
          <w:kern w:val="28"/>
          <w:sz w:val="28"/>
          <w:szCs w:val="28"/>
        </w:rPr>
        <w:t>3348</w:t>
      </w:r>
      <w:r w:rsidR="00BA346E">
        <w:rPr>
          <w:kern w:val="28"/>
          <w:sz w:val="28"/>
          <w:szCs w:val="28"/>
        </w:rPr>
        <w:t xml:space="preserve"> (20,4%)</w:t>
      </w:r>
      <w:r w:rsidR="0022257A" w:rsidRPr="00205357">
        <w:rPr>
          <w:kern w:val="28"/>
          <w:sz w:val="28"/>
          <w:szCs w:val="28"/>
        </w:rPr>
        <w:t xml:space="preserve"> </w:t>
      </w:r>
      <w:r w:rsidR="00B61309" w:rsidRPr="00205357">
        <w:rPr>
          <w:kern w:val="28"/>
          <w:sz w:val="28"/>
          <w:szCs w:val="28"/>
        </w:rPr>
        <w:t>матеріал</w:t>
      </w:r>
      <w:r w:rsidR="006B22F0" w:rsidRPr="00205357">
        <w:rPr>
          <w:kern w:val="28"/>
          <w:sz w:val="28"/>
          <w:szCs w:val="28"/>
        </w:rPr>
        <w:t>ів</w:t>
      </w:r>
      <w:r w:rsidR="006F3FC8" w:rsidRPr="00205357">
        <w:rPr>
          <w:kern w:val="28"/>
          <w:sz w:val="28"/>
          <w:szCs w:val="28"/>
        </w:rPr>
        <w:t>.</w:t>
      </w:r>
      <w:r w:rsidR="0022257A" w:rsidRPr="00205357">
        <w:rPr>
          <w:kern w:val="28"/>
          <w:sz w:val="28"/>
          <w:szCs w:val="28"/>
        </w:rPr>
        <w:t xml:space="preserve"> </w:t>
      </w:r>
    </w:p>
    <w:p w14:paraId="423EBC04" w14:textId="10094808" w:rsidR="0022257A" w:rsidRPr="00205357" w:rsidRDefault="0022257A" w:rsidP="00AE50D5">
      <w:pPr>
        <w:ind w:firstLine="709"/>
        <w:jc w:val="both"/>
        <w:rPr>
          <w:kern w:val="28"/>
          <w:sz w:val="28"/>
          <w:szCs w:val="28"/>
        </w:rPr>
      </w:pPr>
      <w:r w:rsidRPr="00205357">
        <w:rPr>
          <w:kern w:val="28"/>
          <w:sz w:val="28"/>
          <w:szCs w:val="28"/>
        </w:rPr>
        <w:lastRenderedPageBreak/>
        <w:t xml:space="preserve">У </w:t>
      </w:r>
      <w:r w:rsidR="00666ECE" w:rsidRPr="00205357">
        <w:rPr>
          <w:kern w:val="28"/>
          <w:sz w:val="28"/>
          <w:szCs w:val="28"/>
        </w:rPr>
        <w:t>202</w:t>
      </w:r>
      <w:r w:rsidR="00BA346E">
        <w:rPr>
          <w:kern w:val="28"/>
          <w:sz w:val="28"/>
          <w:szCs w:val="28"/>
        </w:rPr>
        <w:t>2</w:t>
      </w:r>
      <w:r w:rsidR="00D27B0F" w:rsidRPr="00205357">
        <w:rPr>
          <w:kern w:val="28"/>
          <w:sz w:val="28"/>
          <w:szCs w:val="28"/>
        </w:rPr>
        <w:t xml:space="preserve"> ро</w:t>
      </w:r>
      <w:r w:rsidR="00937FEB" w:rsidRPr="00205357">
        <w:rPr>
          <w:kern w:val="28"/>
          <w:sz w:val="28"/>
          <w:szCs w:val="28"/>
        </w:rPr>
        <w:t>ці</w:t>
      </w:r>
      <w:r w:rsidR="00D27B0F" w:rsidRPr="00205357">
        <w:rPr>
          <w:kern w:val="28"/>
          <w:sz w:val="28"/>
          <w:szCs w:val="28"/>
        </w:rPr>
        <w:t xml:space="preserve"> </w:t>
      </w:r>
      <w:r w:rsidR="00320E09" w:rsidRPr="00205357">
        <w:rPr>
          <w:kern w:val="28"/>
          <w:sz w:val="28"/>
          <w:szCs w:val="28"/>
        </w:rPr>
        <w:t>КОАС</w:t>
      </w:r>
      <w:r w:rsidRPr="00205357">
        <w:rPr>
          <w:kern w:val="28"/>
          <w:sz w:val="28"/>
          <w:szCs w:val="28"/>
        </w:rPr>
        <w:t xml:space="preserve"> відмови</w:t>
      </w:r>
      <w:r w:rsidR="00855A73" w:rsidRPr="00205357">
        <w:rPr>
          <w:kern w:val="28"/>
          <w:sz w:val="28"/>
          <w:szCs w:val="28"/>
        </w:rPr>
        <w:t>в</w:t>
      </w:r>
      <w:r w:rsidRPr="00205357">
        <w:rPr>
          <w:kern w:val="28"/>
          <w:sz w:val="28"/>
          <w:szCs w:val="28"/>
        </w:rPr>
        <w:t xml:space="preserve"> у відкритті провадження </w:t>
      </w:r>
      <w:r w:rsidR="00937FEB" w:rsidRPr="00205357">
        <w:rPr>
          <w:kern w:val="28"/>
          <w:sz w:val="28"/>
          <w:szCs w:val="28"/>
        </w:rPr>
        <w:t>у</w:t>
      </w:r>
      <w:r w:rsidRPr="00205357">
        <w:rPr>
          <w:kern w:val="28"/>
          <w:sz w:val="28"/>
          <w:szCs w:val="28"/>
        </w:rPr>
        <w:t xml:space="preserve"> </w:t>
      </w:r>
      <w:r w:rsidR="00BA346E">
        <w:rPr>
          <w:kern w:val="28"/>
          <w:sz w:val="28"/>
          <w:szCs w:val="28"/>
        </w:rPr>
        <w:t>119</w:t>
      </w:r>
      <w:r w:rsidRPr="00205357">
        <w:rPr>
          <w:kern w:val="28"/>
          <w:sz w:val="28"/>
          <w:szCs w:val="28"/>
        </w:rPr>
        <w:t xml:space="preserve"> (</w:t>
      </w:r>
      <w:r w:rsidR="00BA346E">
        <w:rPr>
          <w:kern w:val="28"/>
          <w:sz w:val="28"/>
          <w:szCs w:val="28"/>
        </w:rPr>
        <w:t>0,8</w:t>
      </w:r>
      <w:r w:rsidRPr="00205357">
        <w:rPr>
          <w:kern w:val="28"/>
          <w:sz w:val="28"/>
          <w:szCs w:val="28"/>
        </w:rPr>
        <w:t>%</w:t>
      </w:r>
      <w:r w:rsidR="00451174" w:rsidRPr="00205357">
        <w:rPr>
          <w:kern w:val="28"/>
          <w:sz w:val="28"/>
          <w:szCs w:val="28"/>
        </w:rPr>
        <w:t>) справах, тоді як у 20</w:t>
      </w:r>
      <w:r w:rsidR="00BA346E">
        <w:rPr>
          <w:kern w:val="28"/>
          <w:sz w:val="28"/>
          <w:szCs w:val="28"/>
        </w:rPr>
        <w:t>21</w:t>
      </w:r>
      <w:r w:rsidR="00666ECE" w:rsidRPr="00205357">
        <w:rPr>
          <w:kern w:val="28"/>
          <w:sz w:val="28"/>
          <w:szCs w:val="28"/>
        </w:rPr>
        <w:t xml:space="preserve"> </w:t>
      </w:r>
      <w:r w:rsidR="00451174" w:rsidRPr="00205357">
        <w:rPr>
          <w:kern w:val="28"/>
          <w:sz w:val="28"/>
          <w:szCs w:val="28"/>
        </w:rPr>
        <w:t xml:space="preserve">році такий показник становив </w:t>
      </w:r>
      <w:r w:rsidR="00BA346E">
        <w:rPr>
          <w:kern w:val="28"/>
          <w:sz w:val="28"/>
          <w:szCs w:val="28"/>
        </w:rPr>
        <w:t>205</w:t>
      </w:r>
      <w:r w:rsidRPr="00205357">
        <w:rPr>
          <w:kern w:val="28"/>
          <w:sz w:val="28"/>
          <w:szCs w:val="28"/>
        </w:rPr>
        <w:t xml:space="preserve"> (</w:t>
      </w:r>
      <w:r w:rsidR="00BA346E">
        <w:rPr>
          <w:kern w:val="28"/>
          <w:sz w:val="28"/>
          <w:szCs w:val="28"/>
        </w:rPr>
        <w:t>1,2</w:t>
      </w:r>
      <w:r w:rsidRPr="00205357">
        <w:rPr>
          <w:kern w:val="28"/>
          <w:sz w:val="28"/>
          <w:szCs w:val="28"/>
        </w:rPr>
        <w:t>%)</w:t>
      </w:r>
      <w:r w:rsidR="00717947" w:rsidRPr="00205357">
        <w:rPr>
          <w:kern w:val="28"/>
          <w:sz w:val="28"/>
          <w:szCs w:val="28"/>
        </w:rPr>
        <w:t>.</w:t>
      </w:r>
      <w:r w:rsidR="00320E09" w:rsidRPr="00205357">
        <w:rPr>
          <w:kern w:val="28"/>
          <w:sz w:val="28"/>
          <w:szCs w:val="28"/>
        </w:rPr>
        <w:t xml:space="preserve"> </w:t>
      </w:r>
      <w:r w:rsidR="00224448" w:rsidRPr="00205357">
        <w:rPr>
          <w:kern w:val="28"/>
          <w:sz w:val="28"/>
          <w:szCs w:val="28"/>
        </w:rPr>
        <w:t>З</w:t>
      </w:r>
      <w:r w:rsidR="00320E09" w:rsidRPr="00205357">
        <w:rPr>
          <w:kern w:val="28"/>
          <w:sz w:val="28"/>
          <w:szCs w:val="28"/>
        </w:rPr>
        <w:t>алишив</w:t>
      </w:r>
      <w:r w:rsidRPr="00205357">
        <w:rPr>
          <w:kern w:val="28"/>
          <w:sz w:val="28"/>
          <w:szCs w:val="28"/>
        </w:rPr>
        <w:t xml:space="preserve"> без розгляду </w:t>
      </w:r>
      <w:r w:rsidR="00BA346E">
        <w:rPr>
          <w:kern w:val="28"/>
          <w:sz w:val="28"/>
          <w:szCs w:val="28"/>
        </w:rPr>
        <w:t>300</w:t>
      </w:r>
      <w:r w:rsidRPr="00205357">
        <w:rPr>
          <w:kern w:val="28"/>
          <w:sz w:val="28"/>
          <w:szCs w:val="28"/>
        </w:rPr>
        <w:t xml:space="preserve"> (</w:t>
      </w:r>
      <w:r w:rsidR="00BA346E">
        <w:rPr>
          <w:kern w:val="28"/>
          <w:sz w:val="28"/>
          <w:szCs w:val="28"/>
        </w:rPr>
        <w:t>2</w:t>
      </w:r>
      <w:r w:rsidRPr="00205357">
        <w:rPr>
          <w:kern w:val="28"/>
          <w:sz w:val="28"/>
          <w:szCs w:val="28"/>
        </w:rPr>
        <w:t xml:space="preserve">%) </w:t>
      </w:r>
      <w:r w:rsidR="00496D6F" w:rsidRPr="00205357">
        <w:rPr>
          <w:kern w:val="28"/>
          <w:sz w:val="28"/>
          <w:szCs w:val="28"/>
        </w:rPr>
        <w:t>позовних заяв</w:t>
      </w:r>
      <w:r w:rsidR="00566199">
        <w:rPr>
          <w:kern w:val="28"/>
          <w:sz w:val="28"/>
          <w:szCs w:val="28"/>
        </w:rPr>
        <w:t>. У</w:t>
      </w:r>
      <w:r w:rsidR="00666ECE" w:rsidRPr="00205357">
        <w:rPr>
          <w:kern w:val="28"/>
          <w:sz w:val="28"/>
          <w:szCs w:val="28"/>
        </w:rPr>
        <w:t xml:space="preserve"> 20</w:t>
      </w:r>
      <w:r w:rsidR="00BA346E">
        <w:rPr>
          <w:kern w:val="28"/>
          <w:sz w:val="28"/>
          <w:szCs w:val="28"/>
        </w:rPr>
        <w:t>21</w:t>
      </w:r>
      <w:r w:rsidR="00451174" w:rsidRPr="00205357">
        <w:rPr>
          <w:kern w:val="28"/>
          <w:sz w:val="28"/>
          <w:szCs w:val="28"/>
        </w:rPr>
        <w:t xml:space="preserve"> році</w:t>
      </w:r>
      <w:r w:rsidR="00D3328B" w:rsidRPr="00205357">
        <w:rPr>
          <w:kern w:val="28"/>
          <w:sz w:val="28"/>
          <w:szCs w:val="28"/>
        </w:rPr>
        <w:t xml:space="preserve"> </w:t>
      </w:r>
      <w:r w:rsidR="00566199">
        <w:rPr>
          <w:kern w:val="28"/>
          <w:sz w:val="28"/>
          <w:szCs w:val="28"/>
        </w:rPr>
        <w:t xml:space="preserve">такий показник становив </w:t>
      </w:r>
      <w:r w:rsidR="00BA346E">
        <w:rPr>
          <w:kern w:val="28"/>
          <w:sz w:val="28"/>
          <w:szCs w:val="28"/>
        </w:rPr>
        <w:t>1058</w:t>
      </w:r>
      <w:r w:rsidRPr="00205357">
        <w:rPr>
          <w:kern w:val="28"/>
          <w:sz w:val="28"/>
          <w:szCs w:val="28"/>
        </w:rPr>
        <w:t xml:space="preserve"> (</w:t>
      </w:r>
      <w:r w:rsidR="00BA346E">
        <w:rPr>
          <w:kern w:val="28"/>
          <w:sz w:val="28"/>
          <w:szCs w:val="28"/>
        </w:rPr>
        <w:t>6,5</w:t>
      </w:r>
      <w:r w:rsidRPr="00205357">
        <w:rPr>
          <w:kern w:val="28"/>
          <w:sz w:val="28"/>
          <w:szCs w:val="28"/>
        </w:rPr>
        <w:t>%</w:t>
      </w:r>
      <w:r w:rsidR="00717947" w:rsidRPr="00205357">
        <w:rPr>
          <w:kern w:val="28"/>
          <w:sz w:val="28"/>
          <w:szCs w:val="28"/>
        </w:rPr>
        <w:t>).</w:t>
      </w:r>
    </w:p>
    <w:p w14:paraId="7BBFB014" w14:textId="6E32EC67" w:rsidR="0022257A" w:rsidRPr="00205357" w:rsidRDefault="00566199" w:rsidP="00AE50D5">
      <w:pPr>
        <w:ind w:firstLine="709"/>
        <w:jc w:val="both"/>
        <w:rPr>
          <w:kern w:val="28"/>
          <w:sz w:val="28"/>
          <w:szCs w:val="28"/>
        </w:rPr>
      </w:pPr>
      <w:r>
        <w:rPr>
          <w:kern w:val="28"/>
          <w:sz w:val="28"/>
          <w:szCs w:val="28"/>
        </w:rPr>
        <w:t>Отже</w:t>
      </w:r>
      <w:r w:rsidR="00451174" w:rsidRPr="00205357">
        <w:rPr>
          <w:kern w:val="28"/>
          <w:sz w:val="28"/>
          <w:szCs w:val="28"/>
        </w:rPr>
        <w:t xml:space="preserve">, </w:t>
      </w:r>
      <w:r w:rsidR="0022257A" w:rsidRPr="00205357">
        <w:rPr>
          <w:kern w:val="28"/>
          <w:sz w:val="28"/>
          <w:szCs w:val="28"/>
        </w:rPr>
        <w:t xml:space="preserve">упродовж звітного періоду з різних підстав судом </w:t>
      </w:r>
      <w:r w:rsidR="00DA7D8A" w:rsidRPr="00205357">
        <w:rPr>
          <w:kern w:val="28"/>
          <w:sz w:val="28"/>
          <w:szCs w:val="28"/>
        </w:rPr>
        <w:t>не прийнято до розгляду</w:t>
      </w:r>
      <w:r w:rsidR="0022257A" w:rsidRPr="00205357">
        <w:rPr>
          <w:kern w:val="28"/>
          <w:sz w:val="28"/>
          <w:szCs w:val="28"/>
        </w:rPr>
        <w:t xml:space="preserve"> </w:t>
      </w:r>
      <w:r w:rsidR="00BA346E">
        <w:rPr>
          <w:kern w:val="28"/>
          <w:sz w:val="28"/>
          <w:szCs w:val="28"/>
        </w:rPr>
        <w:t>19,4</w:t>
      </w:r>
      <w:r w:rsidR="0022257A" w:rsidRPr="00205357">
        <w:rPr>
          <w:kern w:val="28"/>
          <w:sz w:val="28"/>
          <w:szCs w:val="28"/>
        </w:rPr>
        <w:t xml:space="preserve">% </w:t>
      </w:r>
      <w:r w:rsidR="00BA346E">
        <w:rPr>
          <w:kern w:val="28"/>
          <w:sz w:val="28"/>
          <w:szCs w:val="28"/>
        </w:rPr>
        <w:t xml:space="preserve">справ та </w:t>
      </w:r>
      <w:r w:rsidR="00451174" w:rsidRPr="00205357">
        <w:rPr>
          <w:kern w:val="28"/>
          <w:sz w:val="28"/>
          <w:szCs w:val="28"/>
        </w:rPr>
        <w:t>позовних заяв</w:t>
      </w:r>
      <w:r w:rsidR="0022257A" w:rsidRPr="00205357">
        <w:rPr>
          <w:kern w:val="28"/>
          <w:sz w:val="28"/>
          <w:szCs w:val="28"/>
        </w:rPr>
        <w:t>.</w:t>
      </w:r>
    </w:p>
    <w:p w14:paraId="03D2EC2D" w14:textId="6BF6903E" w:rsidR="00566199" w:rsidRDefault="00566199" w:rsidP="00451174">
      <w:pPr>
        <w:ind w:firstLine="709"/>
        <w:jc w:val="both"/>
        <w:rPr>
          <w:kern w:val="28"/>
          <w:sz w:val="28"/>
          <w:szCs w:val="28"/>
        </w:rPr>
      </w:pPr>
      <w:r w:rsidRPr="00205357">
        <w:rPr>
          <w:kern w:val="28"/>
          <w:sz w:val="28"/>
          <w:szCs w:val="28"/>
        </w:rPr>
        <w:t>Кількість справ, розглянутих КОАС у 20</w:t>
      </w:r>
      <w:r>
        <w:rPr>
          <w:kern w:val="28"/>
          <w:sz w:val="28"/>
          <w:szCs w:val="28"/>
        </w:rPr>
        <w:t>2</w:t>
      </w:r>
      <w:r w:rsidR="00BA346E">
        <w:rPr>
          <w:kern w:val="28"/>
          <w:sz w:val="28"/>
          <w:szCs w:val="28"/>
        </w:rPr>
        <w:t>2</w:t>
      </w:r>
      <w:r w:rsidRPr="00205357">
        <w:rPr>
          <w:kern w:val="28"/>
          <w:sz w:val="28"/>
          <w:szCs w:val="28"/>
        </w:rPr>
        <w:t xml:space="preserve"> році, становить </w:t>
      </w:r>
      <w:r w:rsidR="00BA346E">
        <w:rPr>
          <w:kern w:val="28"/>
          <w:sz w:val="28"/>
          <w:szCs w:val="28"/>
        </w:rPr>
        <w:t>11885</w:t>
      </w:r>
      <w:r w:rsidRPr="00205357">
        <w:rPr>
          <w:kern w:val="28"/>
          <w:sz w:val="28"/>
          <w:szCs w:val="28"/>
        </w:rPr>
        <w:t>, тоді як у 20</w:t>
      </w:r>
      <w:r w:rsidR="00BA346E">
        <w:rPr>
          <w:kern w:val="28"/>
          <w:sz w:val="28"/>
          <w:szCs w:val="28"/>
        </w:rPr>
        <w:t>21</w:t>
      </w:r>
      <w:r w:rsidRPr="00205357">
        <w:rPr>
          <w:kern w:val="28"/>
          <w:sz w:val="28"/>
          <w:szCs w:val="28"/>
        </w:rPr>
        <w:t xml:space="preserve"> році</w:t>
      </w:r>
      <w:r w:rsidR="00BA346E">
        <w:rPr>
          <w:kern w:val="28"/>
          <w:sz w:val="28"/>
          <w:szCs w:val="28"/>
        </w:rPr>
        <w:t xml:space="preserve"> такий показник становив</w:t>
      </w:r>
      <w:r w:rsidRPr="00205357">
        <w:rPr>
          <w:kern w:val="28"/>
          <w:sz w:val="28"/>
          <w:szCs w:val="28"/>
        </w:rPr>
        <w:t xml:space="preserve"> </w:t>
      </w:r>
      <w:r w:rsidR="00BA346E">
        <w:rPr>
          <w:kern w:val="28"/>
          <w:sz w:val="28"/>
          <w:szCs w:val="28"/>
        </w:rPr>
        <w:t>12094</w:t>
      </w:r>
      <w:r w:rsidRPr="00205357">
        <w:rPr>
          <w:kern w:val="28"/>
          <w:sz w:val="28"/>
          <w:szCs w:val="28"/>
        </w:rPr>
        <w:t xml:space="preserve"> справ. Із них</w:t>
      </w:r>
      <w:r w:rsidR="00BA346E">
        <w:rPr>
          <w:kern w:val="28"/>
          <w:sz w:val="28"/>
          <w:szCs w:val="28"/>
        </w:rPr>
        <w:t xml:space="preserve"> </w:t>
      </w:r>
      <w:r w:rsidRPr="00205357">
        <w:rPr>
          <w:kern w:val="28"/>
          <w:sz w:val="28"/>
          <w:szCs w:val="28"/>
        </w:rPr>
        <w:t xml:space="preserve">із </w:t>
      </w:r>
      <w:r w:rsidR="00BA346E">
        <w:rPr>
          <w:kern w:val="28"/>
          <w:sz w:val="28"/>
          <w:szCs w:val="28"/>
        </w:rPr>
        <w:t>прийняттям рішення</w:t>
      </w:r>
      <w:r w:rsidRPr="00205357">
        <w:rPr>
          <w:kern w:val="28"/>
          <w:sz w:val="28"/>
          <w:szCs w:val="28"/>
        </w:rPr>
        <w:t xml:space="preserve"> розглянуто </w:t>
      </w:r>
      <w:r w:rsidR="00BA346E">
        <w:rPr>
          <w:kern w:val="28"/>
          <w:sz w:val="28"/>
          <w:szCs w:val="28"/>
        </w:rPr>
        <w:t>11321</w:t>
      </w:r>
      <w:r w:rsidRPr="00205357">
        <w:rPr>
          <w:kern w:val="28"/>
          <w:sz w:val="28"/>
          <w:szCs w:val="28"/>
        </w:rPr>
        <w:t xml:space="preserve"> справ (76,</w:t>
      </w:r>
      <w:r w:rsidR="00BA346E">
        <w:rPr>
          <w:kern w:val="28"/>
          <w:sz w:val="28"/>
          <w:szCs w:val="28"/>
        </w:rPr>
        <w:t>3</w:t>
      </w:r>
      <w:r w:rsidRPr="00205357">
        <w:rPr>
          <w:kern w:val="28"/>
          <w:sz w:val="28"/>
          <w:szCs w:val="28"/>
        </w:rPr>
        <w:t>% розглянутих справ), тоді як і у 20</w:t>
      </w:r>
      <w:r w:rsidR="00BA346E">
        <w:rPr>
          <w:kern w:val="28"/>
          <w:sz w:val="28"/>
          <w:szCs w:val="28"/>
        </w:rPr>
        <w:t>21</w:t>
      </w:r>
      <w:r w:rsidRPr="00205357">
        <w:rPr>
          <w:kern w:val="28"/>
          <w:sz w:val="28"/>
          <w:szCs w:val="28"/>
        </w:rPr>
        <w:t xml:space="preserve"> році такий показник становив </w:t>
      </w:r>
      <w:r w:rsidR="00BA346E">
        <w:rPr>
          <w:kern w:val="28"/>
          <w:sz w:val="28"/>
          <w:szCs w:val="28"/>
        </w:rPr>
        <w:t>10786</w:t>
      </w:r>
      <w:r w:rsidRPr="00205357">
        <w:rPr>
          <w:kern w:val="28"/>
          <w:sz w:val="28"/>
          <w:szCs w:val="28"/>
        </w:rPr>
        <w:t xml:space="preserve"> (</w:t>
      </w:r>
      <w:r w:rsidR="00BA346E">
        <w:rPr>
          <w:kern w:val="28"/>
          <w:sz w:val="28"/>
          <w:szCs w:val="28"/>
        </w:rPr>
        <w:t>65,7</w:t>
      </w:r>
      <w:r w:rsidRPr="00205357">
        <w:rPr>
          <w:kern w:val="28"/>
          <w:sz w:val="28"/>
          <w:szCs w:val="28"/>
        </w:rPr>
        <w:t>%).</w:t>
      </w:r>
    </w:p>
    <w:p w14:paraId="4DBB2608" w14:textId="15E1E05B" w:rsidR="00DA7D8A" w:rsidRPr="00205357" w:rsidRDefault="00DA7D8A" w:rsidP="00451174">
      <w:pPr>
        <w:ind w:firstLine="709"/>
        <w:jc w:val="both"/>
        <w:rPr>
          <w:kern w:val="28"/>
          <w:sz w:val="28"/>
          <w:szCs w:val="28"/>
        </w:rPr>
      </w:pPr>
      <w:r w:rsidRPr="00205357">
        <w:rPr>
          <w:kern w:val="28"/>
          <w:sz w:val="28"/>
          <w:szCs w:val="28"/>
        </w:rPr>
        <w:t xml:space="preserve">У звітному періоді показник розглянутих справ, у яких позовні вимоги заявників задоволено, становить </w:t>
      </w:r>
      <w:r w:rsidR="00BA346E">
        <w:rPr>
          <w:kern w:val="28"/>
          <w:sz w:val="28"/>
          <w:szCs w:val="28"/>
        </w:rPr>
        <w:t>10505</w:t>
      </w:r>
      <w:r w:rsidRPr="00205357">
        <w:rPr>
          <w:kern w:val="28"/>
          <w:sz w:val="28"/>
          <w:szCs w:val="28"/>
        </w:rPr>
        <w:t xml:space="preserve"> (</w:t>
      </w:r>
      <w:r w:rsidR="00BA346E">
        <w:rPr>
          <w:kern w:val="28"/>
          <w:sz w:val="28"/>
          <w:szCs w:val="28"/>
        </w:rPr>
        <w:t>88,4</w:t>
      </w:r>
      <w:r w:rsidRPr="00205357">
        <w:rPr>
          <w:kern w:val="28"/>
          <w:sz w:val="28"/>
          <w:szCs w:val="28"/>
        </w:rPr>
        <w:t xml:space="preserve">%). Відмовлено у задоволенні вимог у </w:t>
      </w:r>
      <w:r w:rsidR="00BA346E">
        <w:rPr>
          <w:kern w:val="28"/>
          <w:sz w:val="28"/>
          <w:szCs w:val="28"/>
        </w:rPr>
        <w:t>816</w:t>
      </w:r>
      <w:r w:rsidRPr="00205357">
        <w:rPr>
          <w:kern w:val="28"/>
          <w:sz w:val="28"/>
          <w:szCs w:val="28"/>
        </w:rPr>
        <w:t xml:space="preserve"> справах, що становить </w:t>
      </w:r>
      <w:r w:rsidR="00BA346E">
        <w:rPr>
          <w:kern w:val="28"/>
          <w:sz w:val="28"/>
          <w:szCs w:val="28"/>
        </w:rPr>
        <w:t>6,9</w:t>
      </w:r>
      <w:r w:rsidRPr="00205357">
        <w:rPr>
          <w:kern w:val="28"/>
          <w:sz w:val="28"/>
          <w:szCs w:val="28"/>
        </w:rPr>
        <w:t xml:space="preserve">% від розглянутих справ. У </w:t>
      </w:r>
      <w:r w:rsidR="00BA346E">
        <w:rPr>
          <w:kern w:val="28"/>
          <w:sz w:val="28"/>
          <w:szCs w:val="28"/>
        </w:rPr>
        <w:t>564</w:t>
      </w:r>
      <w:r w:rsidRPr="00205357">
        <w:rPr>
          <w:kern w:val="28"/>
          <w:sz w:val="28"/>
          <w:szCs w:val="28"/>
        </w:rPr>
        <w:t xml:space="preserve"> (</w:t>
      </w:r>
      <w:r w:rsidR="00BA346E">
        <w:rPr>
          <w:kern w:val="28"/>
          <w:sz w:val="28"/>
          <w:szCs w:val="28"/>
        </w:rPr>
        <w:t>4,7</w:t>
      </w:r>
      <w:r w:rsidRPr="00205357">
        <w:rPr>
          <w:kern w:val="28"/>
          <w:sz w:val="28"/>
          <w:szCs w:val="28"/>
        </w:rPr>
        <w:t>%) справах ухвалено інші судові рішення,</w:t>
      </w:r>
      <w:r w:rsidRPr="00205357">
        <w:rPr>
          <w:rStyle w:val="ab"/>
          <w:kern w:val="28"/>
          <w:sz w:val="28"/>
          <w:szCs w:val="28"/>
        </w:rPr>
        <w:t xml:space="preserve"> </w:t>
      </w:r>
      <w:r w:rsidRPr="00205357">
        <w:rPr>
          <w:kern w:val="28"/>
          <w:sz w:val="28"/>
          <w:szCs w:val="28"/>
        </w:rPr>
        <w:t>зокрема про закриття провадження у справі, залишення позовної заяви без розгляду чи про передачу справи до іншого суду</w:t>
      </w:r>
    </w:p>
    <w:p w14:paraId="1FAED6C7" w14:textId="57CA3D67" w:rsidR="0022257A" w:rsidRPr="00205357" w:rsidRDefault="00566199" w:rsidP="00AE50D5">
      <w:pPr>
        <w:ind w:firstLine="709"/>
        <w:jc w:val="both"/>
        <w:rPr>
          <w:kern w:val="28"/>
          <w:sz w:val="28"/>
          <w:szCs w:val="28"/>
        </w:rPr>
      </w:pPr>
      <w:r>
        <w:rPr>
          <w:kern w:val="28"/>
          <w:sz w:val="28"/>
          <w:szCs w:val="28"/>
        </w:rPr>
        <w:t xml:space="preserve">Таким чином, у порівнянні з </w:t>
      </w:r>
      <w:r w:rsidR="0022257A" w:rsidRPr="00205357">
        <w:rPr>
          <w:kern w:val="28"/>
          <w:sz w:val="28"/>
          <w:szCs w:val="28"/>
        </w:rPr>
        <w:t xml:space="preserve">минулим </w:t>
      </w:r>
      <w:r w:rsidR="00320E09" w:rsidRPr="00205357">
        <w:rPr>
          <w:kern w:val="28"/>
          <w:sz w:val="28"/>
          <w:szCs w:val="28"/>
        </w:rPr>
        <w:t>періодом</w:t>
      </w:r>
      <w:r w:rsidR="007321FE" w:rsidRPr="00205357">
        <w:rPr>
          <w:kern w:val="28"/>
          <w:sz w:val="28"/>
          <w:szCs w:val="28"/>
        </w:rPr>
        <w:t xml:space="preserve"> 20</w:t>
      </w:r>
      <w:r w:rsidR="00BA346E">
        <w:rPr>
          <w:kern w:val="28"/>
          <w:sz w:val="28"/>
          <w:szCs w:val="28"/>
        </w:rPr>
        <w:t>21</w:t>
      </w:r>
      <w:r w:rsidR="007321FE" w:rsidRPr="00205357">
        <w:rPr>
          <w:kern w:val="28"/>
          <w:sz w:val="28"/>
          <w:szCs w:val="28"/>
        </w:rPr>
        <w:t xml:space="preserve"> року</w:t>
      </w:r>
      <w:r>
        <w:rPr>
          <w:kern w:val="28"/>
          <w:sz w:val="28"/>
          <w:szCs w:val="28"/>
        </w:rPr>
        <w:t>, у 2020 році</w:t>
      </w:r>
      <w:r w:rsidR="00320E09" w:rsidRPr="00205357">
        <w:rPr>
          <w:kern w:val="28"/>
          <w:sz w:val="28"/>
          <w:szCs w:val="28"/>
        </w:rPr>
        <w:t xml:space="preserve"> </w:t>
      </w:r>
      <w:r w:rsidR="0073070D" w:rsidRPr="00205357">
        <w:rPr>
          <w:kern w:val="28"/>
          <w:sz w:val="28"/>
          <w:szCs w:val="28"/>
        </w:rPr>
        <w:t xml:space="preserve">спостерігаються </w:t>
      </w:r>
      <w:r w:rsidR="0022257A" w:rsidRPr="00205357">
        <w:rPr>
          <w:kern w:val="28"/>
          <w:sz w:val="28"/>
          <w:szCs w:val="28"/>
        </w:rPr>
        <w:t>динамічні зміни</w:t>
      </w:r>
      <w:r w:rsidR="00BA346E">
        <w:rPr>
          <w:kern w:val="28"/>
          <w:sz w:val="28"/>
          <w:szCs w:val="28"/>
        </w:rPr>
        <w:t xml:space="preserve"> до</w:t>
      </w:r>
      <w:r w:rsidR="0022257A" w:rsidRPr="00205357">
        <w:rPr>
          <w:kern w:val="28"/>
          <w:sz w:val="28"/>
          <w:szCs w:val="28"/>
        </w:rPr>
        <w:t xml:space="preserve"> </w:t>
      </w:r>
      <w:r w:rsidR="00BA346E">
        <w:rPr>
          <w:kern w:val="28"/>
          <w:sz w:val="28"/>
          <w:szCs w:val="28"/>
        </w:rPr>
        <w:t xml:space="preserve">збільшення </w:t>
      </w:r>
      <w:r w:rsidR="0022257A" w:rsidRPr="00205357">
        <w:rPr>
          <w:kern w:val="28"/>
          <w:sz w:val="28"/>
          <w:szCs w:val="28"/>
        </w:rPr>
        <w:t>кількості розглянутих справ</w:t>
      </w:r>
      <w:r w:rsidR="00BA346E">
        <w:rPr>
          <w:kern w:val="28"/>
          <w:sz w:val="28"/>
          <w:szCs w:val="28"/>
        </w:rPr>
        <w:t xml:space="preserve">, за результатами розгляду яких прийняті рішення про </w:t>
      </w:r>
      <w:r w:rsidR="0073070D" w:rsidRPr="00205357">
        <w:rPr>
          <w:kern w:val="28"/>
          <w:sz w:val="28"/>
          <w:szCs w:val="28"/>
        </w:rPr>
        <w:t>задоволення позовних</w:t>
      </w:r>
      <w:r w:rsidR="0022257A" w:rsidRPr="00205357">
        <w:rPr>
          <w:kern w:val="28"/>
          <w:sz w:val="28"/>
          <w:szCs w:val="28"/>
        </w:rPr>
        <w:t xml:space="preserve"> вимог</w:t>
      </w:r>
      <w:r w:rsidR="0073070D" w:rsidRPr="00205357">
        <w:rPr>
          <w:kern w:val="28"/>
          <w:sz w:val="28"/>
          <w:szCs w:val="28"/>
        </w:rPr>
        <w:t>, зокрема збільшення таких справ на</w:t>
      </w:r>
      <w:r w:rsidR="0056610A" w:rsidRPr="00205357">
        <w:rPr>
          <w:kern w:val="28"/>
          <w:sz w:val="28"/>
          <w:szCs w:val="28"/>
        </w:rPr>
        <w:t xml:space="preserve"> </w:t>
      </w:r>
      <w:r w:rsidR="00BA346E">
        <w:rPr>
          <w:kern w:val="28"/>
          <w:sz w:val="28"/>
          <w:szCs w:val="28"/>
        </w:rPr>
        <w:t>1073 (11,3%)</w:t>
      </w:r>
      <w:r w:rsidR="006C6881" w:rsidRPr="00205357">
        <w:rPr>
          <w:kern w:val="28"/>
          <w:sz w:val="28"/>
          <w:szCs w:val="28"/>
        </w:rPr>
        <w:t>.</w:t>
      </w:r>
      <w:r w:rsidR="009914E7" w:rsidRPr="00205357">
        <w:rPr>
          <w:kern w:val="28"/>
          <w:sz w:val="28"/>
          <w:szCs w:val="28"/>
        </w:rPr>
        <w:t xml:space="preserve"> </w:t>
      </w:r>
    </w:p>
    <w:p w14:paraId="688A63A2" w14:textId="2C99EBCD" w:rsidR="0049508C" w:rsidRPr="00205357" w:rsidRDefault="006D63CE" w:rsidP="0049508C">
      <w:pPr>
        <w:ind w:firstLine="709"/>
        <w:jc w:val="both"/>
        <w:rPr>
          <w:kern w:val="28"/>
          <w:sz w:val="28"/>
          <w:szCs w:val="28"/>
        </w:rPr>
      </w:pPr>
      <w:r w:rsidRPr="00205357">
        <w:rPr>
          <w:kern w:val="28"/>
          <w:sz w:val="28"/>
          <w:szCs w:val="28"/>
        </w:rPr>
        <w:t>Щодо результатів</w:t>
      </w:r>
      <w:r w:rsidR="0049508C" w:rsidRPr="00205357">
        <w:rPr>
          <w:kern w:val="28"/>
          <w:sz w:val="28"/>
          <w:szCs w:val="28"/>
        </w:rPr>
        <w:t xml:space="preserve"> розгляду КОАС справ (</w:t>
      </w:r>
      <w:r w:rsidR="008E238F">
        <w:rPr>
          <w:kern w:val="28"/>
          <w:sz w:val="28"/>
          <w:szCs w:val="28"/>
        </w:rPr>
        <w:t>11885</w:t>
      </w:r>
      <w:r w:rsidR="0049508C" w:rsidRPr="00205357">
        <w:rPr>
          <w:kern w:val="28"/>
          <w:sz w:val="28"/>
          <w:szCs w:val="28"/>
        </w:rPr>
        <w:t>) за кате</w:t>
      </w:r>
      <w:r w:rsidRPr="00205357">
        <w:rPr>
          <w:kern w:val="28"/>
          <w:sz w:val="28"/>
          <w:szCs w:val="28"/>
        </w:rPr>
        <w:t>горіями адміністративних справ, то</w:t>
      </w:r>
      <w:r w:rsidR="00DD3954">
        <w:rPr>
          <w:kern w:val="28"/>
          <w:sz w:val="28"/>
          <w:szCs w:val="28"/>
        </w:rPr>
        <w:t xml:space="preserve"> у 202</w:t>
      </w:r>
      <w:r w:rsidR="008E238F">
        <w:rPr>
          <w:kern w:val="28"/>
          <w:sz w:val="28"/>
          <w:szCs w:val="28"/>
        </w:rPr>
        <w:t>2</w:t>
      </w:r>
      <w:r w:rsidR="00DD3954">
        <w:rPr>
          <w:kern w:val="28"/>
          <w:sz w:val="28"/>
          <w:szCs w:val="28"/>
        </w:rPr>
        <w:t xml:space="preserve"> році</w:t>
      </w:r>
      <w:r w:rsidRPr="00205357">
        <w:rPr>
          <w:kern w:val="28"/>
          <w:sz w:val="28"/>
          <w:szCs w:val="28"/>
        </w:rPr>
        <w:t xml:space="preserve"> К</w:t>
      </w:r>
      <w:r w:rsidR="0049508C" w:rsidRPr="00205357">
        <w:rPr>
          <w:kern w:val="28"/>
          <w:sz w:val="28"/>
          <w:szCs w:val="28"/>
        </w:rPr>
        <w:t>ОАС було розглянуто:</w:t>
      </w:r>
    </w:p>
    <w:p w14:paraId="201D1E96" w14:textId="01A3973A" w:rsidR="008C403E"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щодо захисту політичних (крім виборчих) та громадянських прав</w:t>
      </w:r>
      <w:r w:rsidR="00632112" w:rsidRPr="00205357">
        <w:rPr>
          <w:kern w:val="28"/>
          <w:sz w:val="28"/>
          <w:szCs w:val="28"/>
          <w:lang w:val="uk-UA"/>
        </w:rPr>
        <w:t xml:space="preserve"> </w:t>
      </w:r>
      <w:r w:rsidR="00632112" w:rsidRPr="00205357">
        <w:rPr>
          <w:kern w:val="28"/>
          <w:sz w:val="28"/>
          <w:szCs w:val="28"/>
        </w:rPr>
        <w:t>–</w:t>
      </w:r>
      <w:r w:rsidR="00B02C85" w:rsidRPr="00205357">
        <w:rPr>
          <w:kern w:val="28"/>
          <w:sz w:val="28"/>
          <w:szCs w:val="28"/>
        </w:rPr>
        <w:t xml:space="preserve"> </w:t>
      </w:r>
      <w:r w:rsidR="008E238F">
        <w:rPr>
          <w:kern w:val="28"/>
          <w:sz w:val="28"/>
          <w:szCs w:val="28"/>
          <w:lang w:val="uk-UA"/>
        </w:rPr>
        <w:t>178</w:t>
      </w:r>
      <w:r w:rsidR="00632112" w:rsidRPr="00205357">
        <w:rPr>
          <w:kern w:val="28"/>
          <w:sz w:val="28"/>
          <w:szCs w:val="28"/>
          <w:lang w:val="uk-UA"/>
        </w:rPr>
        <w:t xml:space="preserve"> (</w:t>
      </w:r>
      <w:r w:rsidR="008E238F">
        <w:rPr>
          <w:kern w:val="28"/>
          <w:sz w:val="28"/>
          <w:szCs w:val="28"/>
          <w:lang w:val="uk-UA"/>
        </w:rPr>
        <w:t>1,5</w:t>
      </w:r>
      <w:r w:rsidR="00632112" w:rsidRPr="00205357">
        <w:rPr>
          <w:kern w:val="28"/>
          <w:sz w:val="28"/>
          <w:szCs w:val="28"/>
          <w:lang w:val="uk-UA"/>
        </w:rPr>
        <w:t>% від розглянутих справ);</w:t>
      </w:r>
    </w:p>
    <w:p w14:paraId="182B2714" w14:textId="39E523AA" w:rsidR="008C403E"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щодо примусового виконання судових рішень і рішень інших органів</w:t>
      </w:r>
      <w:r w:rsidR="00632112" w:rsidRPr="00205357">
        <w:rPr>
          <w:kern w:val="28"/>
          <w:sz w:val="28"/>
          <w:szCs w:val="28"/>
          <w:lang w:val="uk-UA"/>
        </w:rPr>
        <w:t xml:space="preserve"> – </w:t>
      </w:r>
      <w:r w:rsidR="008E238F">
        <w:rPr>
          <w:kern w:val="28"/>
          <w:sz w:val="28"/>
          <w:szCs w:val="28"/>
          <w:lang w:val="uk-UA"/>
        </w:rPr>
        <w:t>227</w:t>
      </w:r>
      <w:r w:rsidR="00632112" w:rsidRPr="00205357">
        <w:rPr>
          <w:kern w:val="28"/>
          <w:sz w:val="28"/>
          <w:szCs w:val="28"/>
          <w:lang w:val="uk-UA"/>
        </w:rPr>
        <w:t xml:space="preserve"> (</w:t>
      </w:r>
      <w:r w:rsidR="008E238F">
        <w:rPr>
          <w:kern w:val="28"/>
          <w:sz w:val="28"/>
          <w:szCs w:val="28"/>
          <w:lang w:val="uk-UA"/>
        </w:rPr>
        <w:t>8,9</w:t>
      </w:r>
      <w:r w:rsidR="00632112" w:rsidRPr="00205357">
        <w:rPr>
          <w:kern w:val="28"/>
          <w:sz w:val="28"/>
          <w:szCs w:val="28"/>
          <w:lang w:val="uk-UA"/>
        </w:rPr>
        <w:t>%);</w:t>
      </w:r>
    </w:p>
    <w:p w14:paraId="4A86E1CA" w14:textId="55E1267A" w:rsidR="008C403E"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що виникають з відносин публічної служби</w:t>
      </w:r>
      <w:r w:rsidR="00632112" w:rsidRPr="00205357">
        <w:rPr>
          <w:kern w:val="28"/>
          <w:sz w:val="28"/>
          <w:szCs w:val="28"/>
          <w:lang w:val="uk-UA"/>
        </w:rPr>
        <w:t xml:space="preserve"> – </w:t>
      </w:r>
      <w:r w:rsidR="008E238F">
        <w:rPr>
          <w:kern w:val="28"/>
          <w:sz w:val="28"/>
          <w:szCs w:val="28"/>
          <w:lang w:val="uk-UA"/>
        </w:rPr>
        <w:t>591</w:t>
      </w:r>
      <w:r w:rsidR="00632112" w:rsidRPr="00205357">
        <w:rPr>
          <w:kern w:val="28"/>
          <w:sz w:val="28"/>
          <w:szCs w:val="28"/>
          <w:lang w:val="uk-UA"/>
        </w:rPr>
        <w:t xml:space="preserve"> (</w:t>
      </w:r>
      <w:r w:rsidR="008E238F">
        <w:rPr>
          <w:kern w:val="28"/>
          <w:sz w:val="28"/>
          <w:szCs w:val="28"/>
          <w:lang w:val="uk-UA"/>
        </w:rPr>
        <w:t>5</w:t>
      </w:r>
      <w:r w:rsidR="00632112" w:rsidRPr="00205357">
        <w:rPr>
          <w:kern w:val="28"/>
          <w:sz w:val="28"/>
          <w:szCs w:val="28"/>
          <w:lang w:val="uk-UA"/>
        </w:rPr>
        <w:t>%);</w:t>
      </w:r>
    </w:p>
    <w:p w14:paraId="3390CCB6" w14:textId="3AE27D64" w:rsidR="008C403E"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з приводу реалізації державної політики у сфері економіки та публічної фінансової політики</w:t>
      </w:r>
      <w:r w:rsidR="00632112" w:rsidRPr="00205357">
        <w:rPr>
          <w:kern w:val="28"/>
          <w:sz w:val="28"/>
          <w:szCs w:val="28"/>
          <w:lang w:val="uk-UA"/>
        </w:rPr>
        <w:t xml:space="preserve"> – </w:t>
      </w:r>
      <w:r w:rsidR="008E238F">
        <w:rPr>
          <w:kern w:val="28"/>
          <w:sz w:val="28"/>
          <w:szCs w:val="28"/>
          <w:lang w:val="uk-UA"/>
        </w:rPr>
        <w:t>278</w:t>
      </w:r>
      <w:r w:rsidR="00632112" w:rsidRPr="00205357">
        <w:rPr>
          <w:kern w:val="28"/>
          <w:sz w:val="28"/>
          <w:szCs w:val="28"/>
          <w:lang w:val="uk-UA"/>
        </w:rPr>
        <w:t xml:space="preserve"> (</w:t>
      </w:r>
      <w:r w:rsidR="008E238F">
        <w:rPr>
          <w:kern w:val="28"/>
          <w:sz w:val="28"/>
          <w:szCs w:val="28"/>
          <w:lang w:val="uk-UA"/>
        </w:rPr>
        <w:t>5</w:t>
      </w:r>
      <w:r w:rsidR="00632112" w:rsidRPr="00205357">
        <w:rPr>
          <w:kern w:val="28"/>
          <w:sz w:val="28"/>
          <w:szCs w:val="28"/>
          <w:lang w:val="uk-UA"/>
        </w:rPr>
        <w:t>%);</w:t>
      </w:r>
    </w:p>
    <w:p w14:paraId="550A4326" w14:textId="5C3CB42F" w:rsidR="008C403E"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з приводу регулюванню містобудівної діяльності та землекористування</w:t>
      </w:r>
      <w:r w:rsidR="00632112" w:rsidRPr="00205357">
        <w:rPr>
          <w:kern w:val="28"/>
          <w:sz w:val="28"/>
          <w:szCs w:val="28"/>
          <w:lang w:val="uk-UA"/>
        </w:rPr>
        <w:t xml:space="preserve"> – </w:t>
      </w:r>
      <w:r w:rsidR="008E238F">
        <w:rPr>
          <w:kern w:val="28"/>
          <w:sz w:val="28"/>
          <w:szCs w:val="28"/>
          <w:lang w:val="uk-UA"/>
        </w:rPr>
        <w:t>645</w:t>
      </w:r>
      <w:r w:rsidR="00632112" w:rsidRPr="00205357">
        <w:rPr>
          <w:kern w:val="28"/>
          <w:sz w:val="28"/>
          <w:szCs w:val="28"/>
          <w:lang w:val="uk-UA"/>
        </w:rPr>
        <w:t xml:space="preserve"> (</w:t>
      </w:r>
      <w:r w:rsidR="008E238F">
        <w:rPr>
          <w:kern w:val="28"/>
          <w:sz w:val="28"/>
          <w:szCs w:val="28"/>
          <w:lang w:val="uk-UA"/>
        </w:rPr>
        <w:t>5,4</w:t>
      </w:r>
      <w:r w:rsidR="00632112" w:rsidRPr="00205357">
        <w:rPr>
          <w:kern w:val="28"/>
          <w:sz w:val="28"/>
          <w:szCs w:val="28"/>
          <w:lang w:val="uk-UA"/>
        </w:rPr>
        <w:t>%);</w:t>
      </w:r>
    </w:p>
    <w:p w14:paraId="05BEEB44" w14:textId="62AC6E6C" w:rsidR="008C403E"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з приводу адміністрування податків, зборів, платежів, а також контролю за дотриманням вимог податкового законодавства</w:t>
      </w:r>
      <w:r w:rsidR="00632112" w:rsidRPr="00205357">
        <w:rPr>
          <w:kern w:val="28"/>
          <w:sz w:val="28"/>
          <w:szCs w:val="28"/>
          <w:lang w:val="uk-UA"/>
        </w:rPr>
        <w:t xml:space="preserve"> – </w:t>
      </w:r>
      <w:r w:rsidR="008E238F">
        <w:rPr>
          <w:kern w:val="28"/>
          <w:sz w:val="28"/>
          <w:szCs w:val="28"/>
          <w:lang w:val="uk-UA"/>
        </w:rPr>
        <w:t>1542</w:t>
      </w:r>
      <w:r w:rsidR="00632112" w:rsidRPr="00205357">
        <w:rPr>
          <w:kern w:val="28"/>
          <w:sz w:val="28"/>
          <w:szCs w:val="28"/>
          <w:lang w:val="uk-UA"/>
        </w:rPr>
        <w:t xml:space="preserve"> (</w:t>
      </w:r>
      <w:r w:rsidR="008E238F">
        <w:rPr>
          <w:kern w:val="28"/>
          <w:sz w:val="28"/>
          <w:szCs w:val="28"/>
          <w:lang w:val="uk-UA"/>
        </w:rPr>
        <w:t>13</w:t>
      </w:r>
      <w:r w:rsidR="00632112" w:rsidRPr="00205357">
        <w:rPr>
          <w:kern w:val="28"/>
          <w:sz w:val="28"/>
          <w:szCs w:val="28"/>
          <w:lang w:val="uk-UA"/>
        </w:rPr>
        <w:t>%);</w:t>
      </w:r>
    </w:p>
    <w:p w14:paraId="085436BF" w14:textId="7FBF2815" w:rsidR="00B02C85"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зі спорів з приводу реалізації публічної політики у сферах праці, зайнятості населення та соціального захисту громадян та публічної житлової політики</w:t>
      </w:r>
      <w:r w:rsidR="00B02C85" w:rsidRPr="00205357">
        <w:rPr>
          <w:kern w:val="28"/>
          <w:sz w:val="28"/>
          <w:szCs w:val="28"/>
          <w:lang w:val="uk-UA"/>
        </w:rPr>
        <w:t xml:space="preserve"> </w:t>
      </w:r>
      <w:r w:rsidR="00632112" w:rsidRPr="00205357">
        <w:rPr>
          <w:kern w:val="28"/>
          <w:sz w:val="28"/>
          <w:szCs w:val="28"/>
          <w:lang w:val="uk-UA"/>
        </w:rPr>
        <w:t xml:space="preserve">– </w:t>
      </w:r>
      <w:r w:rsidR="008E238F">
        <w:rPr>
          <w:kern w:val="28"/>
          <w:sz w:val="28"/>
          <w:szCs w:val="28"/>
          <w:lang w:val="uk-UA"/>
        </w:rPr>
        <w:t>7990</w:t>
      </w:r>
      <w:r w:rsidR="00632112" w:rsidRPr="00205357">
        <w:rPr>
          <w:kern w:val="28"/>
          <w:sz w:val="28"/>
          <w:szCs w:val="28"/>
          <w:lang w:val="uk-UA"/>
        </w:rPr>
        <w:t xml:space="preserve"> (</w:t>
      </w:r>
      <w:r w:rsidR="008E238F">
        <w:rPr>
          <w:kern w:val="28"/>
          <w:sz w:val="28"/>
          <w:szCs w:val="28"/>
          <w:lang w:val="uk-UA"/>
        </w:rPr>
        <w:t>67,2</w:t>
      </w:r>
      <w:r w:rsidR="00632112" w:rsidRPr="00205357">
        <w:rPr>
          <w:kern w:val="28"/>
          <w:sz w:val="28"/>
          <w:szCs w:val="28"/>
          <w:lang w:val="uk-UA"/>
        </w:rPr>
        <w:t>%);</w:t>
      </w:r>
    </w:p>
    <w:p w14:paraId="21C4E2DA" w14:textId="71ACE25C" w:rsidR="008C403E"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с</w:t>
      </w:r>
      <w:r w:rsidR="008C403E" w:rsidRPr="00205357">
        <w:rPr>
          <w:kern w:val="28"/>
          <w:sz w:val="28"/>
          <w:szCs w:val="28"/>
          <w:lang w:val="uk-UA"/>
        </w:rPr>
        <w:t>прави щодо забезпечення громадського порядку та безпеки, національної безпеки та оборони України</w:t>
      </w:r>
      <w:r w:rsidR="00632112" w:rsidRPr="00205357">
        <w:rPr>
          <w:kern w:val="28"/>
          <w:sz w:val="28"/>
          <w:szCs w:val="28"/>
          <w:lang w:val="uk-UA"/>
        </w:rPr>
        <w:t xml:space="preserve"> – </w:t>
      </w:r>
      <w:r w:rsidR="008E238F">
        <w:rPr>
          <w:kern w:val="28"/>
          <w:sz w:val="28"/>
          <w:szCs w:val="28"/>
          <w:lang w:val="uk-UA"/>
        </w:rPr>
        <w:t>385</w:t>
      </w:r>
      <w:r w:rsidR="00632112" w:rsidRPr="00205357">
        <w:rPr>
          <w:kern w:val="28"/>
          <w:sz w:val="28"/>
          <w:szCs w:val="28"/>
          <w:lang w:val="uk-UA"/>
        </w:rPr>
        <w:t xml:space="preserve"> (</w:t>
      </w:r>
      <w:r w:rsidR="008E238F">
        <w:rPr>
          <w:kern w:val="28"/>
          <w:sz w:val="28"/>
          <w:szCs w:val="28"/>
          <w:lang w:val="uk-UA"/>
        </w:rPr>
        <w:t>3,2</w:t>
      </w:r>
      <w:r w:rsidR="00632112" w:rsidRPr="00205357">
        <w:rPr>
          <w:kern w:val="28"/>
          <w:sz w:val="28"/>
          <w:szCs w:val="28"/>
          <w:lang w:val="uk-UA"/>
        </w:rPr>
        <w:t>%);</w:t>
      </w:r>
    </w:p>
    <w:p w14:paraId="193F9825" w14:textId="412E12E2" w:rsidR="00632112" w:rsidRPr="00205357" w:rsidRDefault="00F53796" w:rsidP="006724AD">
      <w:pPr>
        <w:pStyle w:val="a8"/>
        <w:numPr>
          <w:ilvl w:val="0"/>
          <w:numId w:val="8"/>
        </w:numPr>
        <w:ind w:left="0" w:firstLine="0"/>
        <w:jc w:val="both"/>
        <w:rPr>
          <w:kern w:val="28"/>
          <w:sz w:val="28"/>
          <w:szCs w:val="28"/>
          <w:lang w:val="uk-UA"/>
        </w:rPr>
      </w:pPr>
      <w:r w:rsidRPr="00205357">
        <w:rPr>
          <w:kern w:val="28"/>
          <w:sz w:val="28"/>
          <w:szCs w:val="28"/>
          <w:lang w:val="uk-UA"/>
        </w:rPr>
        <w:t>і</w:t>
      </w:r>
      <w:r w:rsidR="00632112" w:rsidRPr="00205357">
        <w:rPr>
          <w:kern w:val="28"/>
          <w:sz w:val="28"/>
          <w:szCs w:val="28"/>
          <w:lang w:val="uk-UA"/>
        </w:rPr>
        <w:t xml:space="preserve">нші </w:t>
      </w:r>
      <w:r w:rsidR="006724AD" w:rsidRPr="00205357">
        <w:rPr>
          <w:kern w:val="28"/>
          <w:sz w:val="28"/>
          <w:szCs w:val="28"/>
          <w:lang w:val="uk-UA"/>
        </w:rPr>
        <w:t xml:space="preserve">категорії </w:t>
      </w:r>
      <w:r w:rsidR="00632112" w:rsidRPr="00205357">
        <w:rPr>
          <w:kern w:val="28"/>
          <w:sz w:val="28"/>
          <w:szCs w:val="28"/>
          <w:lang w:val="uk-UA"/>
        </w:rPr>
        <w:t xml:space="preserve">справ – </w:t>
      </w:r>
      <w:r w:rsidR="008E238F">
        <w:rPr>
          <w:kern w:val="28"/>
          <w:sz w:val="28"/>
          <w:szCs w:val="28"/>
          <w:lang w:val="uk-UA"/>
        </w:rPr>
        <w:t>49</w:t>
      </w:r>
      <w:r w:rsidR="006724AD" w:rsidRPr="00205357">
        <w:rPr>
          <w:kern w:val="28"/>
          <w:sz w:val="28"/>
          <w:szCs w:val="28"/>
          <w:lang w:val="uk-UA"/>
        </w:rPr>
        <w:t xml:space="preserve"> (</w:t>
      </w:r>
      <w:r w:rsidR="008E238F">
        <w:rPr>
          <w:kern w:val="28"/>
          <w:sz w:val="28"/>
          <w:szCs w:val="28"/>
          <w:lang w:val="uk-UA"/>
        </w:rPr>
        <w:t>0,4</w:t>
      </w:r>
      <w:r w:rsidR="006724AD" w:rsidRPr="00205357">
        <w:rPr>
          <w:kern w:val="28"/>
          <w:sz w:val="28"/>
          <w:szCs w:val="28"/>
          <w:lang w:val="uk-UA"/>
        </w:rPr>
        <w:t xml:space="preserve"> </w:t>
      </w:r>
      <w:r w:rsidR="00632112" w:rsidRPr="00205357">
        <w:rPr>
          <w:kern w:val="28"/>
          <w:sz w:val="28"/>
          <w:szCs w:val="28"/>
          <w:lang w:val="uk-UA"/>
        </w:rPr>
        <w:t>%).</w:t>
      </w:r>
    </w:p>
    <w:p w14:paraId="37BC79D7" w14:textId="691D09AC" w:rsidR="009914E7" w:rsidRPr="0044787B" w:rsidRDefault="00632112" w:rsidP="00632112">
      <w:pPr>
        <w:pStyle w:val="a9"/>
        <w:ind w:firstLine="709"/>
        <w:jc w:val="both"/>
        <w:rPr>
          <w:kern w:val="28"/>
          <w:sz w:val="28"/>
          <w:szCs w:val="28"/>
          <w:lang w:val="uk-UA"/>
        </w:rPr>
      </w:pPr>
      <w:r w:rsidRPr="0044787B">
        <w:rPr>
          <w:kern w:val="28"/>
          <w:sz w:val="28"/>
          <w:szCs w:val="28"/>
          <w:lang w:val="uk-UA"/>
        </w:rPr>
        <w:t>На кінець 20</w:t>
      </w:r>
      <w:r w:rsidR="003576D2" w:rsidRPr="0044787B">
        <w:rPr>
          <w:kern w:val="28"/>
          <w:sz w:val="28"/>
          <w:szCs w:val="28"/>
          <w:lang w:val="uk-UA"/>
        </w:rPr>
        <w:t>2</w:t>
      </w:r>
      <w:r w:rsidR="008E238F">
        <w:rPr>
          <w:kern w:val="28"/>
          <w:sz w:val="28"/>
          <w:szCs w:val="28"/>
          <w:lang w:val="uk-UA"/>
        </w:rPr>
        <w:t>2</w:t>
      </w:r>
      <w:r w:rsidRPr="0044787B">
        <w:rPr>
          <w:kern w:val="28"/>
          <w:sz w:val="28"/>
          <w:szCs w:val="28"/>
          <w:lang w:val="uk-UA"/>
        </w:rPr>
        <w:t xml:space="preserve"> року залишок нерозглянутих справ і матеріалів позовних заяв становить </w:t>
      </w:r>
      <w:r w:rsidR="008E238F">
        <w:rPr>
          <w:kern w:val="28"/>
          <w:sz w:val="28"/>
          <w:szCs w:val="28"/>
          <w:lang w:val="uk-UA"/>
        </w:rPr>
        <w:t>8127</w:t>
      </w:r>
      <w:r w:rsidRPr="0044787B">
        <w:rPr>
          <w:kern w:val="28"/>
          <w:sz w:val="28"/>
          <w:szCs w:val="28"/>
          <w:lang w:val="uk-UA"/>
        </w:rPr>
        <w:t xml:space="preserve"> або </w:t>
      </w:r>
      <w:r w:rsidR="008E238F">
        <w:rPr>
          <w:kern w:val="28"/>
          <w:sz w:val="28"/>
          <w:szCs w:val="28"/>
          <w:lang w:val="uk-UA"/>
        </w:rPr>
        <w:t>35,4</w:t>
      </w:r>
      <w:r w:rsidRPr="0044787B">
        <w:rPr>
          <w:kern w:val="28"/>
          <w:sz w:val="28"/>
          <w:szCs w:val="28"/>
          <w:lang w:val="uk-UA"/>
        </w:rPr>
        <w:t xml:space="preserve">% від </w:t>
      </w:r>
      <w:r w:rsidR="00DD3954">
        <w:rPr>
          <w:kern w:val="28"/>
          <w:sz w:val="28"/>
          <w:szCs w:val="28"/>
          <w:lang w:val="uk-UA"/>
        </w:rPr>
        <w:t xml:space="preserve">загальної кількості </w:t>
      </w:r>
      <w:r w:rsidRPr="0044787B">
        <w:rPr>
          <w:kern w:val="28"/>
          <w:sz w:val="28"/>
          <w:szCs w:val="28"/>
          <w:lang w:val="uk-UA"/>
        </w:rPr>
        <w:t>справ та позовних заяв, що перебу</w:t>
      </w:r>
      <w:r w:rsidR="00DD3954">
        <w:rPr>
          <w:kern w:val="28"/>
          <w:sz w:val="28"/>
          <w:szCs w:val="28"/>
          <w:lang w:val="uk-UA"/>
        </w:rPr>
        <w:t xml:space="preserve">вали у провадженні КОАС, з яких: </w:t>
      </w:r>
      <w:r w:rsidR="008E238F">
        <w:rPr>
          <w:kern w:val="28"/>
          <w:sz w:val="28"/>
          <w:szCs w:val="28"/>
          <w:lang w:val="uk-UA"/>
        </w:rPr>
        <w:t>642</w:t>
      </w:r>
      <w:r w:rsidR="003576D2" w:rsidRPr="0044787B">
        <w:rPr>
          <w:kern w:val="28"/>
          <w:sz w:val="28"/>
          <w:szCs w:val="28"/>
          <w:lang w:val="uk-UA"/>
        </w:rPr>
        <w:t xml:space="preserve"> (</w:t>
      </w:r>
      <w:r w:rsidR="008E238F">
        <w:rPr>
          <w:kern w:val="28"/>
          <w:sz w:val="28"/>
          <w:szCs w:val="28"/>
          <w:lang w:val="uk-UA"/>
        </w:rPr>
        <w:t>2,8</w:t>
      </w:r>
      <w:r w:rsidR="003576D2" w:rsidRPr="0044787B">
        <w:rPr>
          <w:kern w:val="28"/>
          <w:sz w:val="28"/>
          <w:szCs w:val="28"/>
          <w:lang w:val="uk-UA"/>
        </w:rPr>
        <w:t>%)</w:t>
      </w:r>
      <w:r w:rsidR="009914E7" w:rsidRPr="0044787B">
        <w:rPr>
          <w:kern w:val="28"/>
          <w:sz w:val="28"/>
          <w:szCs w:val="28"/>
          <w:lang w:val="uk-UA"/>
        </w:rPr>
        <w:t xml:space="preserve"> позовн</w:t>
      </w:r>
      <w:r w:rsidR="008E238F">
        <w:rPr>
          <w:kern w:val="28"/>
          <w:sz w:val="28"/>
          <w:szCs w:val="28"/>
          <w:lang w:val="uk-UA"/>
        </w:rPr>
        <w:t>і</w:t>
      </w:r>
      <w:r w:rsidR="009914E7" w:rsidRPr="0044787B">
        <w:rPr>
          <w:kern w:val="28"/>
          <w:sz w:val="28"/>
          <w:szCs w:val="28"/>
          <w:lang w:val="uk-UA"/>
        </w:rPr>
        <w:t xml:space="preserve"> заяв</w:t>
      </w:r>
      <w:r w:rsidR="008E238F">
        <w:rPr>
          <w:kern w:val="28"/>
          <w:sz w:val="28"/>
          <w:szCs w:val="28"/>
          <w:lang w:val="uk-UA"/>
        </w:rPr>
        <w:t>и</w:t>
      </w:r>
      <w:r w:rsidR="009914E7" w:rsidRPr="0044787B">
        <w:rPr>
          <w:kern w:val="28"/>
          <w:sz w:val="28"/>
          <w:szCs w:val="28"/>
          <w:lang w:val="uk-UA"/>
        </w:rPr>
        <w:t xml:space="preserve">, </w:t>
      </w:r>
      <w:r w:rsidR="0091315F" w:rsidRPr="0044787B">
        <w:rPr>
          <w:kern w:val="28"/>
          <w:sz w:val="28"/>
          <w:szCs w:val="28"/>
          <w:lang w:val="uk-UA"/>
        </w:rPr>
        <w:t>у тому числі</w:t>
      </w:r>
      <w:r w:rsidR="009914E7" w:rsidRPr="0044787B">
        <w:rPr>
          <w:kern w:val="28"/>
          <w:sz w:val="28"/>
          <w:szCs w:val="28"/>
          <w:lang w:val="uk-UA"/>
        </w:rPr>
        <w:t xml:space="preserve"> </w:t>
      </w:r>
      <w:r w:rsidR="008E238F">
        <w:rPr>
          <w:kern w:val="28"/>
          <w:sz w:val="28"/>
          <w:szCs w:val="28"/>
          <w:lang w:val="uk-UA"/>
        </w:rPr>
        <w:t>433 (1,9</w:t>
      </w:r>
      <w:r w:rsidR="00A420F8" w:rsidRPr="0044787B">
        <w:rPr>
          <w:kern w:val="28"/>
          <w:sz w:val="28"/>
          <w:szCs w:val="28"/>
          <w:lang w:val="uk-UA"/>
        </w:rPr>
        <w:t xml:space="preserve">%) </w:t>
      </w:r>
      <w:r w:rsidR="0091315F" w:rsidRPr="0044787B">
        <w:rPr>
          <w:kern w:val="28"/>
          <w:sz w:val="28"/>
          <w:szCs w:val="28"/>
          <w:lang w:val="uk-UA"/>
        </w:rPr>
        <w:t>позовн</w:t>
      </w:r>
      <w:r w:rsidR="00F53796" w:rsidRPr="0044787B">
        <w:rPr>
          <w:kern w:val="28"/>
          <w:sz w:val="28"/>
          <w:szCs w:val="28"/>
          <w:lang w:val="uk-UA"/>
        </w:rPr>
        <w:t>их</w:t>
      </w:r>
      <w:r w:rsidR="0091315F" w:rsidRPr="0044787B">
        <w:rPr>
          <w:kern w:val="28"/>
          <w:sz w:val="28"/>
          <w:szCs w:val="28"/>
          <w:lang w:val="uk-UA"/>
        </w:rPr>
        <w:t xml:space="preserve"> заяв</w:t>
      </w:r>
      <w:r w:rsidR="00DD3954">
        <w:rPr>
          <w:kern w:val="28"/>
          <w:sz w:val="28"/>
          <w:szCs w:val="28"/>
          <w:lang w:val="uk-UA"/>
        </w:rPr>
        <w:t>, які</w:t>
      </w:r>
      <w:r w:rsidR="009914E7" w:rsidRPr="0044787B">
        <w:rPr>
          <w:kern w:val="28"/>
          <w:sz w:val="28"/>
          <w:szCs w:val="28"/>
          <w:lang w:val="uk-UA"/>
        </w:rPr>
        <w:t xml:space="preserve"> залишен</w:t>
      </w:r>
      <w:r w:rsidR="00DD3954">
        <w:rPr>
          <w:kern w:val="28"/>
          <w:sz w:val="28"/>
          <w:szCs w:val="28"/>
          <w:lang w:val="uk-UA"/>
        </w:rPr>
        <w:t>і</w:t>
      </w:r>
      <w:r w:rsidR="009914E7" w:rsidRPr="0044787B">
        <w:rPr>
          <w:kern w:val="28"/>
          <w:sz w:val="28"/>
          <w:szCs w:val="28"/>
          <w:lang w:val="uk-UA"/>
        </w:rPr>
        <w:t xml:space="preserve"> без руху, та </w:t>
      </w:r>
      <w:r w:rsidR="008E238F">
        <w:rPr>
          <w:kern w:val="28"/>
          <w:sz w:val="28"/>
          <w:szCs w:val="28"/>
          <w:lang w:val="uk-UA"/>
        </w:rPr>
        <w:t>7485</w:t>
      </w:r>
      <w:r w:rsidR="00A420F8" w:rsidRPr="0044787B">
        <w:rPr>
          <w:kern w:val="28"/>
          <w:sz w:val="28"/>
          <w:szCs w:val="28"/>
          <w:lang w:val="uk-UA"/>
        </w:rPr>
        <w:t xml:space="preserve"> (</w:t>
      </w:r>
      <w:r w:rsidR="008E238F">
        <w:rPr>
          <w:kern w:val="28"/>
          <w:sz w:val="28"/>
          <w:szCs w:val="28"/>
          <w:lang w:val="uk-UA"/>
        </w:rPr>
        <w:t>32,6</w:t>
      </w:r>
      <w:r w:rsidR="00A420F8" w:rsidRPr="0044787B">
        <w:rPr>
          <w:kern w:val="28"/>
          <w:sz w:val="28"/>
          <w:szCs w:val="28"/>
          <w:lang w:val="uk-UA"/>
        </w:rPr>
        <w:t>%)</w:t>
      </w:r>
      <w:r w:rsidR="009914E7" w:rsidRPr="0044787B">
        <w:rPr>
          <w:kern w:val="28"/>
          <w:sz w:val="28"/>
          <w:szCs w:val="28"/>
          <w:lang w:val="uk-UA"/>
        </w:rPr>
        <w:t xml:space="preserve"> справ, </w:t>
      </w:r>
      <w:r w:rsidR="0091315F" w:rsidRPr="0044787B">
        <w:rPr>
          <w:kern w:val="28"/>
          <w:sz w:val="28"/>
          <w:szCs w:val="28"/>
          <w:lang w:val="uk-UA"/>
        </w:rPr>
        <w:t>у тому числі</w:t>
      </w:r>
      <w:r w:rsidR="009914E7" w:rsidRPr="0044787B">
        <w:rPr>
          <w:kern w:val="28"/>
          <w:sz w:val="28"/>
          <w:szCs w:val="28"/>
          <w:lang w:val="uk-UA"/>
        </w:rPr>
        <w:t xml:space="preserve"> у </w:t>
      </w:r>
      <w:r w:rsidR="008E238F">
        <w:rPr>
          <w:kern w:val="28"/>
          <w:sz w:val="28"/>
          <w:szCs w:val="28"/>
          <w:lang w:val="uk-UA"/>
        </w:rPr>
        <w:t>445</w:t>
      </w:r>
      <w:r w:rsidR="003576D2" w:rsidRPr="0044787B">
        <w:rPr>
          <w:kern w:val="28"/>
          <w:sz w:val="28"/>
          <w:szCs w:val="28"/>
          <w:lang w:val="uk-UA"/>
        </w:rPr>
        <w:t xml:space="preserve"> (</w:t>
      </w:r>
      <w:r w:rsidR="008E238F">
        <w:rPr>
          <w:kern w:val="28"/>
          <w:sz w:val="28"/>
          <w:szCs w:val="28"/>
          <w:lang w:val="uk-UA"/>
        </w:rPr>
        <w:t>1,9%</w:t>
      </w:r>
      <w:r w:rsidR="003576D2" w:rsidRPr="0044787B">
        <w:rPr>
          <w:kern w:val="28"/>
          <w:sz w:val="28"/>
          <w:szCs w:val="28"/>
          <w:lang w:val="uk-UA"/>
        </w:rPr>
        <w:t>)</w:t>
      </w:r>
      <w:r w:rsidR="0091315F" w:rsidRPr="0044787B">
        <w:rPr>
          <w:kern w:val="28"/>
          <w:sz w:val="28"/>
          <w:szCs w:val="28"/>
          <w:lang w:val="uk-UA"/>
        </w:rPr>
        <w:t xml:space="preserve"> справ, у яких зупинено </w:t>
      </w:r>
      <w:r w:rsidR="009914E7" w:rsidRPr="0044787B">
        <w:rPr>
          <w:kern w:val="28"/>
          <w:sz w:val="28"/>
          <w:szCs w:val="28"/>
          <w:lang w:val="uk-UA"/>
        </w:rPr>
        <w:t>провадження.</w:t>
      </w:r>
    </w:p>
    <w:p w14:paraId="549B0200" w14:textId="392C0F66" w:rsidR="009914E7" w:rsidRPr="0044787B" w:rsidRDefault="009914E7" w:rsidP="009914E7">
      <w:pPr>
        <w:ind w:firstLine="709"/>
        <w:jc w:val="both"/>
        <w:rPr>
          <w:kern w:val="28"/>
          <w:sz w:val="28"/>
          <w:szCs w:val="28"/>
        </w:rPr>
      </w:pPr>
      <w:r w:rsidRPr="0044787B">
        <w:rPr>
          <w:kern w:val="28"/>
          <w:sz w:val="28"/>
          <w:szCs w:val="28"/>
        </w:rPr>
        <w:t xml:space="preserve"> Серед </w:t>
      </w:r>
      <w:r w:rsidR="008E238F">
        <w:rPr>
          <w:kern w:val="28"/>
          <w:sz w:val="28"/>
          <w:szCs w:val="28"/>
        </w:rPr>
        <w:t>10550</w:t>
      </w:r>
      <w:r w:rsidR="003576D2" w:rsidRPr="0044787B">
        <w:rPr>
          <w:kern w:val="28"/>
          <w:sz w:val="28"/>
          <w:szCs w:val="28"/>
        </w:rPr>
        <w:t xml:space="preserve"> </w:t>
      </w:r>
      <w:r w:rsidRPr="0044787B">
        <w:rPr>
          <w:kern w:val="28"/>
          <w:sz w:val="28"/>
          <w:szCs w:val="28"/>
        </w:rPr>
        <w:t xml:space="preserve">нерозглянутих справ і матеріалів </w:t>
      </w:r>
      <w:r w:rsidR="00DD3954">
        <w:rPr>
          <w:kern w:val="28"/>
          <w:sz w:val="28"/>
          <w:szCs w:val="28"/>
        </w:rPr>
        <w:t>на кінець</w:t>
      </w:r>
      <w:r w:rsidRPr="0044787B">
        <w:rPr>
          <w:kern w:val="28"/>
          <w:sz w:val="28"/>
          <w:szCs w:val="28"/>
        </w:rPr>
        <w:t xml:space="preserve"> 20</w:t>
      </w:r>
      <w:r w:rsidR="008E238F">
        <w:rPr>
          <w:kern w:val="28"/>
          <w:sz w:val="28"/>
          <w:szCs w:val="28"/>
        </w:rPr>
        <w:t>21</w:t>
      </w:r>
      <w:r w:rsidR="003576D2" w:rsidRPr="0044787B">
        <w:rPr>
          <w:kern w:val="28"/>
          <w:sz w:val="28"/>
          <w:szCs w:val="28"/>
        </w:rPr>
        <w:t>року</w:t>
      </w:r>
      <w:r w:rsidRPr="0044787B">
        <w:rPr>
          <w:kern w:val="28"/>
          <w:sz w:val="28"/>
          <w:szCs w:val="28"/>
        </w:rPr>
        <w:t xml:space="preserve"> </w:t>
      </w:r>
      <w:r w:rsidR="00DD3954">
        <w:rPr>
          <w:kern w:val="28"/>
          <w:sz w:val="28"/>
          <w:szCs w:val="28"/>
        </w:rPr>
        <w:t>були:</w:t>
      </w:r>
      <w:r w:rsidRPr="0044787B">
        <w:rPr>
          <w:kern w:val="28"/>
          <w:sz w:val="28"/>
          <w:szCs w:val="28"/>
        </w:rPr>
        <w:t xml:space="preserve"> </w:t>
      </w:r>
      <w:r w:rsidR="008E238F">
        <w:rPr>
          <w:kern w:val="28"/>
          <w:sz w:val="28"/>
          <w:szCs w:val="28"/>
        </w:rPr>
        <w:t>915</w:t>
      </w:r>
      <w:r w:rsidR="003576D2" w:rsidRPr="0044787B">
        <w:rPr>
          <w:kern w:val="28"/>
          <w:sz w:val="28"/>
          <w:szCs w:val="28"/>
        </w:rPr>
        <w:t xml:space="preserve"> (</w:t>
      </w:r>
      <w:r w:rsidR="008E238F">
        <w:rPr>
          <w:kern w:val="28"/>
          <w:sz w:val="28"/>
          <w:szCs w:val="28"/>
        </w:rPr>
        <w:t>3,4</w:t>
      </w:r>
      <w:r w:rsidR="003576D2" w:rsidRPr="0044787B">
        <w:rPr>
          <w:kern w:val="28"/>
          <w:sz w:val="28"/>
          <w:szCs w:val="28"/>
        </w:rPr>
        <w:t>%)</w:t>
      </w:r>
      <w:r w:rsidRPr="0044787B">
        <w:rPr>
          <w:kern w:val="28"/>
          <w:sz w:val="28"/>
          <w:szCs w:val="28"/>
        </w:rPr>
        <w:t xml:space="preserve"> позовних заяв, з яких </w:t>
      </w:r>
      <w:r w:rsidR="008E238F">
        <w:rPr>
          <w:kern w:val="28"/>
          <w:sz w:val="28"/>
          <w:szCs w:val="28"/>
        </w:rPr>
        <w:t>642</w:t>
      </w:r>
      <w:r w:rsidRPr="0044787B">
        <w:rPr>
          <w:kern w:val="28"/>
          <w:sz w:val="28"/>
          <w:szCs w:val="28"/>
        </w:rPr>
        <w:t xml:space="preserve"> (</w:t>
      </w:r>
      <w:r w:rsidR="008E238F">
        <w:rPr>
          <w:kern w:val="28"/>
          <w:sz w:val="28"/>
          <w:szCs w:val="28"/>
        </w:rPr>
        <w:t>2,3</w:t>
      </w:r>
      <w:r w:rsidRPr="0044787B">
        <w:rPr>
          <w:kern w:val="28"/>
          <w:sz w:val="28"/>
          <w:szCs w:val="28"/>
        </w:rPr>
        <w:t>%) залишен</w:t>
      </w:r>
      <w:r w:rsidR="00DD3954">
        <w:rPr>
          <w:kern w:val="28"/>
          <w:sz w:val="28"/>
          <w:szCs w:val="28"/>
        </w:rPr>
        <w:t>і</w:t>
      </w:r>
      <w:r w:rsidRPr="0044787B">
        <w:rPr>
          <w:kern w:val="28"/>
          <w:sz w:val="28"/>
          <w:szCs w:val="28"/>
        </w:rPr>
        <w:t xml:space="preserve"> без руху, та </w:t>
      </w:r>
      <w:r w:rsidR="008E238F">
        <w:rPr>
          <w:kern w:val="28"/>
          <w:sz w:val="28"/>
          <w:szCs w:val="28"/>
        </w:rPr>
        <w:t>9635</w:t>
      </w:r>
      <w:r w:rsidRPr="0044787B">
        <w:rPr>
          <w:kern w:val="28"/>
          <w:sz w:val="28"/>
          <w:szCs w:val="28"/>
        </w:rPr>
        <w:t xml:space="preserve"> справ</w:t>
      </w:r>
      <w:r w:rsidR="003576D2" w:rsidRPr="0044787B">
        <w:rPr>
          <w:kern w:val="28"/>
          <w:sz w:val="28"/>
          <w:szCs w:val="28"/>
        </w:rPr>
        <w:t xml:space="preserve"> (</w:t>
      </w:r>
      <w:r w:rsidR="008E238F">
        <w:rPr>
          <w:kern w:val="28"/>
          <w:sz w:val="28"/>
          <w:szCs w:val="28"/>
        </w:rPr>
        <w:t>35,7</w:t>
      </w:r>
      <w:r w:rsidR="003576D2" w:rsidRPr="0044787B">
        <w:rPr>
          <w:kern w:val="28"/>
          <w:sz w:val="28"/>
          <w:szCs w:val="28"/>
        </w:rPr>
        <w:t>%)</w:t>
      </w:r>
      <w:r w:rsidRPr="0044787B">
        <w:rPr>
          <w:kern w:val="28"/>
          <w:sz w:val="28"/>
          <w:szCs w:val="28"/>
        </w:rPr>
        <w:t xml:space="preserve">, з яких у </w:t>
      </w:r>
      <w:r w:rsidR="008E238F">
        <w:rPr>
          <w:kern w:val="28"/>
          <w:sz w:val="28"/>
          <w:szCs w:val="28"/>
        </w:rPr>
        <w:t>401</w:t>
      </w:r>
      <w:r w:rsidRPr="0044787B">
        <w:rPr>
          <w:kern w:val="28"/>
          <w:sz w:val="28"/>
          <w:szCs w:val="28"/>
        </w:rPr>
        <w:t xml:space="preserve"> (</w:t>
      </w:r>
      <w:r w:rsidR="0051197A">
        <w:rPr>
          <w:kern w:val="28"/>
          <w:sz w:val="28"/>
          <w:szCs w:val="28"/>
        </w:rPr>
        <w:t>1,5</w:t>
      </w:r>
      <w:r w:rsidRPr="0044787B">
        <w:rPr>
          <w:kern w:val="28"/>
          <w:sz w:val="28"/>
          <w:szCs w:val="28"/>
        </w:rPr>
        <w:t xml:space="preserve">%) </w:t>
      </w:r>
      <w:proofErr w:type="spellStart"/>
      <w:r w:rsidRPr="0044787B">
        <w:rPr>
          <w:kern w:val="28"/>
          <w:sz w:val="28"/>
          <w:szCs w:val="28"/>
        </w:rPr>
        <w:t>зупинено</w:t>
      </w:r>
      <w:proofErr w:type="spellEnd"/>
      <w:r w:rsidR="00DD3954" w:rsidRPr="00DD3954">
        <w:rPr>
          <w:kern w:val="28"/>
          <w:sz w:val="28"/>
          <w:szCs w:val="28"/>
        </w:rPr>
        <w:t xml:space="preserve"> </w:t>
      </w:r>
      <w:r w:rsidR="00DD3954" w:rsidRPr="0044787B">
        <w:rPr>
          <w:kern w:val="28"/>
          <w:sz w:val="28"/>
          <w:szCs w:val="28"/>
        </w:rPr>
        <w:t>провадження</w:t>
      </w:r>
      <w:r w:rsidRPr="0044787B">
        <w:rPr>
          <w:kern w:val="28"/>
          <w:sz w:val="28"/>
          <w:szCs w:val="28"/>
        </w:rPr>
        <w:t xml:space="preserve">. </w:t>
      </w:r>
    </w:p>
    <w:p w14:paraId="59A88C1F" w14:textId="77777777" w:rsidR="009914E7" w:rsidRPr="0044787B" w:rsidRDefault="009914E7" w:rsidP="009914E7">
      <w:pPr>
        <w:ind w:firstLine="709"/>
        <w:jc w:val="both"/>
        <w:rPr>
          <w:bCs/>
          <w:iCs/>
          <w:kern w:val="28"/>
          <w:sz w:val="28"/>
          <w:szCs w:val="28"/>
        </w:rPr>
      </w:pPr>
      <w:r w:rsidRPr="0044787B">
        <w:rPr>
          <w:bCs/>
          <w:iCs/>
          <w:kern w:val="28"/>
          <w:sz w:val="28"/>
          <w:szCs w:val="28"/>
        </w:rPr>
        <w:lastRenderedPageBreak/>
        <w:t xml:space="preserve">Структуру справ і матеріалів, що залишилися не розглянутими КОАС, детальніше відображено </w:t>
      </w:r>
      <w:r w:rsidR="00A420F8" w:rsidRPr="0044787B">
        <w:rPr>
          <w:bCs/>
          <w:iCs/>
          <w:kern w:val="28"/>
          <w:sz w:val="28"/>
          <w:szCs w:val="28"/>
        </w:rPr>
        <w:t>у</w:t>
      </w:r>
      <w:r w:rsidRPr="0044787B">
        <w:rPr>
          <w:bCs/>
          <w:iCs/>
          <w:kern w:val="28"/>
          <w:sz w:val="28"/>
          <w:szCs w:val="28"/>
        </w:rPr>
        <w:t xml:space="preserve"> гістограмі 4.</w:t>
      </w:r>
    </w:p>
    <w:p w14:paraId="32145E19" w14:textId="77777777" w:rsidR="009914E7" w:rsidRPr="0044787B" w:rsidRDefault="009914E7" w:rsidP="009914E7">
      <w:pPr>
        <w:spacing w:line="276" w:lineRule="auto"/>
        <w:ind w:firstLine="709"/>
        <w:jc w:val="right"/>
        <w:rPr>
          <w:bCs/>
          <w:iCs/>
          <w:sz w:val="28"/>
          <w:szCs w:val="28"/>
        </w:rPr>
      </w:pPr>
      <w:r w:rsidRPr="0044787B">
        <w:rPr>
          <w:bCs/>
          <w:iCs/>
          <w:sz w:val="28"/>
          <w:szCs w:val="28"/>
        </w:rPr>
        <w:t>Гістограма 4</w:t>
      </w:r>
    </w:p>
    <w:p w14:paraId="526AC0F1" w14:textId="77777777" w:rsidR="009914E7" w:rsidRPr="00C87CAD" w:rsidRDefault="009914E7" w:rsidP="009914E7">
      <w:pPr>
        <w:spacing w:line="276" w:lineRule="auto"/>
        <w:ind w:firstLine="709"/>
        <w:jc w:val="right"/>
      </w:pPr>
      <w:r w:rsidRPr="00C87CAD">
        <w:rPr>
          <w:noProof/>
          <w:lang w:val="ru-RU"/>
        </w:rPr>
        <w:drawing>
          <wp:inline distT="0" distB="0" distL="0" distR="0" wp14:anchorId="4E849CAB" wp14:editId="2DD30FAB">
            <wp:extent cx="5587805" cy="2576146"/>
            <wp:effectExtent l="19050" t="0" r="12895" b="0"/>
            <wp:docPr id="10"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78D1EA" w14:textId="77777777" w:rsidR="009914E7" w:rsidRDefault="009914E7" w:rsidP="009914E7">
      <w:pPr>
        <w:ind w:firstLine="709"/>
        <w:jc w:val="both"/>
      </w:pPr>
    </w:p>
    <w:p w14:paraId="0A19DB39" w14:textId="65FC6DB0" w:rsidR="00110FF7" w:rsidRPr="0044787B" w:rsidRDefault="00DD3954" w:rsidP="00110FF7">
      <w:pPr>
        <w:ind w:firstLine="709"/>
        <w:jc w:val="both"/>
        <w:rPr>
          <w:kern w:val="28"/>
          <w:sz w:val="28"/>
          <w:szCs w:val="28"/>
        </w:rPr>
      </w:pPr>
      <w:r>
        <w:rPr>
          <w:kern w:val="28"/>
          <w:sz w:val="28"/>
          <w:szCs w:val="28"/>
        </w:rPr>
        <w:t>Таким чином</w:t>
      </w:r>
      <w:r w:rsidR="00110FF7" w:rsidRPr="0044787B">
        <w:rPr>
          <w:kern w:val="28"/>
          <w:sz w:val="28"/>
          <w:szCs w:val="28"/>
        </w:rPr>
        <w:t xml:space="preserve">, </w:t>
      </w:r>
      <w:r>
        <w:rPr>
          <w:kern w:val="28"/>
          <w:sz w:val="28"/>
          <w:szCs w:val="28"/>
        </w:rPr>
        <w:t>за результатами розгляду справ і матеріалів позовних заяв протягом</w:t>
      </w:r>
      <w:r w:rsidR="0044787B" w:rsidRPr="0044787B">
        <w:rPr>
          <w:kern w:val="28"/>
          <w:sz w:val="28"/>
          <w:szCs w:val="28"/>
        </w:rPr>
        <w:t xml:space="preserve"> 202</w:t>
      </w:r>
      <w:r w:rsidR="009E5C86">
        <w:rPr>
          <w:kern w:val="28"/>
          <w:sz w:val="28"/>
          <w:szCs w:val="28"/>
        </w:rPr>
        <w:t>2</w:t>
      </w:r>
      <w:r w:rsidR="0044787B" w:rsidRPr="0044787B">
        <w:rPr>
          <w:kern w:val="28"/>
          <w:sz w:val="28"/>
          <w:szCs w:val="28"/>
        </w:rPr>
        <w:t xml:space="preserve"> року </w:t>
      </w:r>
      <w:r w:rsidR="00110FF7" w:rsidRPr="0044787B">
        <w:rPr>
          <w:kern w:val="28"/>
          <w:sz w:val="28"/>
          <w:szCs w:val="28"/>
        </w:rPr>
        <w:t xml:space="preserve">спостерігається </w:t>
      </w:r>
      <w:r w:rsidR="009E5C86">
        <w:rPr>
          <w:kern w:val="28"/>
          <w:sz w:val="28"/>
          <w:szCs w:val="28"/>
        </w:rPr>
        <w:t>зменшення</w:t>
      </w:r>
      <w:r w:rsidR="00110FF7" w:rsidRPr="0044787B">
        <w:rPr>
          <w:kern w:val="28"/>
          <w:sz w:val="28"/>
          <w:szCs w:val="28"/>
        </w:rPr>
        <w:t xml:space="preserve"> залишку нерозглянутих справ та матеріалів у порівнянні з 20</w:t>
      </w:r>
      <w:r w:rsidR="009E5C86">
        <w:rPr>
          <w:kern w:val="28"/>
          <w:sz w:val="28"/>
          <w:szCs w:val="28"/>
        </w:rPr>
        <w:t>21</w:t>
      </w:r>
      <w:r w:rsidR="00110FF7" w:rsidRPr="0044787B">
        <w:rPr>
          <w:kern w:val="28"/>
          <w:sz w:val="28"/>
          <w:szCs w:val="28"/>
        </w:rPr>
        <w:t xml:space="preserve"> роком на </w:t>
      </w:r>
      <w:r w:rsidR="009E5C86">
        <w:rPr>
          <w:kern w:val="28"/>
          <w:sz w:val="28"/>
          <w:szCs w:val="28"/>
        </w:rPr>
        <w:t>23</w:t>
      </w:r>
      <w:r w:rsidR="00110FF7" w:rsidRPr="0044787B">
        <w:rPr>
          <w:kern w:val="28"/>
          <w:sz w:val="28"/>
          <w:szCs w:val="28"/>
        </w:rPr>
        <w:t>% (</w:t>
      </w:r>
      <w:r w:rsidR="0044787B" w:rsidRPr="0044787B">
        <w:rPr>
          <w:kern w:val="28"/>
          <w:sz w:val="28"/>
          <w:szCs w:val="28"/>
        </w:rPr>
        <w:t xml:space="preserve">на </w:t>
      </w:r>
      <w:r w:rsidR="009E5C86">
        <w:rPr>
          <w:kern w:val="28"/>
          <w:sz w:val="28"/>
          <w:szCs w:val="28"/>
        </w:rPr>
        <w:t>2423</w:t>
      </w:r>
      <w:r w:rsidR="00110FF7" w:rsidRPr="0044787B">
        <w:rPr>
          <w:kern w:val="28"/>
          <w:sz w:val="28"/>
          <w:szCs w:val="28"/>
        </w:rPr>
        <w:t xml:space="preserve"> справ</w:t>
      </w:r>
      <w:r w:rsidR="009E5C86">
        <w:rPr>
          <w:kern w:val="28"/>
          <w:sz w:val="28"/>
          <w:szCs w:val="28"/>
        </w:rPr>
        <w:t>и</w:t>
      </w:r>
      <w:r w:rsidR="00110FF7" w:rsidRPr="0044787B">
        <w:rPr>
          <w:kern w:val="28"/>
          <w:sz w:val="28"/>
          <w:szCs w:val="28"/>
        </w:rPr>
        <w:t xml:space="preserve"> і матеріалів). Наведені дані свідчать, що частину справ КОАС не розглянув з об’єктивних причин, якими є відкладення розгляду справ та зупинення провадження у справах.</w:t>
      </w:r>
    </w:p>
    <w:p w14:paraId="4C305E4A" w14:textId="0BC87EED" w:rsidR="009E5C86" w:rsidRPr="00163C47" w:rsidRDefault="009E5C86" w:rsidP="00110FF7">
      <w:pPr>
        <w:ind w:firstLine="709"/>
        <w:jc w:val="both"/>
        <w:rPr>
          <w:kern w:val="28"/>
          <w:sz w:val="28"/>
          <w:szCs w:val="28"/>
        </w:rPr>
      </w:pPr>
      <w:r w:rsidRPr="00163C47">
        <w:rPr>
          <w:kern w:val="28"/>
          <w:sz w:val="28"/>
          <w:szCs w:val="28"/>
        </w:rPr>
        <w:t>Водночас залишок нерозглянутих справ залишається на досить високому рівні.</w:t>
      </w:r>
    </w:p>
    <w:p w14:paraId="2370CAA1" w14:textId="05BB5321" w:rsidR="009E5C86" w:rsidRPr="00EA5CDD" w:rsidRDefault="009E5C86" w:rsidP="009E5C86">
      <w:pPr>
        <w:ind w:firstLine="709"/>
        <w:jc w:val="both"/>
        <w:rPr>
          <w:color w:val="000000" w:themeColor="text1"/>
          <w:kern w:val="28"/>
          <w:sz w:val="28"/>
          <w:szCs w:val="28"/>
        </w:rPr>
      </w:pPr>
      <w:r w:rsidRPr="00EA5CDD">
        <w:rPr>
          <w:color w:val="000000" w:themeColor="text1"/>
          <w:kern w:val="28"/>
          <w:sz w:val="28"/>
          <w:szCs w:val="28"/>
        </w:rPr>
        <w:t xml:space="preserve">Об’єктивною причиною </w:t>
      </w:r>
      <w:r w:rsidR="00547706">
        <w:rPr>
          <w:color w:val="000000" w:themeColor="text1"/>
          <w:kern w:val="28"/>
          <w:sz w:val="28"/>
          <w:szCs w:val="28"/>
        </w:rPr>
        <w:t>великого</w:t>
      </w:r>
      <w:r w:rsidRPr="00EA5CDD">
        <w:rPr>
          <w:color w:val="000000" w:themeColor="text1"/>
          <w:kern w:val="28"/>
          <w:sz w:val="28"/>
          <w:szCs w:val="28"/>
        </w:rPr>
        <w:t xml:space="preserve"> залишку </w:t>
      </w:r>
      <w:r w:rsidRPr="00EA5CDD">
        <w:rPr>
          <w:color w:val="000000" w:themeColor="text1"/>
          <w:sz w:val="28"/>
          <w:szCs w:val="28"/>
        </w:rPr>
        <w:t xml:space="preserve">нерозглянутих справ та матеріалів </w:t>
      </w:r>
      <w:r w:rsidRPr="00EA5CDD">
        <w:rPr>
          <w:color w:val="000000" w:themeColor="text1"/>
          <w:kern w:val="28"/>
          <w:sz w:val="28"/>
          <w:szCs w:val="28"/>
        </w:rPr>
        <w:t xml:space="preserve">є введення воєнного стану на території України у зв’язку з військовою агресією Російської Федерації проти України.  </w:t>
      </w:r>
    </w:p>
    <w:p w14:paraId="391A3D4F" w14:textId="77777777" w:rsidR="009E5C86" w:rsidRPr="00EA5CDD" w:rsidRDefault="009E5C86" w:rsidP="009E5C86">
      <w:pPr>
        <w:ind w:firstLine="709"/>
        <w:jc w:val="both"/>
        <w:rPr>
          <w:color w:val="000000" w:themeColor="text1"/>
          <w:kern w:val="28"/>
          <w:sz w:val="28"/>
          <w:szCs w:val="28"/>
        </w:rPr>
      </w:pPr>
      <w:r w:rsidRPr="00EA5CDD">
        <w:rPr>
          <w:color w:val="000000" w:themeColor="text1"/>
          <w:kern w:val="28"/>
          <w:sz w:val="28"/>
          <w:szCs w:val="28"/>
        </w:rPr>
        <w:t>КОАС по можливості відкладає розгляд справ, у тому числі, за клопотаннями учасників справи, оскільки більшість учасників судових процесів не завжди мають можливість подати заяву про відкладення розгляду справи або не можуть прибути в суд.</w:t>
      </w:r>
    </w:p>
    <w:p w14:paraId="3EAEC9BB" w14:textId="3405B29F" w:rsidR="009E5C86" w:rsidRPr="00EA5CDD" w:rsidRDefault="009E5C86" w:rsidP="009E5C86">
      <w:pPr>
        <w:ind w:firstLine="709"/>
        <w:jc w:val="both"/>
        <w:rPr>
          <w:color w:val="000000" w:themeColor="text1"/>
          <w:sz w:val="28"/>
          <w:szCs w:val="28"/>
        </w:rPr>
      </w:pPr>
      <w:r w:rsidRPr="00EA5CDD">
        <w:rPr>
          <w:color w:val="000000" w:themeColor="text1"/>
          <w:sz w:val="28"/>
          <w:szCs w:val="28"/>
        </w:rPr>
        <w:t>Також, на нашу думку на збільшенню залишку нерозглянутих справ та матеріалів у 2022 році слугувало збільшення залишку нерозглянутих справ і матеріалів на кінець 2021 року, які перебували на розгляді КОАС у 2022 ро</w:t>
      </w:r>
      <w:r w:rsidR="00547706">
        <w:rPr>
          <w:color w:val="000000" w:themeColor="text1"/>
          <w:sz w:val="28"/>
          <w:szCs w:val="28"/>
        </w:rPr>
        <w:t>ці</w:t>
      </w:r>
      <w:r w:rsidRPr="00EA5CDD">
        <w:rPr>
          <w:color w:val="000000" w:themeColor="text1"/>
          <w:sz w:val="28"/>
          <w:szCs w:val="28"/>
        </w:rPr>
        <w:t xml:space="preserve">. </w:t>
      </w:r>
    </w:p>
    <w:p w14:paraId="527DD017" w14:textId="77777777" w:rsidR="009E5C86" w:rsidRPr="00EA5CDD" w:rsidRDefault="009E5C86" w:rsidP="009E5C86">
      <w:pPr>
        <w:ind w:firstLine="709"/>
        <w:jc w:val="both"/>
        <w:rPr>
          <w:color w:val="000000" w:themeColor="text1"/>
          <w:sz w:val="28"/>
          <w:szCs w:val="28"/>
        </w:rPr>
      </w:pPr>
      <w:r w:rsidRPr="00EA5CDD">
        <w:rPr>
          <w:color w:val="000000" w:themeColor="text1"/>
          <w:sz w:val="28"/>
          <w:szCs w:val="28"/>
        </w:rPr>
        <w:t>Зокрема, на початку 2022 року на розгляді КОАС перебувало 10974 справ і матеріалів (залишок нерозглянутих справ на кінець 2021 року), тоді як залишок нерозглянутих справ і матеріалів на кінець 2020 року становив 9060, а на кінець 2019 року залишок нерозглянутих справ і матеріалів - 3352.</w:t>
      </w:r>
    </w:p>
    <w:p w14:paraId="3FA4F54C" w14:textId="77777777" w:rsidR="009E5C86" w:rsidRPr="00EA5CDD" w:rsidRDefault="009E5C86" w:rsidP="009E5C86">
      <w:pPr>
        <w:ind w:firstLine="709"/>
        <w:jc w:val="both"/>
        <w:rPr>
          <w:color w:val="000000" w:themeColor="text1"/>
          <w:sz w:val="28"/>
          <w:szCs w:val="28"/>
        </w:rPr>
      </w:pPr>
      <w:r w:rsidRPr="00EA5CDD">
        <w:rPr>
          <w:color w:val="000000" w:themeColor="text1"/>
          <w:sz w:val="28"/>
          <w:szCs w:val="28"/>
        </w:rPr>
        <w:t>Тобто, залишок нерозглянутих справ і матеріалів на кінець 2021 року, які  перебували у провадженні КОАС на початку 2022 року збільшився на 1914 одиниць (або на 21%) у порівнянні із кількістю нерозглянутих справ і матеріалів на кінець 2020 року. Тоді як залишок нерозглянутих справ і матеріалів на кінець 2020 року збільшився на 5708 (170%) у порівнянні із залишком нерозглянутих справ і матеріалів на кінець 2019 року.</w:t>
      </w:r>
    </w:p>
    <w:p w14:paraId="36633083" w14:textId="320A4CC3" w:rsidR="009E5C86" w:rsidRPr="00EA5CDD" w:rsidRDefault="009E5C86" w:rsidP="009E5C86">
      <w:pPr>
        <w:ind w:firstLine="709"/>
        <w:jc w:val="both"/>
        <w:rPr>
          <w:color w:val="000000" w:themeColor="text1"/>
          <w:sz w:val="28"/>
          <w:szCs w:val="28"/>
        </w:rPr>
      </w:pPr>
      <w:bookmarkStart w:id="6" w:name="_Hlk111034181"/>
      <w:r w:rsidRPr="00EA5CDD">
        <w:rPr>
          <w:color w:val="000000" w:themeColor="text1"/>
          <w:sz w:val="28"/>
          <w:szCs w:val="28"/>
        </w:rPr>
        <w:t xml:space="preserve">Таким чином, у зв’язку із збільшенням залишку нерозглянутих справ і матеріалів у попередніх звітних періодах (2019, 2020 та 2021 роках), </w:t>
      </w:r>
      <w:r w:rsidR="00547706">
        <w:rPr>
          <w:color w:val="000000" w:themeColor="text1"/>
          <w:sz w:val="28"/>
          <w:szCs w:val="28"/>
        </w:rPr>
        <w:lastRenderedPageBreak/>
        <w:t>залишається великим</w:t>
      </w:r>
      <w:r w:rsidRPr="00EA5CDD">
        <w:rPr>
          <w:color w:val="000000" w:themeColor="text1"/>
          <w:sz w:val="28"/>
          <w:szCs w:val="28"/>
        </w:rPr>
        <w:t xml:space="preserve"> залишок нерозглянутих справ і матеріалів і </w:t>
      </w:r>
      <w:r w:rsidR="00547706">
        <w:rPr>
          <w:color w:val="000000" w:themeColor="text1"/>
          <w:sz w:val="28"/>
          <w:szCs w:val="28"/>
        </w:rPr>
        <w:t>на кінець</w:t>
      </w:r>
      <w:r w:rsidRPr="00EA5CDD">
        <w:rPr>
          <w:color w:val="000000" w:themeColor="text1"/>
          <w:sz w:val="28"/>
          <w:szCs w:val="28"/>
        </w:rPr>
        <w:t xml:space="preserve"> 2022 року.</w:t>
      </w:r>
    </w:p>
    <w:bookmarkEnd w:id="6"/>
    <w:p w14:paraId="2F7DC94F" w14:textId="502F9461" w:rsidR="00110FF7" w:rsidRDefault="009E5C86" w:rsidP="009E5C86">
      <w:pPr>
        <w:ind w:firstLine="709"/>
        <w:jc w:val="both"/>
        <w:rPr>
          <w:color w:val="000000" w:themeColor="text1"/>
          <w:kern w:val="28"/>
          <w:sz w:val="28"/>
          <w:szCs w:val="28"/>
        </w:rPr>
      </w:pPr>
      <w:r w:rsidRPr="00EA5CDD">
        <w:rPr>
          <w:color w:val="000000" w:themeColor="text1"/>
          <w:sz w:val="28"/>
          <w:szCs w:val="28"/>
        </w:rPr>
        <w:t xml:space="preserve">На нашу думку, дані показники пов’язані з тим, що </w:t>
      </w:r>
      <w:r w:rsidRPr="00EA5CDD">
        <w:rPr>
          <w:color w:val="000000" w:themeColor="text1"/>
          <w:kern w:val="28"/>
          <w:sz w:val="28"/>
          <w:szCs w:val="28"/>
        </w:rPr>
        <w:t>усі адміністративні справи щодо спорів фізичних осіб з суб’єктами владних повноважень з приводу обчислення, призначення, перерахунку, здійснення, надання, одержання пенсійних виплат, соціальних виплат непрацездатним громадянам, виплат за загальнообов’язковим державним соціальним страхуванням, виплат та пільг дітям війни, інших соціальних виплат, доплат, соціальних послуг, допомоги, захисту у зв’язку з набранням чинності нового КАС України підсудні окружним адміністративним судам, а не місцевим загальним судам як адміністративним судам.</w:t>
      </w:r>
    </w:p>
    <w:p w14:paraId="4C5C2847" w14:textId="77777777" w:rsidR="00547706" w:rsidRDefault="00547706" w:rsidP="009E5C86">
      <w:pPr>
        <w:ind w:firstLine="709"/>
        <w:jc w:val="both"/>
      </w:pPr>
    </w:p>
    <w:p w14:paraId="07A0AF66" w14:textId="77777777" w:rsidR="009C5038" w:rsidRPr="00A420F8" w:rsidRDefault="009C5038" w:rsidP="00C87CAD">
      <w:pPr>
        <w:pStyle w:val="a8"/>
        <w:numPr>
          <w:ilvl w:val="0"/>
          <w:numId w:val="9"/>
        </w:numPr>
        <w:shd w:val="clear" w:color="auto" w:fill="FFFFFF"/>
        <w:jc w:val="both"/>
        <w:rPr>
          <w:b/>
          <w:sz w:val="28"/>
          <w:szCs w:val="28"/>
          <w:lang w:val="uk-UA"/>
        </w:rPr>
      </w:pPr>
      <w:r w:rsidRPr="00A420F8">
        <w:rPr>
          <w:b/>
          <w:sz w:val="28"/>
          <w:szCs w:val="28"/>
          <w:lang w:val="uk-UA"/>
        </w:rPr>
        <w:t>Строки розгляду адміністративних справ</w:t>
      </w:r>
    </w:p>
    <w:p w14:paraId="3A758B69" w14:textId="77777777" w:rsidR="00C87CAD" w:rsidRPr="00B76414" w:rsidRDefault="00C87CAD" w:rsidP="00C87CAD">
      <w:pPr>
        <w:pStyle w:val="a8"/>
        <w:shd w:val="clear" w:color="auto" w:fill="FFFFFF"/>
        <w:jc w:val="both"/>
        <w:rPr>
          <w:sz w:val="28"/>
          <w:szCs w:val="28"/>
          <w:lang w:val="uk-UA"/>
        </w:rPr>
      </w:pPr>
    </w:p>
    <w:p w14:paraId="4A720D31" w14:textId="7C7023A4" w:rsidR="001D6522" w:rsidRPr="00547706" w:rsidRDefault="00205357" w:rsidP="00AE50D5">
      <w:pPr>
        <w:ind w:firstLine="709"/>
        <w:jc w:val="both"/>
        <w:rPr>
          <w:kern w:val="28"/>
          <w:sz w:val="28"/>
          <w:szCs w:val="28"/>
        </w:rPr>
      </w:pPr>
      <w:r w:rsidRPr="00547706">
        <w:rPr>
          <w:bCs/>
          <w:iCs/>
          <w:kern w:val="28"/>
          <w:sz w:val="28"/>
          <w:szCs w:val="28"/>
        </w:rPr>
        <w:t>У 202</w:t>
      </w:r>
      <w:r w:rsidR="00547706" w:rsidRPr="00547706">
        <w:rPr>
          <w:bCs/>
          <w:iCs/>
          <w:kern w:val="28"/>
          <w:sz w:val="28"/>
          <w:szCs w:val="28"/>
        </w:rPr>
        <w:t>2</w:t>
      </w:r>
      <w:r w:rsidR="004E5B91" w:rsidRPr="00547706">
        <w:rPr>
          <w:bCs/>
          <w:iCs/>
          <w:kern w:val="28"/>
          <w:sz w:val="28"/>
          <w:szCs w:val="28"/>
        </w:rPr>
        <w:t xml:space="preserve"> ро</w:t>
      </w:r>
      <w:r w:rsidR="00CF3432" w:rsidRPr="00547706">
        <w:rPr>
          <w:bCs/>
          <w:iCs/>
          <w:kern w:val="28"/>
          <w:sz w:val="28"/>
          <w:szCs w:val="28"/>
        </w:rPr>
        <w:t>ці</w:t>
      </w:r>
      <w:r w:rsidR="00193EC7" w:rsidRPr="00547706">
        <w:rPr>
          <w:bCs/>
          <w:iCs/>
          <w:kern w:val="28"/>
          <w:sz w:val="28"/>
          <w:szCs w:val="28"/>
        </w:rPr>
        <w:t xml:space="preserve"> </w:t>
      </w:r>
      <w:r w:rsidR="00547706" w:rsidRPr="00547706">
        <w:rPr>
          <w:bCs/>
          <w:iCs/>
          <w:kern w:val="28"/>
          <w:sz w:val="28"/>
          <w:szCs w:val="28"/>
        </w:rPr>
        <w:t>2689</w:t>
      </w:r>
      <w:r w:rsidR="00193EC7" w:rsidRPr="00547706">
        <w:rPr>
          <w:bCs/>
          <w:iCs/>
          <w:kern w:val="28"/>
          <w:sz w:val="28"/>
          <w:szCs w:val="28"/>
        </w:rPr>
        <w:t xml:space="preserve"> справ</w:t>
      </w:r>
      <w:r w:rsidR="004E5B91" w:rsidRPr="00547706">
        <w:rPr>
          <w:kern w:val="28"/>
          <w:sz w:val="28"/>
          <w:szCs w:val="28"/>
        </w:rPr>
        <w:t xml:space="preserve"> </w:t>
      </w:r>
      <w:r w:rsidR="00193EC7" w:rsidRPr="00547706">
        <w:rPr>
          <w:kern w:val="28"/>
          <w:sz w:val="28"/>
          <w:szCs w:val="28"/>
        </w:rPr>
        <w:t>(</w:t>
      </w:r>
      <w:r w:rsidR="00547706" w:rsidRPr="00547706">
        <w:rPr>
          <w:kern w:val="28"/>
          <w:sz w:val="28"/>
          <w:szCs w:val="28"/>
        </w:rPr>
        <w:t>22,6</w:t>
      </w:r>
      <w:r w:rsidR="0091315F" w:rsidRPr="00547706">
        <w:rPr>
          <w:kern w:val="28"/>
          <w:sz w:val="28"/>
          <w:szCs w:val="28"/>
        </w:rPr>
        <w:t>%</w:t>
      </w:r>
      <w:r w:rsidR="00193EC7" w:rsidRPr="00547706">
        <w:rPr>
          <w:kern w:val="28"/>
          <w:sz w:val="28"/>
          <w:szCs w:val="28"/>
        </w:rPr>
        <w:t>)</w:t>
      </w:r>
      <w:r w:rsidR="004E5B91" w:rsidRPr="00547706">
        <w:rPr>
          <w:kern w:val="28"/>
          <w:sz w:val="28"/>
          <w:szCs w:val="28"/>
        </w:rPr>
        <w:t xml:space="preserve"> судді КОАС розглянули з дотриманням встановлених законом строків</w:t>
      </w:r>
      <w:r w:rsidR="0091315F" w:rsidRPr="00547706">
        <w:rPr>
          <w:kern w:val="28"/>
          <w:sz w:val="28"/>
          <w:szCs w:val="28"/>
        </w:rPr>
        <w:t>, тоді як частка справ, розглянутих понад строки</w:t>
      </w:r>
      <w:r w:rsidR="00B36167" w:rsidRPr="00547706">
        <w:rPr>
          <w:kern w:val="28"/>
          <w:sz w:val="28"/>
          <w:szCs w:val="28"/>
        </w:rPr>
        <w:t>, визначенні КАС України</w:t>
      </w:r>
      <w:r w:rsidR="0091315F" w:rsidRPr="00547706">
        <w:rPr>
          <w:kern w:val="28"/>
          <w:sz w:val="28"/>
          <w:szCs w:val="28"/>
        </w:rPr>
        <w:t xml:space="preserve"> складає </w:t>
      </w:r>
      <w:r w:rsidR="00547706" w:rsidRPr="00547706">
        <w:rPr>
          <w:kern w:val="28"/>
          <w:sz w:val="28"/>
          <w:szCs w:val="28"/>
        </w:rPr>
        <w:t>77,4</w:t>
      </w:r>
      <w:r w:rsidR="004E5B91" w:rsidRPr="00547706">
        <w:rPr>
          <w:kern w:val="28"/>
          <w:sz w:val="28"/>
          <w:szCs w:val="28"/>
        </w:rPr>
        <w:t>%</w:t>
      </w:r>
      <w:r w:rsidR="00193EC7" w:rsidRPr="00547706">
        <w:rPr>
          <w:kern w:val="28"/>
          <w:sz w:val="28"/>
          <w:szCs w:val="28"/>
        </w:rPr>
        <w:t xml:space="preserve"> (</w:t>
      </w:r>
      <w:r w:rsidR="00547706" w:rsidRPr="00547706">
        <w:rPr>
          <w:kern w:val="28"/>
          <w:sz w:val="28"/>
          <w:szCs w:val="28"/>
        </w:rPr>
        <w:t>9196</w:t>
      </w:r>
      <w:r w:rsidR="00193EC7" w:rsidRPr="00547706">
        <w:rPr>
          <w:kern w:val="28"/>
          <w:sz w:val="28"/>
          <w:szCs w:val="28"/>
        </w:rPr>
        <w:t xml:space="preserve"> справ)</w:t>
      </w:r>
      <w:r w:rsidR="0091315F" w:rsidRPr="00547706">
        <w:rPr>
          <w:kern w:val="28"/>
          <w:sz w:val="28"/>
          <w:szCs w:val="28"/>
        </w:rPr>
        <w:t>. У 20</w:t>
      </w:r>
      <w:r w:rsidR="00547706" w:rsidRPr="00547706">
        <w:rPr>
          <w:kern w:val="28"/>
          <w:sz w:val="28"/>
          <w:szCs w:val="28"/>
        </w:rPr>
        <w:t>21</w:t>
      </w:r>
      <w:r w:rsidR="0091315F" w:rsidRPr="00547706">
        <w:rPr>
          <w:kern w:val="28"/>
          <w:sz w:val="28"/>
          <w:szCs w:val="28"/>
        </w:rPr>
        <w:t xml:space="preserve"> році </w:t>
      </w:r>
      <w:r w:rsidR="00193EC7" w:rsidRPr="00547706">
        <w:rPr>
          <w:kern w:val="28"/>
          <w:sz w:val="28"/>
          <w:szCs w:val="28"/>
        </w:rPr>
        <w:t>такий показник</w:t>
      </w:r>
      <w:r w:rsidR="0091315F" w:rsidRPr="00547706">
        <w:rPr>
          <w:kern w:val="28"/>
          <w:sz w:val="28"/>
          <w:szCs w:val="28"/>
        </w:rPr>
        <w:t xml:space="preserve"> становив</w:t>
      </w:r>
      <w:r w:rsidRPr="00547706">
        <w:rPr>
          <w:kern w:val="28"/>
          <w:sz w:val="28"/>
          <w:szCs w:val="28"/>
        </w:rPr>
        <w:t xml:space="preserve"> </w:t>
      </w:r>
      <w:r w:rsidR="00547706" w:rsidRPr="00547706">
        <w:rPr>
          <w:kern w:val="28"/>
          <w:sz w:val="28"/>
          <w:szCs w:val="28"/>
        </w:rPr>
        <w:t>79,7</w:t>
      </w:r>
      <w:r w:rsidR="004E5B91" w:rsidRPr="00547706">
        <w:rPr>
          <w:kern w:val="28"/>
          <w:sz w:val="28"/>
          <w:szCs w:val="28"/>
        </w:rPr>
        <w:t>%</w:t>
      </w:r>
      <w:r w:rsidR="00193EC7" w:rsidRPr="00547706">
        <w:rPr>
          <w:kern w:val="28"/>
          <w:sz w:val="28"/>
          <w:szCs w:val="28"/>
        </w:rPr>
        <w:t xml:space="preserve"> (</w:t>
      </w:r>
      <w:r w:rsidR="00547706" w:rsidRPr="00547706">
        <w:rPr>
          <w:kern w:val="28"/>
          <w:sz w:val="28"/>
          <w:szCs w:val="28"/>
        </w:rPr>
        <w:t>9635</w:t>
      </w:r>
      <w:r w:rsidR="00193EC7" w:rsidRPr="00547706">
        <w:rPr>
          <w:kern w:val="28"/>
          <w:sz w:val="28"/>
          <w:szCs w:val="28"/>
        </w:rPr>
        <w:t>)</w:t>
      </w:r>
      <w:r w:rsidR="004E5B91" w:rsidRPr="00547706">
        <w:rPr>
          <w:kern w:val="28"/>
          <w:sz w:val="28"/>
          <w:szCs w:val="28"/>
        </w:rPr>
        <w:t xml:space="preserve">. </w:t>
      </w:r>
      <w:r w:rsidR="00193EC7" w:rsidRPr="00547706">
        <w:rPr>
          <w:kern w:val="28"/>
          <w:sz w:val="28"/>
          <w:szCs w:val="28"/>
        </w:rPr>
        <w:t>Отже,</w:t>
      </w:r>
      <w:r w:rsidR="001D6522" w:rsidRPr="00547706">
        <w:rPr>
          <w:kern w:val="28"/>
          <w:sz w:val="28"/>
          <w:szCs w:val="28"/>
        </w:rPr>
        <w:t xml:space="preserve"> спостерігається </w:t>
      </w:r>
      <w:r w:rsidRPr="00547706">
        <w:rPr>
          <w:kern w:val="28"/>
          <w:sz w:val="28"/>
          <w:szCs w:val="28"/>
        </w:rPr>
        <w:t>зменшення</w:t>
      </w:r>
      <w:r w:rsidR="00715826" w:rsidRPr="00547706">
        <w:rPr>
          <w:kern w:val="28"/>
          <w:sz w:val="28"/>
          <w:szCs w:val="28"/>
        </w:rPr>
        <w:t xml:space="preserve"> </w:t>
      </w:r>
      <w:r w:rsidR="00547706" w:rsidRPr="00547706">
        <w:rPr>
          <w:kern w:val="28"/>
          <w:sz w:val="28"/>
          <w:szCs w:val="28"/>
        </w:rPr>
        <w:t>кількості</w:t>
      </w:r>
      <w:r w:rsidR="004E5B91" w:rsidRPr="00547706">
        <w:rPr>
          <w:kern w:val="28"/>
          <w:sz w:val="28"/>
          <w:szCs w:val="28"/>
        </w:rPr>
        <w:t xml:space="preserve"> </w:t>
      </w:r>
      <w:r w:rsidR="00715826" w:rsidRPr="00547706">
        <w:rPr>
          <w:kern w:val="28"/>
          <w:sz w:val="28"/>
          <w:szCs w:val="28"/>
        </w:rPr>
        <w:t>справ</w:t>
      </w:r>
      <w:r w:rsidR="00850F01" w:rsidRPr="00547706">
        <w:rPr>
          <w:kern w:val="28"/>
          <w:sz w:val="28"/>
          <w:szCs w:val="28"/>
        </w:rPr>
        <w:t xml:space="preserve"> </w:t>
      </w:r>
      <w:r w:rsidR="00715826" w:rsidRPr="00547706">
        <w:rPr>
          <w:kern w:val="28"/>
          <w:sz w:val="28"/>
          <w:szCs w:val="28"/>
        </w:rPr>
        <w:t>розглянутих понад строки, встановлені КАС України</w:t>
      </w:r>
      <w:r w:rsidR="00A63097" w:rsidRPr="00547706">
        <w:rPr>
          <w:kern w:val="28"/>
          <w:sz w:val="28"/>
          <w:szCs w:val="28"/>
        </w:rPr>
        <w:t xml:space="preserve"> на </w:t>
      </w:r>
      <w:r w:rsidR="00547706" w:rsidRPr="00547706">
        <w:rPr>
          <w:kern w:val="28"/>
          <w:sz w:val="28"/>
          <w:szCs w:val="28"/>
        </w:rPr>
        <w:t>439 (2,3</w:t>
      </w:r>
      <w:r w:rsidR="0091315F" w:rsidRPr="00547706">
        <w:rPr>
          <w:kern w:val="28"/>
          <w:sz w:val="28"/>
          <w:szCs w:val="28"/>
        </w:rPr>
        <w:t>%</w:t>
      </w:r>
      <w:r w:rsidR="00547706" w:rsidRPr="00547706">
        <w:rPr>
          <w:kern w:val="28"/>
          <w:sz w:val="28"/>
          <w:szCs w:val="28"/>
        </w:rPr>
        <w:t>)</w:t>
      </w:r>
      <w:r w:rsidR="00715826" w:rsidRPr="00547706">
        <w:rPr>
          <w:kern w:val="28"/>
          <w:sz w:val="28"/>
          <w:szCs w:val="28"/>
        </w:rPr>
        <w:t>.</w:t>
      </w:r>
    </w:p>
    <w:p w14:paraId="316D962E" w14:textId="77777777" w:rsidR="009E5C86" w:rsidRPr="00547706" w:rsidRDefault="009E5C86" w:rsidP="009E5C86">
      <w:pPr>
        <w:shd w:val="clear" w:color="auto" w:fill="FFFFFF"/>
        <w:ind w:firstLine="709"/>
        <w:jc w:val="both"/>
        <w:rPr>
          <w:color w:val="000000" w:themeColor="text1"/>
          <w:kern w:val="28"/>
          <w:sz w:val="28"/>
          <w:szCs w:val="28"/>
        </w:rPr>
      </w:pPr>
      <w:r w:rsidRPr="00547706">
        <w:rPr>
          <w:color w:val="000000" w:themeColor="text1"/>
          <w:kern w:val="28"/>
          <w:sz w:val="28"/>
          <w:szCs w:val="28"/>
        </w:rPr>
        <w:t>Систематичними є випадки, коли учасники процесу з’являються до суду непідготовленими до розгляду справи, зловживаючи своїми процесуальними правами, подають в день призначення слухання справи заяви про необхідність ознайомлення з матеріалами справи, надання до суду додаткових доказів, тощо.</w:t>
      </w:r>
    </w:p>
    <w:p w14:paraId="542735CE" w14:textId="77777777" w:rsidR="009E5C86" w:rsidRPr="00547706" w:rsidRDefault="009E5C86" w:rsidP="009E5C86">
      <w:pPr>
        <w:shd w:val="clear" w:color="auto" w:fill="FFFFFF"/>
        <w:ind w:firstLine="709"/>
        <w:jc w:val="both"/>
        <w:rPr>
          <w:color w:val="000000" w:themeColor="text1"/>
          <w:kern w:val="28"/>
          <w:sz w:val="28"/>
          <w:szCs w:val="28"/>
        </w:rPr>
      </w:pPr>
      <w:r w:rsidRPr="00547706">
        <w:rPr>
          <w:color w:val="000000" w:themeColor="text1"/>
          <w:kern w:val="28"/>
          <w:sz w:val="28"/>
          <w:szCs w:val="28"/>
        </w:rPr>
        <w:t>Також причиною пропущення строків розгляду справ, встановлених процесуальним законом, є відкладення, за клопотаннями учасників справ, у зв'язку із поширенням на території України гострої респіраторної хвороби COVID-19, спричиненої корона вірусом SARS-CoV-2».</w:t>
      </w:r>
    </w:p>
    <w:p w14:paraId="7F480A88" w14:textId="77777777" w:rsidR="009E5C86" w:rsidRPr="00547706" w:rsidRDefault="009E5C86" w:rsidP="009E5C86">
      <w:pPr>
        <w:pStyle w:val="a4"/>
        <w:rPr>
          <w:color w:val="000000" w:themeColor="text1"/>
          <w:kern w:val="28"/>
          <w:sz w:val="28"/>
          <w:szCs w:val="28"/>
        </w:rPr>
      </w:pPr>
      <w:r w:rsidRPr="00547706">
        <w:rPr>
          <w:color w:val="000000" w:themeColor="text1"/>
          <w:kern w:val="28"/>
          <w:sz w:val="28"/>
          <w:szCs w:val="28"/>
        </w:rPr>
        <w:t>У зв’язку з військовою агресією Російської Федерації проти України введення воєнного стану на території України, відповідно до рішення Ради суддів України від 24.02.2022 "Щодо вжиття невідкладних заходів для забезпечення сталого функціонування судової влади в Україні в умовах припинення повноважень Вищої ради правосуддя та воєнного стану у зв'язку зі збройною агресією Російської Федерації", рекомендовано, зокрема, особливості роботи суду визначати виходячи з поточної ситуації у відповідному регіоні; за можливості відкладати розгляд справ (за винятком не відкладних  судових розглядів), зважаючи на те, що велика кількість учасників судових процесів не завжди мають можливість подати заяву про відкладення розгляду справи, або не можуть прибути в суд, у зв'язку з небезпекою для життя; справи, які не є невідкладними, розглядаються лише за наявності письмової згоди на це усіх учасників судового провадження; процесуальні строки по можливості продовжуються щонайменше до закінчення воєнного стану.</w:t>
      </w:r>
    </w:p>
    <w:p w14:paraId="09C8F66D" w14:textId="77777777" w:rsidR="009E5C86" w:rsidRPr="00547706" w:rsidRDefault="009E5C86" w:rsidP="009E5C86">
      <w:pPr>
        <w:pStyle w:val="a4"/>
        <w:rPr>
          <w:color w:val="000000" w:themeColor="text1"/>
          <w:kern w:val="28"/>
          <w:sz w:val="28"/>
          <w:szCs w:val="28"/>
        </w:rPr>
      </w:pPr>
      <w:r w:rsidRPr="00547706">
        <w:rPr>
          <w:color w:val="000000" w:themeColor="text1"/>
          <w:kern w:val="28"/>
          <w:sz w:val="28"/>
          <w:szCs w:val="28"/>
        </w:rPr>
        <w:t>Таким чином, враховуючи введення на території України воєнного стану та недопущення створення можливої небезпеки для життя учасників справи, процесуальні строки розгляду справ продовжені, тому значна частина справ, розглядається понад строки, встановлені КАС України.</w:t>
      </w:r>
    </w:p>
    <w:p w14:paraId="7DA2602D" w14:textId="63805FC6" w:rsidR="009E5C86" w:rsidRPr="00547706" w:rsidRDefault="009E5C86" w:rsidP="009E5C86">
      <w:pPr>
        <w:shd w:val="clear" w:color="auto" w:fill="FFFFFF"/>
        <w:ind w:firstLine="709"/>
        <w:jc w:val="both"/>
        <w:rPr>
          <w:color w:val="000000" w:themeColor="text1"/>
          <w:kern w:val="28"/>
          <w:sz w:val="28"/>
          <w:szCs w:val="28"/>
        </w:rPr>
      </w:pPr>
      <w:r w:rsidRPr="00547706">
        <w:rPr>
          <w:color w:val="000000" w:themeColor="text1"/>
          <w:kern w:val="28"/>
          <w:sz w:val="28"/>
          <w:szCs w:val="28"/>
        </w:rPr>
        <w:t xml:space="preserve">Усі зазначені обставини слугували збільшенню строків розгляду справ. Окрім об’єктивних причин великої кількості розглянутих справ понад строки, </w:t>
      </w:r>
      <w:r w:rsidRPr="00547706">
        <w:rPr>
          <w:color w:val="000000" w:themeColor="text1"/>
          <w:kern w:val="28"/>
          <w:sz w:val="28"/>
          <w:szCs w:val="28"/>
        </w:rPr>
        <w:lastRenderedPageBreak/>
        <w:t>має місце й додатковий фактор, – це неукомплектованість штату суддів КОАС, у зв’язку з чим збільшилось навантаження з розгляду справ на інших суддів КОАС.</w:t>
      </w:r>
    </w:p>
    <w:p w14:paraId="05676A14" w14:textId="4D105D50" w:rsidR="004E5B91" w:rsidRPr="00B76414" w:rsidRDefault="004E5B91" w:rsidP="00AE50D5">
      <w:pPr>
        <w:ind w:firstLine="709"/>
        <w:jc w:val="both"/>
        <w:rPr>
          <w:sz w:val="28"/>
          <w:szCs w:val="28"/>
          <w:highlight w:val="yellow"/>
        </w:rPr>
      </w:pPr>
      <w:r w:rsidRPr="00547706">
        <w:rPr>
          <w:kern w:val="28"/>
          <w:sz w:val="28"/>
          <w:szCs w:val="28"/>
        </w:rPr>
        <w:t>Показники</w:t>
      </w:r>
      <w:r w:rsidRPr="00B76414">
        <w:rPr>
          <w:sz w:val="28"/>
          <w:szCs w:val="28"/>
        </w:rPr>
        <w:t xml:space="preserve"> оперативності розгляду справ </w:t>
      </w:r>
      <w:r w:rsidR="009352A6" w:rsidRPr="00B76414">
        <w:rPr>
          <w:sz w:val="28"/>
          <w:szCs w:val="28"/>
        </w:rPr>
        <w:t xml:space="preserve">суддями КОАС </w:t>
      </w:r>
      <w:r w:rsidRPr="00B76414">
        <w:rPr>
          <w:sz w:val="28"/>
          <w:szCs w:val="28"/>
        </w:rPr>
        <w:t>у 20</w:t>
      </w:r>
      <w:r w:rsidR="00547706">
        <w:rPr>
          <w:sz w:val="28"/>
          <w:szCs w:val="28"/>
        </w:rPr>
        <w:t>22</w:t>
      </w:r>
      <w:r w:rsidR="00584E40" w:rsidRPr="00B76414">
        <w:rPr>
          <w:sz w:val="28"/>
          <w:szCs w:val="28"/>
        </w:rPr>
        <w:t xml:space="preserve"> </w:t>
      </w:r>
      <w:r w:rsidRPr="00B76414">
        <w:rPr>
          <w:sz w:val="28"/>
          <w:szCs w:val="28"/>
        </w:rPr>
        <w:t>–</w:t>
      </w:r>
      <w:r w:rsidR="00584E40" w:rsidRPr="00B76414">
        <w:rPr>
          <w:sz w:val="28"/>
          <w:szCs w:val="28"/>
        </w:rPr>
        <w:t xml:space="preserve"> </w:t>
      </w:r>
      <w:r w:rsidRPr="00B76414">
        <w:rPr>
          <w:sz w:val="28"/>
          <w:szCs w:val="28"/>
        </w:rPr>
        <w:t>20</w:t>
      </w:r>
      <w:r w:rsidR="00547706">
        <w:rPr>
          <w:sz w:val="28"/>
          <w:szCs w:val="28"/>
        </w:rPr>
        <w:t>21</w:t>
      </w:r>
      <w:r w:rsidRPr="00B76414">
        <w:rPr>
          <w:sz w:val="28"/>
          <w:szCs w:val="28"/>
        </w:rPr>
        <w:t xml:space="preserve"> роках відображено </w:t>
      </w:r>
      <w:r w:rsidR="00A420F8">
        <w:rPr>
          <w:sz w:val="28"/>
          <w:szCs w:val="28"/>
        </w:rPr>
        <w:t>у</w:t>
      </w:r>
      <w:r w:rsidRPr="00B76414">
        <w:rPr>
          <w:sz w:val="28"/>
          <w:szCs w:val="28"/>
        </w:rPr>
        <w:t xml:space="preserve"> гістограмі 5.</w:t>
      </w:r>
    </w:p>
    <w:p w14:paraId="6B5D3BEF" w14:textId="77777777" w:rsidR="004E5B91" w:rsidRPr="00B76414" w:rsidRDefault="004E5B91" w:rsidP="00D7102E">
      <w:pPr>
        <w:spacing w:line="276" w:lineRule="auto"/>
        <w:ind w:firstLine="709"/>
        <w:jc w:val="right"/>
        <w:rPr>
          <w:sz w:val="28"/>
          <w:szCs w:val="28"/>
        </w:rPr>
      </w:pPr>
      <w:r w:rsidRPr="00B76414">
        <w:rPr>
          <w:sz w:val="28"/>
          <w:szCs w:val="28"/>
        </w:rPr>
        <w:t>Гістограма 5</w:t>
      </w:r>
    </w:p>
    <w:p w14:paraId="72D12247" w14:textId="0CCBC220" w:rsidR="004E5B91" w:rsidRPr="00C87CAD" w:rsidRDefault="004E5B91" w:rsidP="002F70A5">
      <w:pPr>
        <w:spacing w:line="276" w:lineRule="auto"/>
        <w:ind w:firstLine="709"/>
        <w:jc w:val="center"/>
        <w:rPr>
          <w:highlight w:val="yellow"/>
        </w:rPr>
      </w:pPr>
      <w:r w:rsidRPr="00A420F8">
        <w:rPr>
          <w:b/>
          <w:sz w:val="28"/>
          <w:szCs w:val="28"/>
        </w:rPr>
        <w:t>Динаміка оперативності розгляду справ</w:t>
      </w:r>
      <w:r w:rsidR="00260E0D">
        <w:rPr>
          <w:b/>
          <w:sz w:val="28"/>
          <w:szCs w:val="28"/>
        </w:rPr>
        <w:t xml:space="preserve"> </w:t>
      </w:r>
      <w:r w:rsidR="009352A6" w:rsidRPr="00A420F8">
        <w:rPr>
          <w:b/>
          <w:sz w:val="28"/>
          <w:szCs w:val="28"/>
        </w:rPr>
        <w:t xml:space="preserve">КОАС </w:t>
      </w:r>
      <w:r w:rsidRPr="00A420F8">
        <w:rPr>
          <w:b/>
          <w:sz w:val="28"/>
          <w:szCs w:val="28"/>
        </w:rPr>
        <w:t xml:space="preserve">у </w:t>
      </w:r>
      <w:r w:rsidR="00A0305A" w:rsidRPr="00A420F8">
        <w:rPr>
          <w:b/>
          <w:sz w:val="28"/>
          <w:szCs w:val="28"/>
        </w:rPr>
        <w:t xml:space="preserve"> </w:t>
      </w:r>
      <w:r w:rsidRPr="00A420F8">
        <w:rPr>
          <w:b/>
          <w:sz w:val="28"/>
          <w:szCs w:val="28"/>
        </w:rPr>
        <w:t>20</w:t>
      </w:r>
      <w:r w:rsidR="00547706">
        <w:rPr>
          <w:b/>
          <w:sz w:val="28"/>
          <w:szCs w:val="28"/>
        </w:rPr>
        <w:t>21</w:t>
      </w:r>
      <w:r w:rsidR="00A0305A" w:rsidRPr="00A420F8">
        <w:rPr>
          <w:b/>
          <w:sz w:val="28"/>
          <w:szCs w:val="28"/>
        </w:rPr>
        <w:t xml:space="preserve"> </w:t>
      </w:r>
      <w:r w:rsidRPr="00A420F8">
        <w:rPr>
          <w:b/>
          <w:sz w:val="28"/>
          <w:szCs w:val="28"/>
        </w:rPr>
        <w:t>–</w:t>
      </w:r>
      <w:r w:rsidR="00A0305A" w:rsidRPr="00A420F8">
        <w:rPr>
          <w:b/>
          <w:sz w:val="28"/>
          <w:szCs w:val="28"/>
        </w:rPr>
        <w:t xml:space="preserve"> </w:t>
      </w:r>
      <w:r w:rsidRPr="00A420F8">
        <w:rPr>
          <w:b/>
          <w:sz w:val="28"/>
          <w:szCs w:val="28"/>
        </w:rPr>
        <w:t>20</w:t>
      </w:r>
      <w:r w:rsidR="00205357">
        <w:rPr>
          <w:b/>
          <w:sz w:val="28"/>
          <w:szCs w:val="28"/>
        </w:rPr>
        <w:t>2</w:t>
      </w:r>
      <w:r w:rsidR="00547706">
        <w:rPr>
          <w:b/>
          <w:sz w:val="28"/>
          <w:szCs w:val="28"/>
        </w:rPr>
        <w:t>2</w:t>
      </w:r>
      <w:r w:rsidRPr="00A420F8">
        <w:rPr>
          <w:b/>
          <w:sz w:val="28"/>
          <w:szCs w:val="28"/>
        </w:rPr>
        <w:t xml:space="preserve"> роках</w:t>
      </w:r>
      <w:r w:rsidR="00715826" w:rsidRPr="00C87CAD">
        <w:rPr>
          <w:noProof/>
          <w:lang w:val="ru-RU"/>
        </w:rPr>
        <w:drawing>
          <wp:inline distT="0" distB="0" distL="0" distR="0" wp14:anchorId="209152DA" wp14:editId="7DE4C29A">
            <wp:extent cx="5852746" cy="2417884"/>
            <wp:effectExtent l="19050" t="0" r="14654" b="1466"/>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C1CF1B5" w14:textId="77777777" w:rsidR="00A420F8" w:rsidRDefault="00A420F8" w:rsidP="00AE50D5">
      <w:pPr>
        <w:ind w:firstLine="709"/>
        <w:jc w:val="both"/>
        <w:rPr>
          <w:sz w:val="28"/>
          <w:szCs w:val="28"/>
        </w:rPr>
      </w:pPr>
    </w:p>
    <w:p w14:paraId="67BD7237" w14:textId="77777777" w:rsidR="000A2265" w:rsidRPr="00B76414" w:rsidRDefault="000A2265" w:rsidP="00AE50D5">
      <w:pPr>
        <w:pStyle w:val="1"/>
        <w:spacing w:before="0" w:beforeAutospacing="0" w:after="0" w:afterAutospacing="0"/>
        <w:ind w:firstLine="709"/>
        <w:jc w:val="both"/>
        <w:rPr>
          <w:sz w:val="28"/>
          <w:szCs w:val="28"/>
        </w:rPr>
      </w:pPr>
      <w:r w:rsidRPr="00B76414">
        <w:rPr>
          <w:sz w:val="28"/>
          <w:szCs w:val="28"/>
        </w:rPr>
        <w:t>Висновки</w:t>
      </w:r>
    </w:p>
    <w:p w14:paraId="69D39C91" w14:textId="77777777" w:rsidR="007A56F2" w:rsidRPr="00B76414" w:rsidRDefault="007A56F2" w:rsidP="00AE50D5">
      <w:pPr>
        <w:pStyle w:val="1"/>
        <w:spacing w:before="0" w:beforeAutospacing="0" w:after="0" w:afterAutospacing="0"/>
        <w:ind w:firstLine="709"/>
        <w:jc w:val="both"/>
        <w:rPr>
          <w:sz w:val="28"/>
          <w:szCs w:val="28"/>
        </w:rPr>
      </w:pPr>
    </w:p>
    <w:p w14:paraId="762A58CA" w14:textId="17ADA7B7" w:rsidR="000A2265" w:rsidRPr="00193EC7" w:rsidRDefault="000A2265" w:rsidP="00193EC7">
      <w:pPr>
        <w:pStyle w:val="a3"/>
        <w:spacing w:before="0" w:beforeAutospacing="0" w:after="0" w:afterAutospacing="0"/>
        <w:ind w:firstLine="709"/>
        <w:jc w:val="both"/>
        <w:rPr>
          <w:sz w:val="28"/>
          <w:szCs w:val="28"/>
          <w:lang w:val="uk-UA"/>
        </w:rPr>
      </w:pPr>
      <w:r w:rsidRPr="00B76414">
        <w:rPr>
          <w:bCs/>
          <w:sz w:val="28"/>
          <w:szCs w:val="28"/>
          <w:lang w:val="uk-UA"/>
        </w:rPr>
        <w:t>Аналіз статистичних даних показав, що у 20</w:t>
      </w:r>
      <w:r w:rsidR="00110FF7">
        <w:rPr>
          <w:bCs/>
          <w:sz w:val="28"/>
          <w:szCs w:val="28"/>
          <w:lang w:val="uk-UA"/>
        </w:rPr>
        <w:t>2</w:t>
      </w:r>
      <w:r w:rsidR="00547706">
        <w:rPr>
          <w:bCs/>
          <w:sz w:val="28"/>
          <w:szCs w:val="28"/>
          <w:lang w:val="uk-UA"/>
        </w:rPr>
        <w:t>2</w:t>
      </w:r>
      <w:r w:rsidRPr="00B76414">
        <w:rPr>
          <w:bCs/>
          <w:sz w:val="28"/>
          <w:szCs w:val="28"/>
          <w:lang w:val="uk-UA"/>
        </w:rPr>
        <w:t xml:space="preserve"> ро</w:t>
      </w:r>
      <w:r w:rsidR="00A52A1E" w:rsidRPr="00B76414">
        <w:rPr>
          <w:bCs/>
          <w:sz w:val="28"/>
          <w:szCs w:val="28"/>
          <w:lang w:val="uk-UA"/>
        </w:rPr>
        <w:t>ці</w:t>
      </w:r>
      <w:r w:rsidRPr="00B76414">
        <w:rPr>
          <w:bCs/>
          <w:sz w:val="28"/>
          <w:szCs w:val="28"/>
          <w:lang w:val="uk-UA"/>
        </w:rPr>
        <w:t xml:space="preserve"> </w:t>
      </w:r>
      <w:r w:rsidR="00547706">
        <w:rPr>
          <w:bCs/>
          <w:sz w:val="28"/>
          <w:szCs w:val="28"/>
          <w:lang w:val="uk-UA"/>
        </w:rPr>
        <w:t>дещо зменшилося</w:t>
      </w:r>
      <w:r w:rsidRPr="00B76414">
        <w:rPr>
          <w:bCs/>
          <w:sz w:val="28"/>
          <w:szCs w:val="28"/>
          <w:lang w:val="uk-UA"/>
        </w:rPr>
        <w:t xml:space="preserve"> </w:t>
      </w:r>
      <w:proofErr w:type="spellStart"/>
      <w:r w:rsidR="00547706">
        <w:rPr>
          <w:bCs/>
          <w:sz w:val="28"/>
          <w:szCs w:val="28"/>
          <w:lang w:val="uk-UA"/>
        </w:rPr>
        <w:t>н</w:t>
      </w:r>
      <w:r w:rsidRPr="00B76414">
        <w:rPr>
          <w:bCs/>
          <w:sz w:val="28"/>
          <w:szCs w:val="28"/>
          <w:lang w:val="uk-UA"/>
        </w:rPr>
        <w:t>надходження</w:t>
      </w:r>
      <w:proofErr w:type="spellEnd"/>
      <w:r w:rsidRPr="00B76414">
        <w:rPr>
          <w:bCs/>
          <w:sz w:val="28"/>
          <w:szCs w:val="28"/>
          <w:lang w:val="uk-UA"/>
        </w:rPr>
        <w:t xml:space="preserve"> справ і матеріалів до</w:t>
      </w:r>
      <w:r w:rsidR="00C510CD" w:rsidRPr="00B76414">
        <w:rPr>
          <w:bCs/>
          <w:sz w:val="28"/>
          <w:szCs w:val="28"/>
          <w:lang w:val="uk-UA"/>
        </w:rPr>
        <w:t xml:space="preserve"> КОАС</w:t>
      </w:r>
      <w:r w:rsidR="00411DEA" w:rsidRPr="00B76414">
        <w:rPr>
          <w:bCs/>
          <w:sz w:val="28"/>
          <w:szCs w:val="28"/>
          <w:lang w:val="uk-UA"/>
        </w:rPr>
        <w:t xml:space="preserve"> </w:t>
      </w:r>
      <w:r w:rsidR="00022315" w:rsidRPr="00B76414">
        <w:rPr>
          <w:bCs/>
          <w:sz w:val="28"/>
          <w:szCs w:val="28"/>
          <w:lang w:val="uk-UA"/>
        </w:rPr>
        <w:t>у порівнянні з 20</w:t>
      </w:r>
      <w:r w:rsidR="00547706">
        <w:rPr>
          <w:bCs/>
          <w:sz w:val="28"/>
          <w:szCs w:val="28"/>
          <w:lang w:val="uk-UA"/>
        </w:rPr>
        <w:t>21</w:t>
      </w:r>
      <w:r w:rsidR="00022315" w:rsidRPr="00B76414">
        <w:rPr>
          <w:bCs/>
          <w:sz w:val="28"/>
          <w:szCs w:val="28"/>
          <w:lang w:val="uk-UA"/>
        </w:rPr>
        <w:t xml:space="preserve"> рок</w:t>
      </w:r>
      <w:r w:rsidR="00A52A1E" w:rsidRPr="00B76414">
        <w:rPr>
          <w:bCs/>
          <w:sz w:val="28"/>
          <w:szCs w:val="28"/>
          <w:lang w:val="uk-UA"/>
        </w:rPr>
        <w:t>ом</w:t>
      </w:r>
      <w:r w:rsidR="00547706">
        <w:rPr>
          <w:bCs/>
          <w:sz w:val="28"/>
          <w:szCs w:val="28"/>
          <w:lang w:val="uk-UA"/>
        </w:rPr>
        <w:t>.</w:t>
      </w:r>
    </w:p>
    <w:p w14:paraId="519D2FB9" w14:textId="36921BAF" w:rsidR="00B76414" w:rsidRPr="00B76414" w:rsidRDefault="00110FF7" w:rsidP="00AE50D5">
      <w:pPr>
        <w:ind w:firstLine="709"/>
        <w:jc w:val="both"/>
        <w:rPr>
          <w:sz w:val="28"/>
          <w:szCs w:val="28"/>
        </w:rPr>
      </w:pPr>
      <w:r>
        <w:rPr>
          <w:sz w:val="28"/>
          <w:szCs w:val="28"/>
        </w:rPr>
        <w:t>Крім того, у</w:t>
      </w:r>
      <w:r w:rsidR="000A2265" w:rsidRPr="00B76414">
        <w:rPr>
          <w:sz w:val="28"/>
          <w:szCs w:val="28"/>
        </w:rPr>
        <w:t xml:space="preserve"> звітному періоді в </w:t>
      </w:r>
      <w:r w:rsidR="007D7E43" w:rsidRPr="00B76414">
        <w:rPr>
          <w:sz w:val="28"/>
          <w:szCs w:val="28"/>
        </w:rPr>
        <w:t xml:space="preserve">КОАС </w:t>
      </w:r>
      <w:r w:rsidR="00547706">
        <w:rPr>
          <w:sz w:val="28"/>
          <w:szCs w:val="28"/>
        </w:rPr>
        <w:t>значно</w:t>
      </w:r>
      <w:r w:rsidR="00B54737" w:rsidRPr="00B76414">
        <w:rPr>
          <w:sz w:val="28"/>
          <w:szCs w:val="28"/>
        </w:rPr>
        <w:t xml:space="preserve"> </w:t>
      </w:r>
      <w:r w:rsidR="00547706">
        <w:rPr>
          <w:sz w:val="28"/>
          <w:szCs w:val="28"/>
        </w:rPr>
        <w:t>підвищився</w:t>
      </w:r>
      <w:r w:rsidR="004727FF" w:rsidRPr="00B76414">
        <w:rPr>
          <w:sz w:val="28"/>
          <w:szCs w:val="28"/>
        </w:rPr>
        <w:t xml:space="preserve"> відсоток</w:t>
      </w:r>
      <w:r w:rsidR="000A2265" w:rsidRPr="00B76414">
        <w:rPr>
          <w:sz w:val="28"/>
          <w:szCs w:val="28"/>
        </w:rPr>
        <w:t xml:space="preserve"> розгляду</w:t>
      </w:r>
      <w:r w:rsidR="004727FF" w:rsidRPr="00B76414">
        <w:rPr>
          <w:sz w:val="28"/>
          <w:szCs w:val="28"/>
        </w:rPr>
        <w:t xml:space="preserve"> справ та матеріалів </w:t>
      </w:r>
      <w:r w:rsidR="000A2265" w:rsidRPr="00B76414">
        <w:rPr>
          <w:sz w:val="28"/>
          <w:szCs w:val="28"/>
        </w:rPr>
        <w:t xml:space="preserve"> суд</w:t>
      </w:r>
      <w:r w:rsidR="00C90741" w:rsidRPr="00B76414">
        <w:rPr>
          <w:sz w:val="28"/>
          <w:szCs w:val="28"/>
        </w:rPr>
        <w:t>дя</w:t>
      </w:r>
      <w:r w:rsidR="000A2265" w:rsidRPr="00B76414">
        <w:rPr>
          <w:sz w:val="28"/>
          <w:szCs w:val="28"/>
        </w:rPr>
        <w:t xml:space="preserve">ми </w:t>
      </w:r>
      <w:r w:rsidR="00010730" w:rsidRPr="00B76414">
        <w:rPr>
          <w:sz w:val="28"/>
          <w:szCs w:val="28"/>
        </w:rPr>
        <w:t>порівняно з минулим роком</w:t>
      </w:r>
      <w:r w:rsidR="00193EC7">
        <w:rPr>
          <w:sz w:val="28"/>
          <w:szCs w:val="28"/>
        </w:rPr>
        <w:t xml:space="preserve">, що </w:t>
      </w:r>
      <w:r w:rsidR="00547706">
        <w:rPr>
          <w:sz w:val="28"/>
          <w:szCs w:val="28"/>
        </w:rPr>
        <w:t xml:space="preserve">хоча і є передовою практикою, однак і надалі </w:t>
      </w:r>
      <w:r w:rsidR="00193EC7">
        <w:rPr>
          <w:sz w:val="28"/>
          <w:szCs w:val="28"/>
        </w:rPr>
        <w:t>потребує доклад</w:t>
      </w:r>
      <w:r w:rsidR="00547706">
        <w:rPr>
          <w:sz w:val="28"/>
          <w:szCs w:val="28"/>
        </w:rPr>
        <w:t>а</w:t>
      </w:r>
      <w:r w:rsidR="00193EC7">
        <w:rPr>
          <w:sz w:val="28"/>
          <w:szCs w:val="28"/>
        </w:rPr>
        <w:t>ння додаткових зусиль</w:t>
      </w:r>
      <w:r w:rsidR="000A2265" w:rsidRPr="00B76414">
        <w:rPr>
          <w:sz w:val="28"/>
          <w:szCs w:val="28"/>
        </w:rPr>
        <w:t xml:space="preserve"> </w:t>
      </w:r>
      <w:r w:rsidR="00193EC7">
        <w:rPr>
          <w:sz w:val="28"/>
          <w:szCs w:val="28"/>
        </w:rPr>
        <w:t>для підвищення ефективності роботи суду з розгляду справ.</w:t>
      </w:r>
    </w:p>
    <w:p w14:paraId="163CAD3E" w14:textId="05035F52" w:rsidR="00193EC7" w:rsidRDefault="00193EC7" w:rsidP="00AE50D5">
      <w:pPr>
        <w:ind w:firstLine="709"/>
        <w:jc w:val="both"/>
        <w:rPr>
          <w:sz w:val="28"/>
          <w:szCs w:val="28"/>
        </w:rPr>
      </w:pPr>
      <w:r>
        <w:rPr>
          <w:sz w:val="28"/>
          <w:szCs w:val="28"/>
        </w:rPr>
        <w:t>Однак, н</w:t>
      </w:r>
      <w:r w:rsidR="00B26221" w:rsidRPr="00B76414">
        <w:rPr>
          <w:sz w:val="28"/>
          <w:szCs w:val="28"/>
        </w:rPr>
        <w:t xml:space="preserve">езважаючи на складність </w:t>
      </w:r>
      <w:r w:rsidR="00A420F8">
        <w:rPr>
          <w:sz w:val="28"/>
          <w:szCs w:val="28"/>
        </w:rPr>
        <w:t>у</w:t>
      </w:r>
      <w:r w:rsidR="00B26221" w:rsidRPr="00B76414">
        <w:rPr>
          <w:sz w:val="28"/>
          <w:szCs w:val="28"/>
        </w:rPr>
        <w:t xml:space="preserve"> роботі</w:t>
      </w:r>
      <w:r w:rsidR="00547706">
        <w:rPr>
          <w:sz w:val="28"/>
          <w:szCs w:val="28"/>
        </w:rPr>
        <w:t xml:space="preserve">, неукомплектованість штату </w:t>
      </w:r>
      <w:r w:rsidR="00B26221" w:rsidRPr="00B76414">
        <w:rPr>
          <w:sz w:val="28"/>
          <w:szCs w:val="28"/>
        </w:rPr>
        <w:t xml:space="preserve"> </w:t>
      </w:r>
      <w:r w:rsidR="00547706">
        <w:rPr>
          <w:sz w:val="28"/>
          <w:szCs w:val="28"/>
        </w:rPr>
        <w:t xml:space="preserve">суддів КОАС </w:t>
      </w:r>
      <w:r w:rsidR="00B26221" w:rsidRPr="00B76414">
        <w:rPr>
          <w:sz w:val="28"/>
          <w:szCs w:val="28"/>
        </w:rPr>
        <w:t>та значне</w:t>
      </w:r>
      <w:r>
        <w:rPr>
          <w:sz w:val="28"/>
          <w:szCs w:val="28"/>
        </w:rPr>
        <w:t xml:space="preserve"> збільшення фактичного</w:t>
      </w:r>
      <w:r w:rsidR="00B26221" w:rsidRPr="00B76414">
        <w:rPr>
          <w:sz w:val="28"/>
          <w:szCs w:val="28"/>
        </w:rPr>
        <w:t xml:space="preserve"> навантаження, </w:t>
      </w:r>
      <w:r w:rsidR="00B54737" w:rsidRPr="00B76414">
        <w:rPr>
          <w:sz w:val="28"/>
          <w:szCs w:val="28"/>
        </w:rPr>
        <w:t xml:space="preserve">КОАС </w:t>
      </w:r>
      <w:r w:rsidR="00B26221" w:rsidRPr="00B76414">
        <w:rPr>
          <w:sz w:val="28"/>
          <w:szCs w:val="28"/>
        </w:rPr>
        <w:t xml:space="preserve">в цілому забезпечив правильне і своєчасне вирішення судових справ, що було досягнуто у результаті сумлінної роботи суддів та працівників апарату суду. </w:t>
      </w:r>
    </w:p>
    <w:p w14:paraId="30CEDF9E" w14:textId="75D50A22" w:rsidR="00B26221" w:rsidRDefault="004727FF" w:rsidP="00AE50D5">
      <w:pPr>
        <w:ind w:firstLine="709"/>
        <w:jc w:val="both"/>
        <w:rPr>
          <w:sz w:val="28"/>
          <w:szCs w:val="28"/>
        </w:rPr>
      </w:pPr>
      <w:r w:rsidRPr="00B76414">
        <w:rPr>
          <w:sz w:val="28"/>
          <w:szCs w:val="28"/>
        </w:rPr>
        <w:t>Таким чином</w:t>
      </w:r>
      <w:r w:rsidR="00965383" w:rsidRPr="00B76414">
        <w:rPr>
          <w:sz w:val="28"/>
          <w:szCs w:val="28"/>
        </w:rPr>
        <w:t>, о</w:t>
      </w:r>
      <w:r w:rsidR="005C5FB5" w:rsidRPr="00B76414">
        <w:rPr>
          <w:sz w:val="28"/>
          <w:szCs w:val="28"/>
        </w:rPr>
        <w:t xml:space="preserve">гляд даних </w:t>
      </w:r>
      <w:r w:rsidR="00DD4C68">
        <w:rPr>
          <w:sz w:val="28"/>
          <w:szCs w:val="28"/>
        </w:rPr>
        <w:t xml:space="preserve">статистичної звітності суду </w:t>
      </w:r>
      <w:r w:rsidRPr="00B76414">
        <w:rPr>
          <w:sz w:val="28"/>
          <w:szCs w:val="28"/>
        </w:rPr>
        <w:t>за 20</w:t>
      </w:r>
      <w:r w:rsidR="00110FF7">
        <w:rPr>
          <w:sz w:val="28"/>
          <w:szCs w:val="28"/>
        </w:rPr>
        <w:t>2</w:t>
      </w:r>
      <w:r w:rsidR="00547706">
        <w:rPr>
          <w:sz w:val="28"/>
          <w:szCs w:val="28"/>
        </w:rPr>
        <w:t>2</w:t>
      </w:r>
      <w:r w:rsidRPr="00B76414">
        <w:rPr>
          <w:sz w:val="28"/>
          <w:szCs w:val="28"/>
        </w:rPr>
        <w:t xml:space="preserve"> рік </w:t>
      </w:r>
      <w:r w:rsidR="005C5FB5" w:rsidRPr="00B76414">
        <w:rPr>
          <w:sz w:val="28"/>
          <w:szCs w:val="28"/>
        </w:rPr>
        <w:t>показав</w:t>
      </w:r>
      <w:r w:rsidR="00B26221" w:rsidRPr="00B76414">
        <w:rPr>
          <w:sz w:val="28"/>
          <w:szCs w:val="28"/>
        </w:rPr>
        <w:t xml:space="preserve">, що </w:t>
      </w:r>
      <w:r w:rsidR="00B54737" w:rsidRPr="00B76414">
        <w:rPr>
          <w:sz w:val="28"/>
          <w:szCs w:val="28"/>
        </w:rPr>
        <w:t>КОАС</w:t>
      </w:r>
      <w:r w:rsidRPr="00B76414">
        <w:rPr>
          <w:sz w:val="28"/>
          <w:szCs w:val="28"/>
        </w:rPr>
        <w:t xml:space="preserve"> </w:t>
      </w:r>
      <w:r w:rsidR="00B26221" w:rsidRPr="00B76414">
        <w:rPr>
          <w:sz w:val="28"/>
          <w:szCs w:val="28"/>
        </w:rPr>
        <w:t xml:space="preserve">забезпечено здійснення </w:t>
      </w:r>
      <w:r w:rsidRPr="00B76414">
        <w:rPr>
          <w:sz w:val="28"/>
          <w:szCs w:val="28"/>
        </w:rPr>
        <w:t>правосуддя на належному рівні</w:t>
      </w:r>
      <w:r w:rsidR="00B26221" w:rsidRPr="00B76414">
        <w:rPr>
          <w:sz w:val="28"/>
          <w:szCs w:val="28"/>
        </w:rPr>
        <w:t>.</w:t>
      </w:r>
    </w:p>
    <w:p w14:paraId="0B657DCE" w14:textId="77777777" w:rsidR="00260E0D" w:rsidRPr="00B76414" w:rsidRDefault="00260E0D" w:rsidP="00AE50D5">
      <w:pPr>
        <w:ind w:firstLine="709"/>
        <w:jc w:val="both"/>
        <w:rPr>
          <w:sz w:val="28"/>
          <w:szCs w:val="28"/>
        </w:rPr>
      </w:pPr>
    </w:p>
    <w:tbl>
      <w:tblPr>
        <w:tblW w:w="9889" w:type="dxa"/>
        <w:tblLook w:val="04A0" w:firstRow="1" w:lastRow="0" w:firstColumn="1" w:lastColumn="0" w:noHBand="0" w:noVBand="1"/>
      </w:tblPr>
      <w:tblGrid>
        <w:gridCol w:w="4219"/>
        <w:gridCol w:w="2693"/>
        <w:gridCol w:w="2977"/>
      </w:tblGrid>
      <w:tr w:rsidR="00025EF7" w:rsidRPr="00FA2621" w14:paraId="1AAD0E3F" w14:textId="77777777" w:rsidTr="00193EC7">
        <w:trPr>
          <w:cantSplit/>
          <w:trHeight w:val="1653"/>
        </w:trPr>
        <w:tc>
          <w:tcPr>
            <w:tcW w:w="4219" w:type="dxa"/>
            <w:vAlign w:val="bottom"/>
            <w:hideMark/>
          </w:tcPr>
          <w:p w14:paraId="4F97ED4D" w14:textId="77777777" w:rsidR="00025EF7" w:rsidRPr="00FA2621" w:rsidRDefault="00260E0D" w:rsidP="00C87CAD">
            <w:pPr>
              <w:pStyle w:val="a4"/>
              <w:ind w:firstLine="0"/>
              <w:jc w:val="left"/>
              <w:rPr>
                <w:b/>
                <w:sz w:val="28"/>
                <w:szCs w:val="28"/>
              </w:rPr>
            </w:pPr>
            <w:r w:rsidRPr="00FA2621">
              <w:rPr>
                <w:b/>
                <w:sz w:val="28"/>
                <w:szCs w:val="28"/>
              </w:rPr>
              <w:t>Н</w:t>
            </w:r>
            <w:r w:rsidR="00025EF7" w:rsidRPr="00FA2621">
              <w:rPr>
                <w:b/>
                <w:sz w:val="28"/>
                <w:szCs w:val="28"/>
              </w:rPr>
              <w:t>ачальник</w:t>
            </w:r>
            <w:r w:rsidR="006337BB" w:rsidRPr="00FA2621">
              <w:rPr>
                <w:b/>
                <w:sz w:val="28"/>
                <w:szCs w:val="28"/>
              </w:rPr>
              <w:t xml:space="preserve"> </w:t>
            </w:r>
            <w:r w:rsidR="00025EF7" w:rsidRPr="00FA2621">
              <w:rPr>
                <w:b/>
                <w:sz w:val="28"/>
                <w:szCs w:val="28"/>
              </w:rPr>
              <w:t xml:space="preserve"> </w:t>
            </w:r>
            <w:r w:rsidR="002F70A5" w:rsidRPr="00FA2621">
              <w:rPr>
                <w:b/>
                <w:sz w:val="28"/>
                <w:szCs w:val="28"/>
              </w:rPr>
              <w:t>В</w:t>
            </w:r>
            <w:r w:rsidR="00025EF7" w:rsidRPr="00FA2621">
              <w:rPr>
                <w:b/>
                <w:sz w:val="28"/>
                <w:szCs w:val="28"/>
              </w:rPr>
              <w:t>ідділу правової, аналітично-статистичної роботи та узагальнення судової практики</w:t>
            </w:r>
          </w:p>
        </w:tc>
        <w:tc>
          <w:tcPr>
            <w:tcW w:w="2693" w:type="dxa"/>
            <w:vAlign w:val="bottom"/>
          </w:tcPr>
          <w:p w14:paraId="127775EC" w14:textId="77777777" w:rsidR="00025EF7" w:rsidRPr="00FA2621" w:rsidRDefault="00025EF7" w:rsidP="00C87CAD">
            <w:pPr>
              <w:pStyle w:val="a4"/>
              <w:jc w:val="left"/>
              <w:rPr>
                <w:b/>
                <w:sz w:val="28"/>
                <w:szCs w:val="28"/>
              </w:rPr>
            </w:pPr>
          </w:p>
        </w:tc>
        <w:tc>
          <w:tcPr>
            <w:tcW w:w="2977" w:type="dxa"/>
            <w:vAlign w:val="bottom"/>
            <w:hideMark/>
          </w:tcPr>
          <w:p w14:paraId="0BF39523" w14:textId="77777777" w:rsidR="00025EF7" w:rsidRPr="00FA2621" w:rsidRDefault="002C091F" w:rsidP="00DD4C68">
            <w:pPr>
              <w:pStyle w:val="a4"/>
              <w:ind w:firstLine="0"/>
              <w:jc w:val="right"/>
              <w:rPr>
                <w:b/>
                <w:sz w:val="28"/>
                <w:szCs w:val="28"/>
              </w:rPr>
            </w:pPr>
            <w:r w:rsidRPr="00FA2621">
              <w:rPr>
                <w:b/>
                <w:sz w:val="28"/>
                <w:szCs w:val="28"/>
              </w:rPr>
              <w:t xml:space="preserve">    </w:t>
            </w:r>
            <w:r w:rsidR="001F1876" w:rsidRPr="00FA2621">
              <w:rPr>
                <w:b/>
                <w:sz w:val="28"/>
                <w:szCs w:val="28"/>
              </w:rPr>
              <w:t xml:space="preserve"> </w:t>
            </w:r>
            <w:r w:rsidR="00A52A1E" w:rsidRPr="00FA2621">
              <w:rPr>
                <w:b/>
                <w:sz w:val="28"/>
                <w:szCs w:val="28"/>
              </w:rPr>
              <w:t>І</w:t>
            </w:r>
            <w:r w:rsidR="00025EF7" w:rsidRPr="00FA2621">
              <w:rPr>
                <w:b/>
                <w:sz w:val="28"/>
                <w:szCs w:val="28"/>
              </w:rPr>
              <w:t>.</w:t>
            </w:r>
            <w:r w:rsidR="00A52A1E" w:rsidRPr="00FA2621">
              <w:rPr>
                <w:b/>
                <w:sz w:val="28"/>
                <w:szCs w:val="28"/>
              </w:rPr>
              <w:t>І</w:t>
            </w:r>
            <w:r w:rsidR="00025EF7" w:rsidRPr="00FA2621">
              <w:rPr>
                <w:b/>
                <w:sz w:val="28"/>
                <w:szCs w:val="28"/>
              </w:rPr>
              <w:t xml:space="preserve">. </w:t>
            </w:r>
            <w:r w:rsidR="00A52A1E" w:rsidRPr="00FA2621">
              <w:rPr>
                <w:b/>
                <w:sz w:val="28"/>
                <w:szCs w:val="28"/>
              </w:rPr>
              <w:t>Кондратюк</w:t>
            </w:r>
          </w:p>
        </w:tc>
      </w:tr>
    </w:tbl>
    <w:p w14:paraId="7C085901" w14:textId="77777777" w:rsidR="009F3651" w:rsidRPr="00C87CAD" w:rsidRDefault="009F3651" w:rsidP="00193EC7">
      <w:pPr>
        <w:spacing w:line="276" w:lineRule="auto"/>
        <w:rPr>
          <w:b/>
          <w:bCs/>
        </w:rPr>
      </w:pPr>
    </w:p>
    <w:sectPr w:rsidR="009F3651" w:rsidRPr="00C87CAD" w:rsidSect="003A093B">
      <w:footerReference w:type="default" r:id="rId16"/>
      <w:footerReference w:type="first" r:id="rId17"/>
      <w:pgSz w:w="11906" w:h="16838"/>
      <w:pgMar w:top="737" w:right="851" w:bottom="567" w:left="141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2635" w14:textId="77777777" w:rsidR="003A093B" w:rsidRDefault="003A093B" w:rsidP="00352C70">
      <w:r>
        <w:separator/>
      </w:r>
    </w:p>
  </w:endnote>
  <w:endnote w:type="continuationSeparator" w:id="0">
    <w:p w14:paraId="713DECF4" w14:textId="77777777" w:rsidR="003A093B" w:rsidRDefault="003A093B" w:rsidP="0035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0101"/>
      <w:docPartObj>
        <w:docPartGallery w:val="Page Numbers (Bottom of Page)"/>
        <w:docPartUnique/>
      </w:docPartObj>
    </w:sdtPr>
    <w:sdtContent>
      <w:p w14:paraId="7FBE0A33" w14:textId="77777777" w:rsidR="00C82A86" w:rsidRDefault="00000000">
        <w:pPr>
          <w:pStyle w:val="af0"/>
          <w:jc w:val="right"/>
        </w:pPr>
        <w:r>
          <w:fldChar w:fldCharType="begin"/>
        </w:r>
        <w:r>
          <w:instrText xml:space="preserve"> PAGE   \* MERGEFORMAT </w:instrText>
        </w:r>
        <w:r>
          <w:fldChar w:fldCharType="separate"/>
        </w:r>
        <w:r w:rsidR="00AD0278">
          <w:rPr>
            <w:noProof/>
          </w:rPr>
          <w:t>2</w:t>
        </w:r>
        <w:r>
          <w:rPr>
            <w:noProof/>
          </w:rPr>
          <w:fldChar w:fldCharType="end"/>
        </w:r>
      </w:p>
    </w:sdtContent>
  </w:sdt>
  <w:p w14:paraId="389A5318" w14:textId="77777777" w:rsidR="00C82A86" w:rsidRDefault="00C82A8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4188"/>
      <w:docPartObj>
        <w:docPartGallery w:val="Page Numbers (Bottom of Page)"/>
        <w:docPartUnique/>
      </w:docPartObj>
    </w:sdtPr>
    <w:sdtContent>
      <w:p w14:paraId="2D1564A9" w14:textId="77777777" w:rsidR="00642939" w:rsidRDefault="00000000">
        <w:pPr>
          <w:pStyle w:val="af0"/>
          <w:jc w:val="right"/>
        </w:pPr>
        <w:r>
          <w:fldChar w:fldCharType="begin"/>
        </w:r>
        <w:r>
          <w:instrText xml:space="preserve"> PAGE   \* MERGEFORMAT </w:instrText>
        </w:r>
        <w:r>
          <w:fldChar w:fldCharType="separate"/>
        </w:r>
        <w:r w:rsidR="00AC53A4">
          <w:rPr>
            <w:noProof/>
          </w:rPr>
          <w:t>1</w:t>
        </w:r>
        <w:r>
          <w:rPr>
            <w:noProof/>
          </w:rPr>
          <w:fldChar w:fldCharType="end"/>
        </w:r>
      </w:p>
    </w:sdtContent>
  </w:sdt>
  <w:p w14:paraId="28C366B6" w14:textId="77777777" w:rsidR="00C82A86" w:rsidRDefault="00C82A8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9459" w14:textId="77777777" w:rsidR="003A093B" w:rsidRDefault="003A093B" w:rsidP="00352C70">
      <w:r>
        <w:separator/>
      </w:r>
    </w:p>
  </w:footnote>
  <w:footnote w:type="continuationSeparator" w:id="0">
    <w:p w14:paraId="72138A08" w14:textId="77777777" w:rsidR="003A093B" w:rsidRDefault="003A093B" w:rsidP="00352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A0B"/>
    <w:multiLevelType w:val="hybridMultilevel"/>
    <w:tmpl w:val="0B3AF86C"/>
    <w:lvl w:ilvl="0" w:tplc="2772B65C">
      <w:numFmt w:val="bullet"/>
      <w:lvlText w:val="-"/>
      <w:lvlJc w:val="left"/>
      <w:pPr>
        <w:ind w:left="6598" w:hanging="360"/>
      </w:pPr>
      <w:rPr>
        <w:rFonts w:ascii="Times New Roman" w:eastAsia="Times New Roman" w:hAnsi="Times New Roman" w:cs="Times New Roman" w:hint="default"/>
      </w:rPr>
    </w:lvl>
    <w:lvl w:ilvl="1" w:tplc="04220003">
      <w:start w:val="1"/>
      <w:numFmt w:val="bullet"/>
      <w:lvlText w:val="o"/>
      <w:lvlJc w:val="left"/>
      <w:pPr>
        <w:ind w:left="1080" w:hanging="360"/>
      </w:pPr>
      <w:rPr>
        <w:rFonts w:ascii="Courier New" w:hAnsi="Courier New" w:cs="Courier New" w:hint="default"/>
      </w:r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15:restartNumberingAfterBreak="0">
    <w:nsid w:val="1E694CB5"/>
    <w:multiLevelType w:val="hybridMultilevel"/>
    <w:tmpl w:val="B7141A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942F0D"/>
    <w:multiLevelType w:val="multilevel"/>
    <w:tmpl w:val="0680B558"/>
    <w:lvl w:ilvl="0">
      <w:start w:val="1"/>
      <w:numFmt w:val="decimal"/>
      <w:lvlText w:val="%1."/>
      <w:lvlJc w:val="left"/>
      <w:pPr>
        <w:ind w:left="708" w:hanging="360"/>
      </w:pPr>
    </w:lvl>
    <w:lvl w:ilvl="1">
      <w:start w:val="2"/>
      <w:numFmt w:val="decimal"/>
      <w:isLgl/>
      <w:lvlText w:val="%1.%2"/>
      <w:lvlJc w:val="left"/>
      <w:pPr>
        <w:ind w:left="1198" w:hanging="450"/>
      </w:pPr>
      <w:rPr>
        <w:b/>
      </w:rPr>
    </w:lvl>
    <w:lvl w:ilvl="2">
      <w:start w:val="1"/>
      <w:numFmt w:val="decimal"/>
      <w:isLgl/>
      <w:lvlText w:val="%1.%2.%3"/>
      <w:lvlJc w:val="left"/>
      <w:pPr>
        <w:ind w:left="1868" w:hanging="720"/>
      </w:pPr>
      <w:rPr>
        <w:b/>
      </w:rPr>
    </w:lvl>
    <w:lvl w:ilvl="3">
      <w:start w:val="1"/>
      <w:numFmt w:val="decimal"/>
      <w:isLgl/>
      <w:lvlText w:val="%1.%2.%3.%4"/>
      <w:lvlJc w:val="left"/>
      <w:pPr>
        <w:ind w:left="2628" w:hanging="1080"/>
      </w:pPr>
      <w:rPr>
        <w:b/>
      </w:rPr>
    </w:lvl>
    <w:lvl w:ilvl="4">
      <w:start w:val="1"/>
      <w:numFmt w:val="decimal"/>
      <w:isLgl/>
      <w:lvlText w:val="%1.%2.%3.%4.%5"/>
      <w:lvlJc w:val="left"/>
      <w:pPr>
        <w:ind w:left="3028" w:hanging="1080"/>
      </w:pPr>
      <w:rPr>
        <w:b/>
      </w:rPr>
    </w:lvl>
    <w:lvl w:ilvl="5">
      <w:start w:val="1"/>
      <w:numFmt w:val="decimal"/>
      <w:isLgl/>
      <w:lvlText w:val="%1.%2.%3.%4.%5.%6"/>
      <w:lvlJc w:val="left"/>
      <w:pPr>
        <w:ind w:left="3788" w:hanging="1440"/>
      </w:pPr>
      <w:rPr>
        <w:b/>
      </w:rPr>
    </w:lvl>
    <w:lvl w:ilvl="6">
      <w:start w:val="1"/>
      <w:numFmt w:val="decimal"/>
      <w:isLgl/>
      <w:lvlText w:val="%1.%2.%3.%4.%5.%6.%7"/>
      <w:lvlJc w:val="left"/>
      <w:pPr>
        <w:ind w:left="4188" w:hanging="1440"/>
      </w:pPr>
      <w:rPr>
        <w:b/>
      </w:rPr>
    </w:lvl>
    <w:lvl w:ilvl="7">
      <w:start w:val="1"/>
      <w:numFmt w:val="decimal"/>
      <w:isLgl/>
      <w:lvlText w:val="%1.%2.%3.%4.%5.%6.%7.%8"/>
      <w:lvlJc w:val="left"/>
      <w:pPr>
        <w:ind w:left="4948" w:hanging="1800"/>
      </w:pPr>
      <w:rPr>
        <w:b/>
      </w:rPr>
    </w:lvl>
    <w:lvl w:ilvl="8">
      <w:start w:val="1"/>
      <w:numFmt w:val="decimal"/>
      <w:isLgl/>
      <w:lvlText w:val="%1.%2.%3.%4.%5.%6.%7.%8.%9"/>
      <w:lvlJc w:val="left"/>
      <w:pPr>
        <w:ind w:left="5708" w:hanging="2160"/>
      </w:pPr>
      <w:rPr>
        <w:b/>
      </w:rPr>
    </w:lvl>
  </w:abstractNum>
  <w:abstractNum w:abstractNumId="3" w15:restartNumberingAfterBreak="0">
    <w:nsid w:val="37EF1488"/>
    <w:multiLevelType w:val="hybridMultilevel"/>
    <w:tmpl w:val="790A0ADE"/>
    <w:lvl w:ilvl="0" w:tplc="48B6E67A">
      <w:start w:val="1"/>
      <w:numFmt w:val="decimal"/>
      <w:lvlText w:val="%1."/>
      <w:lvlJc w:val="left"/>
      <w:pPr>
        <w:ind w:left="264" w:firstLine="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CEC5CF7"/>
    <w:multiLevelType w:val="hybridMultilevel"/>
    <w:tmpl w:val="8D2C54A8"/>
    <w:lvl w:ilvl="0" w:tplc="04190001">
      <w:start w:val="1"/>
      <w:numFmt w:val="bullet"/>
      <w:lvlText w:val=""/>
      <w:lvlJc w:val="left"/>
      <w:pPr>
        <w:tabs>
          <w:tab w:val="num" w:pos="1260"/>
        </w:tabs>
        <w:ind w:left="12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8D637A8"/>
    <w:multiLevelType w:val="hybridMultilevel"/>
    <w:tmpl w:val="D6CE5DF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6B556190"/>
    <w:multiLevelType w:val="hybridMultilevel"/>
    <w:tmpl w:val="41CE072E"/>
    <w:lvl w:ilvl="0" w:tplc="04190001">
      <w:start w:val="1"/>
      <w:numFmt w:val="bullet"/>
      <w:lvlText w:val=""/>
      <w:lvlJc w:val="left"/>
      <w:pPr>
        <w:tabs>
          <w:tab w:val="num" w:pos="1335"/>
        </w:tabs>
        <w:ind w:left="133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756E46D9"/>
    <w:multiLevelType w:val="hybridMultilevel"/>
    <w:tmpl w:val="5B3CA6EE"/>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15:restartNumberingAfterBreak="0">
    <w:nsid w:val="7F1D3F7C"/>
    <w:multiLevelType w:val="hybridMultilevel"/>
    <w:tmpl w:val="6B4A70E4"/>
    <w:lvl w:ilvl="0" w:tplc="A1C6BB70">
      <w:numFmt w:val="bullet"/>
      <w:lvlText w:val="-"/>
      <w:lvlJc w:val="left"/>
      <w:pPr>
        <w:ind w:left="1069" w:hanging="360"/>
      </w:pPr>
      <w:rPr>
        <w:rFonts w:ascii="Times New Roman" w:eastAsia="Times New Roman" w:hAnsi="Times New Roman" w:cs="Times New Roman" w:hint="default"/>
        <w:b/>
        <w: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2142772517">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042210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42025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60937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9318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375515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8147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435230">
    <w:abstractNumId w:val="8"/>
  </w:num>
  <w:num w:numId="9" w16cid:durableId="1241480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3651"/>
    <w:rsid w:val="00000C13"/>
    <w:rsid w:val="00000E4B"/>
    <w:rsid w:val="00001CFF"/>
    <w:rsid w:val="00004C0E"/>
    <w:rsid w:val="00004F28"/>
    <w:rsid w:val="000050D3"/>
    <w:rsid w:val="00007559"/>
    <w:rsid w:val="00010730"/>
    <w:rsid w:val="00010D30"/>
    <w:rsid w:val="0001115A"/>
    <w:rsid w:val="0001294F"/>
    <w:rsid w:val="00013651"/>
    <w:rsid w:val="0001509B"/>
    <w:rsid w:val="00017D75"/>
    <w:rsid w:val="000203FB"/>
    <w:rsid w:val="000216B9"/>
    <w:rsid w:val="00021D65"/>
    <w:rsid w:val="00022315"/>
    <w:rsid w:val="00025EF7"/>
    <w:rsid w:val="00026D64"/>
    <w:rsid w:val="000303BE"/>
    <w:rsid w:val="000344E6"/>
    <w:rsid w:val="00036979"/>
    <w:rsid w:val="00037BEF"/>
    <w:rsid w:val="00042E1B"/>
    <w:rsid w:val="00045447"/>
    <w:rsid w:val="00045DED"/>
    <w:rsid w:val="000461D1"/>
    <w:rsid w:val="00052C33"/>
    <w:rsid w:val="00053221"/>
    <w:rsid w:val="00053D62"/>
    <w:rsid w:val="00057B5D"/>
    <w:rsid w:val="000605BF"/>
    <w:rsid w:val="000624C8"/>
    <w:rsid w:val="00063B9F"/>
    <w:rsid w:val="00064C15"/>
    <w:rsid w:val="000659AB"/>
    <w:rsid w:val="000660D9"/>
    <w:rsid w:val="0007781B"/>
    <w:rsid w:val="00083465"/>
    <w:rsid w:val="00083E38"/>
    <w:rsid w:val="000845E0"/>
    <w:rsid w:val="000853E9"/>
    <w:rsid w:val="0008746B"/>
    <w:rsid w:val="0008785C"/>
    <w:rsid w:val="00090E1C"/>
    <w:rsid w:val="000969A7"/>
    <w:rsid w:val="000A180E"/>
    <w:rsid w:val="000A2265"/>
    <w:rsid w:val="000A30D9"/>
    <w:rsid w:val="000A3393"/>
    <w:rsid w:val="000A39A1"/>
    <w:rsid w:val="000A4457"/>
    <w:rsid w:val="000A6FBA"/>
    <w:rsid w:val="000A75E8"/>
    <w:rsid w:val="000B16F2"/>
    <w:rsid w:val="000B4780"/>
    <w:rsid w:val="000B4972"/>
    <w:rsid w:val="000B5A08"/>
    <w:rsid w:val="000B5E9E"/>
    <w:rsid w:val="000C16D4"/>
    <w:rsid w:val="000C1A09"/>
    <w:rsid w:val="000C3297"/>
    <w:rsid w:val="000C4657"/>
    <w:rsid w:val="000C49A0"/>
    <w:rsid w:val="000D2C25"/>
    <w:rsid w:val="000D6830"/>
    <w:rsid w:val="000D7A7B"/>
    <w:rsid w:val="000E50A8"/>
    <w:rsid w:val="000E6854"/>
    <w:rsid w:val="000F6565"/>
    <w:rsid w:val="001026D7"/>
    <w:rsid w:val="00104071"/>
    <w:rsid w:val="001077F9"/>
    <w:rsid w:val="00107C4C"/>
    <w:rsid w:val="00110FF7"/>
    <w:rsid w:val="00114166"/>
    <w:rsid w:val="00117750"/>
    <w:rsid w:val="001217AD"/>
    <w:rsid w:val="00124D0A"/>
    <w:rsid w:val="00124F31"/>
    <w:rsid w:val="00131313"/>
    <w:rsid w:val="0013166F"/>
    <w:rsid w:val="001329BD"/>
    <w:rsid w:val="00134F28"/>
    <w:rsid w:val="00135C77"/>
    <w:rsid w:val="0013616D"/>
    <w:rsid w:val="00137027"/>
    <w:rsid w:val="00141252"/>
    <w:rsid w:val="00141646"/>
    <w:rsid w:val="0014284C"/>
    <w:rsid w:val="001447F7"/>
    <w:rsid w:val="001471B1"/>
    <w:rsid w:val="001473AA"/>
    <w:rsid w:val="00150629"/>
    <w:rsid w:val="001516C5"/>
    <w:rsid w:val="00152712"/>
    <w:rsid w:val="00154B80"/>
    <w:rsid w:val="00155686"/>
    <w:rsid w:val="00163161"/>
    <w:rsid w:val="00163C47"/>
    <w:rsid w:val="0016427E"/>
    <w:rsid w:val="0016440B"/>
    <w:rsid w:val="00166A58"/>
    <w:rsid w:val="00170DAC"/>
    <w:rsid w:val="00175F2F"/>
    <w:rsid w:val="00176A44"/>
    <w:rsid w:val="00182709"/>
    <w:rsid w:val="00182A80"/>
    <w:rsid w:val="00182B00"/>
    <w:rsid w:val="00184130"/>
    <w:rsid w:val="001841DB"/>
    <w:rsid w:val="0018599A"/>
    <w:rsid w:val="0018713E"/>
    <w:rsid w:val="00187362"/>
    <w:rsid w:val="00191C0D"/>
    <w:rsid w:val="00191DB2"/>
    <w:rsid w:val="0019236D"/>
    <w:rsid w:val="00192E44"/>
    <w:rsid w:val="00193009"/>
    <w:rsid w:val="001934DA"/>
    <w:rsid w:val="00193EC7"/>
    <w:rsid w:val="00194DAC"/>
    <w:rsid w:val="0019687A"/>
    <w:rsid w:val="0019716C"/>
    <w:rsid w:val="001A23F9"/>
    <w:rsid w:val="001A44DA"/>
    <w:rsid w:val="001A4B8F"/>
    <w:rsid w:val="001A5136"/>
    <w:rsid w:val="001A530D"/>
    <w:rsid w:val="001A6AB5"/>
    <w:rsid w:val="001A755C"/>
    <w:rsid w:val="001A7654"/>
    <w:rsid w:val="001A7EC8"/>
    <w:rsid w:val="001B02C3"/>
    <w:rsid w:val="001B1BC5"/>
    <w:rsid w:val="001B6FA3"/>
    <w:rsid w:val="001B74BD"/>
    <w:rsid w:val="001C1471"/>
    <w:rsid w:val="001C1E2D"/>
    <w:rsid w:val="001C3517"/>
    <w:rsid w:val="001C4376"/>
    <w:rsid w:val="001C77B8"/>
    <w:rsid w:val="001D1C95"/>
    <w:rsid w:val="001D2A43"/>
    <w:rsid w:val="001D3E06"/>
    <w:rsid w:val="001D4CFE"/>
    <w:rsid w:val="001D6522"/>
    <w:rsid w:val="001D73F9"/>
    <w:rsid w:val="001E0FCC"/>
    <w:rsid w:val="001E32EE"/>
    <w:rsid w:val="001E7127"/>
    <w:rsid w:val="001F1876"/>
    <w:rsid w:val="001F271D"/>
    <w:rsid w:val="001F63EA"/>
    <w:rsid w:val="001F67E6"/>
    <w:rsid w:val="00201A2C"/>
    <w:rsid w:val="00202959"/>
    <w:rsid w:val="00202A15"/>
    <w:rsid w:val="00203D2A"/>
    <w:rsid w:val="00204E85"/>
    <w:rsid w:val="00205357"/>
    <w:rsid w:val="00205B07"/>
    <w:rsid w:val="002060CD"/>
    <w:rsid w:val="002115B2"/>
    <w:rsid w:val="0021258F"/>
    <w:rsid w:val="00213B04"/>
    <w:rsid w:val="0021737A"/>
    <w:rsid w:val="0022257A"/>
    <w:rsid w:val="00222E84"/>
    <w:rsid w:val="00223E4D"/>
    <w:rsid w:val="00224448"/>
    <w:rsid w:val="002249B8"/>
    <w:rsid w:val="0023058D"/>
    <w:rsid w:val="00230B3D"/>
    <w:rsid w:val="00230F47"/>
    <w:rsid w:val="00232E52"/>
    <w:rsid w:val="00232FA1"/>
    <w:rsid w:val="00235152"/>
    <w:rsid w:val="00236028"/>
    <w:rsid w:val="00241762"/>
    <w:rsid w:val="002426A4"/>
    <w:rsid w:val="00242A94"/>
    <w:rsid w:val="00246C07"/>
    <w:rsid w:val="00251904"/>
    <w:rsid w:val="002545C0"/>
    <w:rsid w:val="00255878"/>
    <w:rsid w:val="00256747"/>
    <w:rsid w:val="00256A0C"/>
    <w:rsid w:val="00260B39"/>
    <w:rsid w:val="00260E0D"/>
    <w:rsid w:val="00262F5F"/>
    <w:rsid w:val="002640AC"/>
    <w:rsid w:val="00264579"/>
    <w:rsid w:val="00265CAB"/>
    <w:rsid w:val="00267050"/>
    <w:rsid w:val="00270A3E"/>
    <w:rsid w:val="002737DE"/>
    <w:rsid w:val="00277877"/>
    <w:rsid w:val="00280215"/>
    <w:rsid w:val="00281E7B"/>
    <w:rsid w:val="00281F79"/>
    <w:rsid w:val="00284138"/>
    <w:rsid w:val="002860B8"/>
    <w:rsid w:val="002871CC"/>
    <w:rsid w:val="00290FC7"/>
    <w:rsid w:val="00292904"/>
    <w:rsid w:val="00295FFF"/>
    <w:rsid w:val="00297CEC"/>
    <w:rsid w:val="002A2787"/>
    <w:rsid w:val="002A31DB"/>
    <w:rsid w:val="002A4EFC"/>
    <w:rsid w:val="002A51D8"/>
    <w:rsid w:val="002A6E76"/>
    <w:rsid w:val="002A7A61"/>
    <w:rsid w:val="002A7D60"/>
    <w:rsid w:val="002B6F8F"/>
    <w:rsid w:val="002B7554"/>
    <w:rsid w:val="002B7CF9"/>
    <w:rsid w:val="002C009D"/>
    <w:rsid w:val="002C0879"/>
    <w:rsid w:val="002C091F"/>
    <w:rsid w:val="002C19D1"/>
    <w:rsid w:val="002C1AF6"/>
    <w:rsid w:val="002C27AC"/>
    <w:rsid w:val="002C3E36"/>
    <w:rsid w:val="002C40F7"/>
    <w:rsid w:val="002C42DB"/>
    <w:rsid w:val="002C6606"/>
    <w:rsid w:val="002D1B52"/>
    <w:rsid w:val="002D206B"/>
    <w:rsid w:val="002D511C"/>
    <w:rsid w:val="002D66E1"/>
    <w:rsid w:val="002D7CD0"/>
    <w:rsid w:val="002E6BB6"/>
    <w:rsid w:val="002F3346"/>
    <w:rsid w:val="002F3C04"/>
    <w:rsid w:val="002F657D"/>
    <w:rsid w:val="002F70A5"/>
    <w:rsid w:val="0030085D"/>
    <w:rsid w:val="003008C3"/>
    <w:rsid w:val="0030152D"/>
    <w:rsid w:val="003015FB"/>
    <w:rsid w:val="0030538D"/>
    <w:rsid w:val="0030632C"/>
    <w:rsid w:val="00307CA2"/>
    <w:rsid w:val="0031141D"/>
    <w:rsid w:val="003119DD"/>
    <w:rsid w:val="00311EA6"/>
    <w:rsid w:val="00313357"/>
    <w:rsid w:val="00313CBE"/>
    <w:rsid w:val="003149AB"/>
    <w:rsid w:val="0031681C"/>
    <w:rsid w:val="003179F9"/>
    <w:rsid w:val="003209F7"/>
    <w:rsid w:val="00320E09"/>
    <w:rsid w:val="00323AEC"/>
    <w:rsid w:val="003253D4"/>
    <w:rsid w:val="00330F11"/>
    <w:rsid w:val="003330BE"/>
    <w:rsid w:val="00333661"/>
    <w:rsid w:val="003336BF"/>
    <w:rsid w:val="00336021"/>
    <w:rsid w:val="00340A8D"/>
    <w:rsid w:val="0034236E"/>
    <w:rsid w:val="003428DA"/>
    <w:rsid w:val="00342B20"/>
    <w:rsid w:val="00342F30"/>
    <w:rsid w:val="0034573D"/>
    <w:rsid w:val="00350107"/>
    <w:rsid w:val="00351025"/>
    <w:rsid w:val="00352C70"/>
    <w:rsid w:val="00353522"/>
    <w:rsid w:val="00354115"/>
    <w:rsid w:val="00357374"/>
    <w:rsid w:val="003576D2"/>
    <w:rsid w:val="00357932"/>
    <w:rsid w:val="0036144D"/>
    <w:rsid w:val="00361797"/>
    <w:rsid w:val="00363A31"/>
    <w:rsid w:val="0036511F"/>
    <w:rsid w:val="00365CE7"/>
    <w:rsid w:val="00370EF7"/>
    <w:rsid w:val="00373B48"/>
    <w:rsid w:val="003803D1"/>
    <w:rsid w:val="00380863"/>
    <w:rsid w:val="00381E34"/>
    <w:rsid w:val="00382CF8"/>
    <w:rsid w:val="00387994"/>
    <w:rsid w:val="00387A1C"/>
    <w:rsid w:val="00394961"/>
    <w:rsid w:val="00394B3F"/>
    <w:rsid w:val="00395438"/>
    <w:rsid w:val="00395C76"/>
    <w:rsid w:val="003A093B"/>
    <w:rsid w:val="003A2CCD"/>
    <w:rsid w:val="003A52FC"/>
    <w:rsid w:val="003A7409"/>
    <w:rsid w:val="003B2DEC"/>
    <w:rsid w:val="003B5497"/>
    <w:rsid w:val="003B5E0C"/>
    <w:rsid w:val="003C0CBE"/>
    <w:rsid w:val="003C2A9D"/>
    <w:rsid w:val="003C3EF2"/>
    <w:rsid w:val="003C7016"/>
    <w:rsid w:val="003C713C"/>
    <w:rsid w:val="003D1C40"/>
    <w:rsid w:val="003D39EF"/>
    <w:rsid w:val="003E2313"/>
    <w:rsid w:val="003E2F89"/>
    <w:rsid w:val="003E33C5"/>
    <w:rsid w:val="003E463E"/>
    <w:rsid w:val="003F0351"/>
    <w:rsid w:val="003F03B8"/>
    <w:rsid w:val="003F1331"/>
    <w:rsid w:val="003F2AFE"/>
    <w:rsid w:val="003F3154"/>
    <w:rsid w:val="003F4682"/>
    <w:rsid w:val="003F4A66"/>
    <w:rsid w:val="003F67D2"/>
    <w:rsid w:val="003F6B5A"/>
    <w:rsid w:val="003F7ADF"/>
    <w:rsid w:val="00410D1E"/>
    <w:rsid w:val="00411DEA"/>
    <w:rsid w:val="00412360"/>
    <w:rsid w:val="00413545"/>
    <w:rsid w:val="0041447B"/>
    <w:rsid w:val="004151EE"/>
    <w:rsid w:val="004159D7"/>
    <w:rsid w:val="004217BC"/>
    <w:rsid w:val="0042205B"/>
    <w:rsid w:val="004230F5"/>
    <w:rsid w:val="004243A4"/>
    <w:rsid w:val="004246E4"/>
    <w:rsid w:val="00425EE6"/>
    <w:rsid w:val="00430520"/>
    <w:rsid w:val="00430746"/>
    <w:rsid w:val="004308C3"/>
    <w:rsid w:val="00430DB2"/>
    <w:rsid w:val="00432DD4"/>
    <w:rsid w:val="00433DEF"/>
    <w:rsid w:val="00435DBD"/>
    <w:rsid w:val="0044074A"/>
    <w:rsid w:val="00445B16"/>
    <w:rsid w:val="0044621A"/>
    <w:rsid w:val="00446A06"/>
    <w:rsid w:val="0044787B"/>
    <w:rsid w:val="00450794"/>
    <w:rsid w:val="00450E53"/>
    <w:rsid w:val="00451174"/>
    <w:rsid w:val="00451BD8"/>
    <w:rsid w:val="004531A8"/>
    <w:rsid w:val="00453FFC"/>
    <w:rsid w:val="004565FF"/>
    <w:rsid w:val="00460FA0"/>
    <w:rsid w:val="00461384"/>
    <w:rsid w:val="00462898"/>
    <w:rsid w:val="00462909"/>
    <w:rsid w:val="00462BC3"/>
    <w:rsid w:val="00465713"/>
    <w:rsid w:val="004668C7"/>
    <w:rsid w:val="004701FE"/>
    <w:rsid w:val="004702FC"/>
    <w:rsid w:val="00470308"/>
    <w:rsid w:val="004727B1"/>
    <w:rsid w:val="004727FF"/>
    <w:rsid w:val="00473247"/>
    <w:rsid w:val="00473ACA"/>
    <w:rsid w:val="00476439"/>
    <w:rsid w:val="004769F6"/>
    <w:rsid w:val="00476BF8"/>
    <w:rsid w:val="004813A6"/>
    <w:rsid w:val="00482454"/>
    <w:rsid w:val="00483661"/>
    <w:rsid w:val="00483968"/>
    <w:rsid w:val="00485C41"/>
    <w:rsid w:val="004862D9"/>
    <w:rsid w:val="0049508C"/>
    <w:rsid w:val="00496D6F"/>
    <w:rsid w:val="004A2A36"/>
    <w:rsid w:val="004A2CED"/>
    <w:rsid w:val="004A3FCF"/>
    <w:rsid w:val="004B246F"/>
    <w:rsid w:val="004B452F"/>
    <w:rsid w:val="004B6747"/>
    <w:rsid w:val="004C12EF"/>
    <w:rsid w:val="004C23FA"/>
    <w:rsid w:val="004C2B07"/>
    <w:rsid w:val="004C30F1"/>
    <w:rsid w:val="004C4771"/>
    <w:rsid w:val="004C50A0"/>
    <w:rsid w:val="004C55E2"/>
    <w:rsid w:val="004C69B2"/>
    <w:rsid w:val="004D10F5"/>
    <w:rsid w:val="004D1724"/>
    <w:rsid w:val="004D237B"/>
    <w:rsid w:val="004D30D8"/>
    <w:rsid w:val="004D32C2"/>
    <w:rsid w:val="004E09A4"/>
    <w:rsid w:val="004E09DE"/>
    <w:rsid w:val="004E0E07"/>
    <w:rsid w:val="004E2BAF"/>
    <w:rsid w:val="004E3CEB"/>
    <w:rsid w:val="004E4607"/>
    <w:rsid w:val="004E5B91"/>
    <w:rsid w:val="004F006A"/>
    <w:rsid w:val="004F2D3C"/>
    <w:rsid w:val="004F391B"/>
    <w:rsid w:val="004F47E9"/>
    <w:rsid w:val="004F63DC"/>
    <w:rsid w:val="00501377"/>
    <w:rsid w:val="00501516"/>
    <w:rsid w:val="00503F73"/>
    <w:rsid w:val="00504604"/>
    <w:rsid w:val="0050483F"/>
    <w:rsid w:val="00504C0A"/>
    <w:rsid w:val="00504E57"/>
    <w:rsid w:val="00505332"/>
    <w:rsid w:val="005065A8"/>
    <w:rsid w:val="00506FD3"/>
    <w:rsid w:val="00510EC1"/>
    <w:rsid w:val="00510EDA"/>
    <w:rsid w:val="0051197A"/>
    <w:rsid w:val="005123B7"/>
    <w:rsid w:val="005125B3"/>
    <w:rsid w:val="00514D6A"/>
    <w:rsid w:val="00514F7A"/>
    <w:rsid w:val="005151B3"/>
    <w:rsid w:val="005170A8"/>
    <w:rsid w:val="005211AA"/>
    <w:rsid w:val="00521ED0"/>
    <w:rsid w:val="0052319C"/>
    <w:rsid w:val="00523464"/>
    <w:rsid w:val="00524287"/>
    <w:rsid w:val="005258AC"/>
    <w:rsid w:val="00527B06"/>
    <w:rsid w:val="005320E1"/>
    <w:rsid w:val="005351D1"/>
    <w:rsid w:val="00537381"/>
    <w:rsid w:val="00537469"/>
    <w:rsid w:val="00541C91"/>
    <w:rsid w:val="005439F0"/>
    <w:rsid w:val="00547706"/>
    <w:rsid w:val="0055143F"/>
    <w:rsid w:val="00553483"/>
    <w:rsid w:val="00555D0B"/>
    <w:rsid w:val="00565C3A"/>
    <w:rsid w:val="0056610A"/>
    <w:rsid w:val="00566199"/>
    <w:rsid w:val="00570D65"/>
    <w:rsid w:val="005718D5"/>
    <w:rsid w:val="005734C6"/>
    <w:rsid w:val="00573B85"/>
    <w:rsid w:val="005760FD"/>
    <w:rsid w:val="0057745D"/>
    <w:rsid w:val="00584E40"/>
    <w:rsid w:val="00586491"/>
    <w:rsid w:val="00586D1C"/>
    <w:rsid w:val="00590C5A"/>
    <w:rsid w:val="00595B16"/>
    <w:rsid w:val="00595BD8"/>
    <w:rsid w:val="005A06E8"/>
    <w:rsid w:val="005A185D"/>
    <w:rsid w:val="005A186F"/>
    <w:rsid w:val="005A555F"/>
    <w:rsid w:val="005A69D2"/>
    <w:rsid w:val="005A710F"/>
    <w:rsid w:val="005A7E80"/>
    <w:rsid w:val="005C0B8F"/>
    <w:rsid w:val="005C226E"/>
    <w:rsid w:val="005C4908"/>
    <w:rsid w:val="005C54DF"/>
    <w:rsid w:val="005C5FB5"/>
    <w:rsid w:val="005D0F08"/>
    <w:rsid w:val="005D0FFB"/>
    <w:rsid w:val="005D3978"/>
    <w:rsid w:val="005D48ED"/>
    <w:rsid w:val="005E2691"/>
    <w:rsid w:val="005E3632"/>
    <w:rsid w:val="005E4796"/>
    <w:rsid w:val="005E4F2E"/>
    <w:rsid w:val="005E52D7"/>
    <w:rsid w:val="005E712D"/>
    <w:rsid w:val="005F22E8"/>
    <w:rsid w:val="005F5824"/>
    <w:rsid w:val="005F5B86"/>
    <w:rsid w:val="005F5D0B"/>
    <w:rsid w:val="005F60EE"/>
    <w:rsid w:val="005F64CB"/>
    <w:rsid w:val="0060110B"/>
    <w:rsid w:val="00601A3E"/>
    <w:rsid w:val="00602068"/>
    <w:rsid w:val="00602610"/>
    <w:rsid w:val="00603CF4"/>
    <w:rsid w:val="0060519E"/>
    <w:rsid w:val="00610CFB"/>
    <w:rsid w:val="006128DC"/>
    <w:rsid w:val="00613FBE"/>
    <w:rsid w:val="006170E7"/>
    <w:rsid w:val="006172AE"/>
    <w:rsid w:val="006176B0"/>
    <w:rsid w:val="0061772D"/>
    <w:rsid w:val="00617853"/>
    <w:rsid w:val="006179C0"/>
    <w:rsid w:val="006213E5"/>
    <w:rsid w:val="006216A1"/>
    <w:rsid w:val="00621BBB"/>
    <w:rsid w:val="00621FA4"/>
    <w:rsid w:val="006320C2"/>
    <w:rsid w:val="00632112"/>
    <w:rsid w:val="006337BB"/>
    <w:rsid w:val="00634269"/>
    <w:rsid w:val="0063499A"/>
    <w:rsid w:val="00635765"/>
    <w:rsid w:val="006360D7"/>
    <w:rsid w:val="00636E49"/>
    <w:rsid w:val="0063787C"/>
    <w:rsid w:val="0064062A"/>
    <w:rsid w:val="0064065F"/>
    <w:rsid w:val="00642939"/>
    <w:rsid w:val="00644C31"/>
    <w:rsid w:val="00645738"/>
    <w:rsid w:val="00651C75"/>
    <w:rsid w:val="00652982"/>
    <w:rsid w:val="006558C0"/>
    <w:rsid w:val="00655E54"/>
    <w:rsid w:val="0065701F"/>
    <w:rsid w:val="006579F8"/>
    <w:rsid w:val="006602D2"/>
    <w:rsid w:val="00660761"/>
    <w:rsid w:val="00661AE2"/>
    <w:rsid w:val="006622DE"/>
    <w:rsid w:val="00664471"/>
    <w:rsid w:val="00666ECE"/>
    <w:rsid w:val="00666F3D"/>
    <w:rsid w:val="0067087F"/>
    <w:rsid w:val="00671721"/>
    <w:rsid w:val="006717BE"/>
    <w:rsid w:val="00671E01"/>
    <w:rsid w:val="006724AD"/>
    <w:rsid w:val="00672639"/>
    <w:rsid w:val="0068036C"/>
    <w:rsid w:val="00680792"/>
    <w:rsid w:val="00681EDE"/>
    <w:rsid w:val="00681F4B"/>
    <w:rsid w:val="00684566"/>
    <w:rsid w:val="006870E5"/>
    <w:rsid w:val="00687F60"/>
    <w:rsid w:val="0069018A"/>
    <w:rsid w:val="00690ADE"/>
    <w:rsid w:val="00693B65"/>
    <w:rsid w:val="00696A60"/>
    <w:rsid w:val="00696FE0"/>
    <w:rsid w:val="006A4F03"/>
    <w:rsid w:val="006A65BB"/>
    <w:rsid w:val="006A761B"/>
    <w:rsid w:val="006B1F1B"/>
    <w:rsid w:val="006B22F0"/>
    <w:rsid w:val="006B413A"/>
    <w:rsid w:val="006B447E"/>
    <w:rsid w:val="006B463F"/>
    <w:rsid w:val="006B59EE"/>
    <w:rsid w:val="006B7623"/>
    <w:rsid w:val="006C1244"/>
    <w:rsid w:val="006C6170"/>
    <w:rsid w:val="006C6881"/>
    <w:rsid w:val="006C69A5"/>
    <w:rsid w:val="006C7098"/>
    <w:rsid w:val="006D3F0B"/>
    <w:rsid w:val="006D5632"/>
    <w:rsid w:val="006D63CE"/>
    <w:rsid w:val="006D6484"/>
    <w:rsid w:val="006D69F7"/>
    <w:rsid w:val="006D6A28"/>
    <w:rsid w:val="006D70E5"/>
    <w:rsid w:val="006E3B1C"/>
    <w:rsid w:val="006E4877"/>
    <w:rsid w:val="006F3FC8"/>
    <w:rsid w:val="006F4C9D"/>
    <w:rsid w:val="00700150"/>
    <w:rsid w:val="00701289"/>
    <w:rsid w:val="00703B2F"/>
    <w:rsid w:val="00704ED9"/>
    <w:rsid w:val="0070634F"/>
    <w:rsid w:val="0071094F"/>
    <w:rsid w:val="00711D54"/>
    <w:rsid w:val="00714633"/>
    <w:rsid w:val="00714AA9"/>
    <w:rsid w:val="00715826"/>
    <w:rsid w:val="00717947"/>
    <w:rsid w:val="007225E3"/>
    <w:rsid w:val="00723223"/>
    <w:rsid w:val="00725345"/>
    <w:rsid w:val="007265C6"/>
    <w:rsid w:val="0073070D"/>
    <w:rsid w:val="007309AF"/>
    <w:rsid w:val="007321FE"/>
    <w:rsid w:val="00732260"/>
    <w:rsid w:val="00732A00"/>
    <w:rsid w:val="00732BD4"/>
    <w:rsid w:val="00734CDF"/>
    <w:rsid w:val="007357C6"/>
    <w:rsid w:val="00736F7E"/>
    <w:rsid w:val="007374EF"/>
    <w:rsid w:val="0073758F"/>
    <w:rsid w:val="00737D4D"/>
    <w:rsid w:val="00740A43"/>
    <w:rsid w:val="00740B65"/>
    <w:rsid w:val="00745253"/>
    <w:rsid w:val="00750232"/>
    <w:rsid w:val="00755191"/>
    <w:rsid w:val="00756D06"/>
    <w:rsid w:val="00761AD0"/>
    <w:rsid w:val="00765795"/>
    <w:rsid w:val="00766AC2"/>
    <w:rsid w:val="00770861"/>
    <w:rsid w:val="007713E0"/>
    <w:rsid w:val="0077378E"/>
    <w:rsid w:val="00774CD7"/>
    <w:rsid w:val="00775334"/>
    <w:rsid w:val="007768F1"/>
    <w:rsid w:val="00777CCE"/>
    <w:rsid w:val="00781208"/>
    <w:rsid w:val="00782C32"/>
    <w:rsid w:val="0078402B"/>
    <w:rsid w:val="00785225"/>
    <w:rsid w:val="00791F16"/>
    <w:rsid w:val="00793E0F"/>
    <w:rsid w:val="00795C34"/>
    <w:rsid w:val="00796F24"/>
    <w:rsid w:val="007A1D82"/>
    <w:rsid w:val="007A2DB7"/>
    <w:rsid w:val="007A3928"/>
    <w:rsid w:val="007A5227"/>
    <w:rsid w:val="007A56F2"/>
    <w:rsid w:val="007A61F3"/>
    <w:rsid w:val="007A6E47"/>
    <w:rsid w:val="007A718A"/>
    <w:rsid w:val="007B14B3"/>
    <w:rsid w:val="007B2BCA"/>
    <w:rsid w:val="007B3904"/>
    <w:rsid w:val="007B3CB0"/>
    <w:rsid w:val="007B4140"/>
    <w:rsid w:val="007B4405"/>
    <w:rsid w:val="007B4BD1"/>
    <w:rsid w:val="007B7F6B"/>
    <w:rsid w:val="007C016E"/>
    <w:rsid w:val="007C5E2F"/>
    <w:rsid w:val="007C6EAD"/>
    <w:rsid w:val="007D0C2B"/>
    <w:rsid w:val="007D10A1"/>
    <w:rsid w:val="007D1C42"/>
    <w:rsid w:val="007D28E3"/>
    <w:rsid w:val="007D7E43"/>
    <w:rsid w:val="007E0DE4"/>
    <w:rsid w:val="007E2F2D"/>
    <w:rsid w:val="007E33AE"/>
    <w:rsid w:val="007E350F"/>
    <w:rsid w:val="007E548F"/>
    <w:rsid w:val="007F1107"/>
    <w:rsid w:val="007F247B"/>
    <w:rsid w:val="007F2C83"/>
    <w:rsid w:val="007F35CA"/>
    <w:rsid w:val="007F362B"/>
    <w:rsid w:val="007F7112"/>
    <w:rsid w:val="00802A38"/>
    <w:rsid w:val="008038E7"/>
    <w:rsid w:val="00806430"/>
    <w:rsid w:val="00806CFD"/>
    <w:rsid w:val="00806D2E"/>
    <w:rsid w:val="00806DED"/>
    <w:rsid w:val="00814672"/>
    <w:rsid w:val="00820711"/>
    <w:rsid w:val="00820D33"/>
    <w:rsid w:val="00820FA9"/>
    <w:rsid w:val="00822B18"/>
    <w:rsid w:val="00823902"/>
    <w:rsid w:val="00823B04"/>
    <w:rsid w:val="0082477A"/>
    <w:rsid w:val="008264CB"/>
    <w:rsid w:val="00831692"/>
    <w:rsid w:val="00831F77"/>
    <w:rsid w:val="00833B27"/>
    <w:rsid w:val="00836871"/>
    <w:rsid w:val="00837B02"/>
    <w:rsid w:val="00841F3A"/>
    <w:rsid w:val="008421DA"/>
    <w:rsid w:val="008421EF"/>
    <w:rsid w:val="0084351F"/>
    <w:rsid w:val="008458E8"/>
    <w:rsid w:val="00845B02"/>
    <w:rsid w:val="00845F14"/>
    <w:rsid w:val="00845FF5"/>
    <w:rsid w:val="00846657"/>
    <w:rsid w:val="00850F01"/>
    <w:rsid w:val="00851A21"/>
    <w:rsid w:val="00851B69"/>
    <w:rsid w:val="00852FD0"/>
    <w:rsid w:val="0085371A"/>
    <w:rsid w:val="00855A73"/>
    <w:rsid w:val="008579BA"/>
    <w:rsid w:val="00862CD4"/>
    <w:rsid w:val="00862E06"/>
    <w:rsid w:val="00864D2D"/>
    <w:rsid w:val="00866A6D"/>
    <w:rsid w:val="00867860"/>
    <w:rsid w:val="00867C6A"/>
    <w:rsid w:val="008700A2"/>
    <w:rsid w:val="008718C5"/>
    <w:rsid w:val="00872547"/>
    <w:rsid w:val="0087303F"/>
    <w:rsid w:val="00874B02"/>
    <w:rsid w:val="0087539A"/>
    <w:rsid w:val="00875D3D"/>
    <w:rsid w:val="00876B4E"/>
    <w:rsid w:val="0088259B"/>
    <w:rsid w:val="0088505E"/>
    <w:rsid w:val="0088681A"/>
    <w:rsid w:val="00886882"/>
    <w:rsid w:val="00887596"/>
    <w:rsid w:val="00890BB6"/>
    <w:rsid w:val="00891B0A"/>
    <w:rsid w:val="0089617E"/>
    <w:rsid w:val="00897BDC"/>
    <w:rsid w:val="008A26DE"/>
    <w:rsid w:val="008A4189"/>
    <w:rsid w:val="008A4F9D"/>
    <w:rsid w:val="008A6D8F"/>
    <w:rsid w:val="008A772E"/>
    <w:rsid w:val="008B0679"/>
    <w:rsid w:val="008B0775"/>
    <w:rsid w:val="008B1BB1"/>
    <w:rsid w:val="008B1FA6"/>
    <w:rsid w:val="008B2B2F"/>
    <w:rsid w:val="008B306D"/>
    <w:rsid w:val="008B4A02"/>
    <w:rsid w:val="008B6CE4"/>
    <w:rsid w:val="008B6DCF"/>
    <w:rsid w:val="008B7441"/>
    <w:rsid w:val="008C04CB"/>
    <w:rsid w:val="008C0E1C"/>
    <w:rsid w:val="008C2A77"/>
    <w:rsid w:val="008C35F5"/>
    <w:rsid w:val="008C3CF3"/>
    <w:rsid w:val="008C403E"/>
    <w:rsid w:val="008C4B40"/>
    <w:rsid w:val="008D32AA"/>
    <w:rsid w:val="008D5227"/>
    <w:rsid w:val="008E238F"/>
    <w:rsid w:val="008E2A3D"/>
    <w:rsid w:val="008E367D"/>
    <w:rsid w:val="008E3E93"/>
    <w:rsid w:val="008E4352"/>
    <w:rsid w:val="008F145D"/>
    <w:rsid w:val="008F4916"/>
    <w:rsid w:val="008F5E5C"/>
    <w:rsid w:val="008F5F5A"/>
    <w:rsid w:val="0090175D"/>
    <w:rsid w:val="009100A1"/>
    <w:rsid w:val="009126E2"/>
    <w:rsid w:val="009129A7"/>
    <w:rsid w:val="00912BDE"/>
    <w:rsid w:val="00912C87"/>
    <w:rsid w:val="00912F56"/>
    <w:rsid w:val="0091315F"/>
    <w:rsid w:val="00913BFC"/>
    <w:rsid w:val="00915163"/>
    <w:rsid w:val="00916430"/>
    <w:rsid w:val="00917551"/>
    <w:rsid w:val="00917927"/>
    <w:rsid w:val="00917CD3"/>
    <w:rsid w:val="00920C4F"/>
    <w:rsid w:val="00922AB2"/>
    <w:rsid w:val="00922D40"/>
    <w:rsid w:val="009244E9"/>
    <w:rsid w:val="00927D82"/>
    <w:rsid w:val="009352A6"/>
    <w:rsid w:val="00935AD2"/>
    <w:rsid w:val="00936E94"/>
    <w:rsid w:val="009379C7"/>
    <w:rsid w:val="00937FEB"/>
    <w:rsid w:val="009433D2"/>
    <w:rsid w:val="00945852"/>
    <w:rsid w:val="00947315"/>
    <w:rsid w:val="00951865"/>
    <w:rsid w:val="00952C46"/>
    <w:rsid w:val="009536A0"/>
    <w:rsid w:val="00955B82"/>
    <w:rsid w:val="0096127B"/>
    <w:rsid w:val="00965383"/>
    <w:rsid w:val="009674FA"/>
    <w:rsid w:val="009745A8"/>
    <w:rsid w:val="009748D4"/>
    <w:rsid w:val="00975193"/>
    <w:rsid w:val="00975DB3"/>
    <w:rsid w:val="00976FB5"/>
    <w:rsid w:val="00977953"/>
    <w:rsid w:val="00977CA7"/>
    <w:rsid w:val="00981C12"/>
    <w:rsid w:val="0098228A"/>
    <w:rsid w:val="0098499A"/>
    <w:rsid w:val="00984EC3"/>
    <w:rsid w:val="00984EE5"/>
    <w:rsid w:val="009851D6"/>
    <w:rsid w:val="00985E5B"/>
    <w:rsid w:val="009861B0"/>
    <w:rsid w:val="00991359"/>
    <w:rsid w:val="009914E7"/>
    <w:rsid w:val="0099180B"/>
    <w:rsid w:val="0099339C"/>
    <w:rsid w:val="009946BA"/>
    <w:rsid w:val="00995522"/>
    <w:rsid w:val="009970AF"/>
    <w:rsid w:val="00997E60"/>
    <w:rsid w:val="009A1CB2"/>
    <w:rsid w:val="009A3657"/>
    <w:rsid w:val="009A5B00"/>
    <w:rsid w:val="009A5BD6"/>
    <w:rsid w:val="009A7312"/>
    <w:rsid w:val="009B2FE4"/>
    <w:rsid w:val="009B39D6"/>
    <w:rsid w:val="009B4BBE"/>
    <w:rsid w:val="009B6A01"/>
    <w:rsid w:val="009B6AF3"/>
    <w:rsid w:val="009C15CB"/>
    <w:rsid w:val="009C188E"/>
    <w:rsid w:val="009C2CD4"/>
    <w:rsid w:val="009C3015"/>
    <w:rsid w:val="009C4607"/>
    <w:rsid w:val="009C4A57"/>
    <w:rsid w:val="009C5038"/>
    <w:rsid w:val="009D265D"/>
    <w:rsid w:val="009D2E84"/>
    <w:rsid w:val="009D3AA9"/>
    <w:rsid w:val="009D6CFF"/>
    <w:rsid w:val="009E2BD2"/>
    <w:rsid w:val="009E49FE"/>
    <w:rsid w:val="009E5208"/>
    <w:rsid w:val="009E5C86"/>
    <w:rsid w:val="009F086E"/>
    <w:rsid w:val="009F19D9"/>
    <w:rsid w:val="009F3651"/>
    <w:rsid w:val="009F71CF"/>
    <w:rsid w:val="00A0060C"/>
    <w:rsid w:val="00A0305A"/>
    <w:rsid w:val="00A03B55"/>
    <w:rsid w:val="00A04255"/>
    <w:rsid w:val="00A04F48"/>
    <w:rsid w:val="00A05F4A"/>
    <w:rsid w:val="00A07A02"/>
    <w:rsid w:val="00A07CE2"/>
    <w:rsid w:val="00A1053E"/>
    <w:rsid w:val="00A14AD7"/>
    <w:rsid w:val="00A16600"/>
    <w:rsid w:val="00A2087B"/>
    <w:rsid w:val="00A20C98"/>
    <w:rsid w:val="00A218B1"/>
    <w:rsid w:val="00A248ED"/>
    <w:rsid w:val="00A26CDF"/>
    <w:rsid w:val="00A30057"/>
    <w:rsid w:val="00A3054A"/>
    <w:rsid w:val="00A32EF5"/>
    <w:rsid w:val="00A379F6"/>
    <w:rsid w:val="00A37FBC"/>
    <w:rsid w:val="00A420F8"/>
    <w:rsid w:val="00A42DAB"/>
    <w:rsid w:val="00A44F04"/>
    <w:rsid w:val="00A46CAA"/>
    <w:rsid w:val="00A5043F"/>
    <w:rsid w:val="00A51119"/>
    <w:rsid w:val="00A52A1E"/>
    <w:rsid w:val="00A5353D"/>
    <w:rsid w:val="00A548CE"/>
    <w:rsid w:val="00A56D43"/>
    <w:rsid w:val="00A61CF4"/>
    <w:rsid w:val="00A63097"/>
    <w:rsid w:val="00A63F02"/>
    <w:rsid w:val="00A648BC"/>
    <w:rsid w:val="00A65BA2"/>
    <w:rsid w:val="00A77D59"/>
    <w:rsid w:val="00A85944"/>
    <w:rsid w:val="00A873D2"/>
    <w:rsid w:val="00A907BC"/>
    <w:rsid w:val="00A913A0"/>
    <w:rsid w:val="00A93C26"/>
    <w:rsid w:val="00A94468"/>
    <w:rsid w:val="00A96068"/>
    <w:rsid w:val="00A96F29"/>
    <w:rsid w:val="00AA0CE7"/>
    <w:rsid w:val="00AA23BE"/>
    <w:rsid w:val="00AA3154"/>
    <w:rsid w:val="00AB728D"/>
    <w:rsid w:val="00AB761A"/>
    <w:rsid w:val="00AC1C6A"/>
    <w:rsid w:val="00AC25FD"/>
    <w:rsid w:val="00AC39DF"/>
    <w:rsid w:val="00AC53A4"/>
    <w:rsid w:val="00AD0278"/>
    <w:rsid w:val="00AD1268"/>
    <w:rsid w:val="00AD2079"/>
    <w:rsid w:val="00AD2F27"/>
    <w:rsid w:val="00AD44A9"/>
    <w:rsid w:val="00AD49FE"/>
    <w:rsid w:val="00AD6296"/>
    <w:rsid w:val="00AD69B9"/>
    <w:rsid w:val="00AD7BB8"/>
    <w:rsid w:val="00AE09CD"/>
    <w:rsid w:val="00AE3533"/>
    <w:rsid w:val="00AE50D5"/>
    <w:rsid w:val="00AF08F7"/>
    <w:rsid w:val="00AF37EE"/>
    <w:rsid w:val="00AF54EB"/>
    <w:rsid w:val="00AF5947"/>
    <w:rsid w:val="00AF5B09"/>
    <w:rsid w:val="00B00B4E"/>
    <w:rsid w:val="00B02C85"/>
    <w:rsid w:val="00B0392C"/>
    <w:rsid w:val="00B0611F"/>
    <w:rsid w:val="00B0722A"/>
    <w:rsid w:val="00B11398"/>
    <w:rsid w:val="00B122A4"/>
    <w:rsid w:val="00B130CB"/>
    <w:rsid w:val="00B13388"/>
    <w:rsid w:val="00B141A3"/>
    <w:rsid w:val="00B15324"/>
    <w:rsid w:val="00B17DDF"/>
    <w:rsid w:val="00B17F13"/>
    <w:rsid w:val="00B26221"/>
    <w:rsid w:val="00B26C4C"/>
    <w:rsid w:val="00B27884"/>
    <w:rsid w:val="00B279A4"/>
    <w:rsid w:val="00B36167"/>
    <w:rsid w:val="00B36298"/>
    <w:rsid w:val="00B36FD9"/>
    <w:rsid w:val="00B418C4"/>
    <w:rsid w:val="00B42DD7"/>
    <w:rsid w:val="00B454D9"/>
    <w:rsid w:val="00B45AFE"/>
    <w:rsid w:val="00B461E7"/>
    <w:rsid w:val="00B50141"/>
    <w:rsid w:val="00B54737"/>
    <w:rsid w:val="00B54776"/>
    <w:rsid w:val="00B56B5A"/>
    <w:rsid w:val="00B57E06"/>
    <w:rsid w:val="00B609C5"/>
    <w:rsid w:val="00B61309"/>
    <w:rsid w:val="00B61C03"/>
    <w:rsid w:val="00B65576"/>
    <w:rsid w:val="00B65B81"/>
    <w:rsid w:val="00B660D4"/>
    <w:rsid w:val="00B677FC"/>
    <w:rsid w:val="00B67C84"/>
    <w:rsid w:val="00B7381F"/>
    <w:rsid w:val="00B76414"/>
    <w:rsid w:val="00B76617"/>
    <w:rsid w:val="00B808D5"/>
    <w:rsid w:val="00B8460D"/>
    <w:rsid w:val="00B86A89"/>
    <w:rsid w:val="00B870DB"/>
    <w:rsid w:val="00B9032A"/>
    <w:rsid w:val="00B91138"/>
    <w:rsid w:val="00B934A1"/>
    <w:rsid w:val="00B935F9"/>
    <w:rsid w:val="00B9498E"/>
    <w:rsid w:val="00B950FE"/>
    <w:rsid w:val="00B96786"/>
    <w:rsid w:val="00BA346E"/>
    <w:rsid w:val="00BA4177"/>
    <w:rsid w:val="00BA55A5"/>
    <w:rsid w:val="00BB3261"/>
    <w:rsid w:val="00BB5ECC"/>
    <w:rsid w:val="00BB6DAF"/>
    <w:rsid w:val="00BC08BE"/>
    <w:rsid w:val="00BC1B3A"/>
    <w:rsid w:val="00BC2D90"/>
    <w:rsid w:val="00BC650E"/>
    <w:rsid w:val="00BC6C56"/>
    <w:rsid w:val="00BD0D87"/>
    <w:rsid w:val="00BD4921"/>
    <w:rsid w:val="00BD49F9"/>
    <w:rsid w:val="00BD6414"/>
    <w:rsid w:val="00BD67F8"/>
    <w:rsid w:val="00BD6B08"/>
    <w:rsid w:val="00BD6B39"/>
    <w:rsid w:val="00BE37CD"/>
    <w:rsid w:val="00BE54E8"/>
    <w:rsid w:val="00BF2178"/>
    <w:rsid w:val="00BF3DF9"/>
    <w:rsid w:val="00C01BD8"/>
    <w:rsid w:val="00C01CE1"/>
    <w:rsid w:val="00C031CC"/>
    <w:rsid w:val="00C04E01"/>
    <w:rsid w:val="00C06DDB"/>
    <w:rsid w:val="00C16322"/>
    <w:rsid w:val="00C1763D"/>
    <w:rsid w:val="00C2301D"/>
    <w:rsid w:val="00C240FA"/>
    <w:rsid w:val="00C25344"/>
    <w:rsid w:val="00C27712"/>
    <w:rsid w:val="00C30925"/>
    <w:rsid w:val="00C30B6D"/>
    <w:rsid w:val="00C31BD2"/>
    <w:rsid w:val="00C3326B"/>
    <w:rsid w:val="00C3336C"/>
    <w:rsid w:val="00C3384E"/>
    <w:rsid w:val="00C34BF7"/>
    <w:rsid w:val="00C362CB"/>
    <w:rsid w:val="00C3660C"/>
    <w:rsid w:val="00C40740"/>
    <w:rsid w:val="00C41430"/>
    <w:rsid w:val="00C41C2E"/>
    <w:rsid w:val="00C50C8B"/>
    <w:rsid w:val="00C510CD"/>
    <w:rsid w:val="00C5386A"/>
    <w:rsid w:val="00C5427A"/>
    <w:rsid w:val="00C55C50"/>
    <w:rsid w:val="00C56618"/>
    <w:rsid w:val="00C6055A"/>
    <w:rsid w:val="00C61A2E"/>
    <w:rsid w:val="00C62596"/>
    <w:rsid w:val="00C633C9"/>
    <w:rsid w:val="00C65267"/>
    <w:rsid w:val="00C72F64"/>
    <w:rsid w:val="00C75410"/>
    <w:rsid w:val="00C81411"/>
    <w:rsid w:val="00C81E91"/>
    <w:rsid w:val="00C8264E"/>
    <w:rsid w:val="00C82A86"/>
    <w:rsid w:val="00C83717"/>
    <w:rsid w:val="00C86AD5"/>
    <w:rsid w:val="00C87CAD"/>
    <w:rsid w:val="00C87E30"/>
    <w:rsid w:val="00C90741"/>
    <w:rsid w:val="00C944F2"/>
    <w:rsid w:val="00C95233"/>
    <w:rsid w:val="00C95B15"/>
    <w:rsid w:val="00CA2264"/>
    <w:rsid w:val="00CA48F3"/>
    <w:rsid w:val="00CB064F"/>
    <w:rsid w:val="00CB0BBA"/>
    <w:rsid w:val="00CB3357"/>
    <w:rsid w:val="00CB7770"/>
    <w:rsid w:val="00CC0ABE"/>
    <w:rsid w:val="00CC32B8"/>
    <w:rsid w:val="00CC3E71"/>
    <w:rsid w:val="00CC7A66"/>
    <w:rsid w:val="00CD3782"/>
    <w:rsid w:val="00CD541E"/>
    <w:rsid w:val="00CD7C4B"/>
    <w:rsid w:val="00CE0635"/>
    <w:rsid w:val="00CE0EB9"/>
    <w:rsid w:val="00CE2B17"/>
    <w:rsid w:val="00CE3BBA"/>
    <w:rsid w:val="00CE42FB"/>
    <w:rsid w:val="00CE45C0"/>
    <w:rsid w:val="00CE4640"/>
    <w:rsid w:val="00CE7CE7"/>
    <w:rsid w:val="00CF339A"/>
    <w:rsid w:val="00CF3432"/>
    <w:rsid w:val="00CF7B68"/>
    <w:rsid w:val="00D00FB2"/>
    <w:rsid w:val="00D02D85"/>
    <w:rsid w:val="00D033AD"/>
    <w:rsid w:val="00D06493"/>
    <w:rsid w:val="00D1033F"/>
    <w:rsid w:val="00D10578"/>
    <w:rsid w:val="00D123D2"/>
    <w:rsid w:val="00D138DA"/>
    <w:rsid w:val="00D14A0E"/>
    <w:rsid w:val="00D14E38"/>
    <w:rsid w:val="00D15F28"/>
    <w:rsid w:val="00D16A62"/>
    <w:rsid w:val="00D17316"/>
    <w:rsid w:val="00D1770A"/>
    <w:rsid w:val="00D17B16"/>
    <w:rsid w:val="00D17DDC"/>
    <w:rsid w:val="00D21B2D"/>
    <w:rsid w:val="00D25045"/>
    <w:rsid w:val="00D25058"/>
    <w:rsid w:val="00D26110"/>
    <w:rsid w:val="00D26B69"/>
    <w:rsid w:val="00D277F1"/>
    <w:rsid w:val="00D27B0F"/>
    <w:rsid w:val="00D31CE4"/>
    <w:rsid w:val="00D3328B"/>
    <w:rsid w:val="00D35609"/>
    <w:rsid w:val="00D35CD1"/>
    <w:rsid w:val="00D36072"/>
    <w:rsid w:val="00D36D41"/>
    <w:rsid w:val="00D37A62"/>
    <w:rsid w:val="00D41BF5"/>
    <w:rsid w:val="00D42B51"/>
    <w:rsid w:val="00D4650C"/>
    <w:rsid w:val="00D474DE"/>
    <w:rsid w:val="00D53842"/>
    <w:rsid w:val="00D53E11"/>
    <w:rsid w:val="00D55378"/>
    <w:rsid w:val="00D6138A"/>
    <w:rsid w:val="00D61638"/>
    <w:rsid w:val="00D62742"/>
    <w:rsid w:val="00D70292"/>
    <w:rsid w:val="00D7102E"/>
    <w:rsid w:val="00D71733"/>
    <w:rsid w:val="00D727B3"/>
    <w:rsid w:val="00D74ECF"/>
    <w:rsid w:val="00D75713"/>
    <w:rsid w:val="00D80219"/>
    <w:rsid w:val="00D80420"/>
    <w:rsid w:val="00D80DF4"/>
    <w:rsid w:val="00D82A7C"/>
    <w:rsid w:val="00D83DF5"/>
    <w:rsid w:val="00D845BB"/>
    <w:rsid w:val="00D84ABE"/>
    <w:rsid w:val="00D85C5A"/>
    <w:rsid w:val="00D86818"/>
    <w:rsid w:val="00D86F0A"/>
    <w:rsid w:val="00D90C91"/>
    <w:rsid w:val="00D90EFA"/>
    <w:rsid w:val="00D935B3"/>
    <w:rsid w:val="00D936BC"/>
    <w:rsid w:val="00D94F80"/>
    <w:rsid w:val="00DA09EE"/>
    <w:rsid w:val="00DA14A5"/>
    <w:rsid w:val="00DA27F1"/>
    <w:rsid w:val="00DA4E26"/>
    <w:rsid w:val="00DA7A16"/>
    <w:rsid w:val="00DA7D8A"/>
    <w:rsid w:val="00DA7E40"/>
    <w:rsid w:val="00DB2086"/>
    <w:rsid w:val="00DB41F4"/>
    <w:rsid w:val="00DB693F"/>
    <w:rsid w:val="00DC41DC"/>
    <w:rsid w:val="00DC54BD"/>
    <w:rsid w:val="00DC6B78"/>
    <w:rsid w:val="00DD150D"/>
    <w:rsid w:val="00DD29A5"/>
    <w:rsid w:val="00DD3954"/>
    <w:rsid w:val="00DD4C68"/>
    <w:rsid w:val="00DD5530"/>
    <w:rsid w:val="00DD56EE"/>
    <w:rsid w:val="00DD6FE9"/>
    <w:rsid w:val="00DE0546"/>
    <w:rsid w:val="00DE069A"/>
    <w:rsid w:val="00DE11E0"/>
    <w:rsid w:val="00DE153E"/>
    <w:rsid w:val="00DE1690"/>
    <w:rsid w:val="00DE4CEC"/>
    <w:rsid w:val="00DE6ABB"/>
    <w:rsid w:val="00DE6BB8"/>
    <w:rsid w:val="00DF0243"/>
    <w:rsid w:val="00DF06C6"/>
    <w:rsid w:val="00DF11DC"/>
    <w:rsid w:val="00DF27D4"/>
    <w:rsid w:val="00DF6C68"/>
    <w:rsid w:val="00E00495"/>
    <w:rsid w:val="00E012B1"/>
    <w:rsid w:val="00E01B8B"/>
    <w:rsid w:val="00E02A64"/>
    <w:rsid w:val="00E02C22"/>
    <w:rsid w:val="00E042B3"/>
    <w:rsid w:val="00E055F2"/>
    <w:rsid w:val="00E100E4"/>
    <w:rsid w:val="00E10EF6"/>
    <w:rsid w:val="00E13DA7"/>
    <w:rsid w:val="00E13FFE"/>
    <w:rsid w:val="00E16B3D"/>
    <w:rsid w:val="00E16C48"/>
    <w:rsid w:val="00E245FE"/>
    <w:rsid w:val="00E24728"/>
    <w:rsid w:val="00E24EA3"/>
    <w:rsid w:val="00E25D8B"/>
    <w:rsid w:val="00E300F5"/>
    <w:rsid w:val="00E3030C"/>
    <w:rsid w:val="00E30DCD"/>
    <w:rsid w:val="00E34B2E"/>
    <w:rsid w:val="00E37079"/>
    <w:rsid w:val="00E4002E"/>
    <w:rsid w:val="00E43366"/>
    <w:rsid w:val="00E43D9D"/>
    <w:rsid w:val="00E458BE"/>
    <w:rsid w:val="00E469DF"/>
    <w:rsid w:val="00E50722"/>
    <w:rsid w:val="00E54953"/>
    <w:rsid w:val="00E577ED"/>
    <w:rsid w:val="00E60607"/>
    <w:rsid w:val="00E609C8"/>
    <w:rsid w:val="00E643AA"/>
    <w:rsid w:val="00E64DE4"/>
    <w:rsid w:val="00E715B6"/>
    <w:rsid w:val="00E71B96"/>
    <w:rsid w:val="00E7208F"/>
    <w:rsid w:val="00E729B7"/>
    <w:rsid w:val="00E73888"/>
    <w:rsid w:val="00E73D5F"/>
    <w:rsid w:val="00E77C61"/>
    <w:rsid w:val="00E82B3C"/>
    <w:rsid w:val="00E83A7A"/>
    <w:rsid w:val="00E83C9B"/>
    <w:rsid w:val="00E84640"/>
    <w:rsid w:val="00E84AD4"/>
    <w:rsid w:val="00E84B18"/>
    <w:rsid w:val="00E8517A"/>
    <w:rsid w:val="00E86820"/>
    <w:rsid w:val="00E868ED"/>
    <w:rsid w:val="00E873D6"/>
    <w:rsid w:val="00E873F0"/>
    <w:rsid w:val="00E90306"/>
    <w:rsid w:val="00E90A96"/>
    <w:rsid w:val="00E921B4"/>
    <w:rsid w:val="00E92488"/>
    <w:rsid w:val="00E92851"/>
    <w:rsid w:val="00E92C4A"/>
    <w:rsid w:val="00E972F8"/>
    <w:rsid w:val="00EA2245"/>
    <w:rsid w:val="00EA2534"/>
    <w:rsid w:val="00EA2958"/>
    <w:rsid w:val="00EA2C8C"/>
    <w:rsid w:val="00EA5579"/>
    <w:rsid w:val="00EA5C0A"/>
    <w:rsid w:val="00EA7734"/>
    <w:rsid w:val="00EA7D21"/>
    <w:rsid w:val="00EB148B"/>
    <w:rsid w:val="00EB2D45"/>
    <w:rsid w:val="00EB34A4"/>
    <w:rsid w:val="00EB4244"/>
    <w:rsid w:val="00EB7AAF"/>
    <w:rsid w:val="00EC259D"/>
    <w:rsid w:val="00EC5B90"/>
    <w:rsid w:val="00EC7056"/>
    <w:rsid w:val="00EC72B1"/>
    <w:rsid w:val="00ED0DCC"/>
    <w:rsid w:val="00ED4228"/>
    <w:rsid w:val="00EE1DDF"/>
    <w:rsid w:val="00EE27D8"/>
    <w:rsid w:val="00EE3378"/>
    <w:rsid w:val="00EE4296"/>
    <w:rsid w:val="00EE43AA"/>
    <w:rsid w:val="00EE5054"/>
    <w:rsid w:val="00EE5E6F"/>
    <w:rsid w:val="00EE65A9"/>
    <w:rsid w:val="00EF3400"/>
    <w:rsid w:val="00EF4DCD"/>
    <w:rsid w:val="00EF71A0"/>
    <w:rsid w:val="00EF7FC9"/>
    <w:rsid w:val="00F02C4C"/>
    <w:rsid w:val="00F03F4F"/>
    <w:rsid w:val="00F0409E"/>
    <w:rsid w:val="00F058E1"/>
    <w:rsid w:val="00F06F96"/>
    <w:rsid w:val="00F125C6"/>
    <w:rsid w:val="00F12F10"/>
    <w:rsid w:val="00F13646"/>
    <w:rsid w:val="00F22FF9"/>
    <w:rsid w:val="00F24560"/>
    <w:rsid w:val="00F24642"/>
    <w:rsid w:val="00F24645"/>
    <w:rsid w:val="00F24ECD"/>
    <w:rsid w:val="00F24F3F"/>
    <w:rsid w:val="00F25E54"/>
    <w:rsid w:val="00F344DC"/>
    <w:rsid w:val="00F35222"/>
    <w:rsid w:val="00F40DE7"/>
    <w:rsid w:val="00F41DB5"/>
    <w:rsid w:val="00F43469"/>
    <w:rsid w:val="00F440B7"/>
    <w:rsid w:val="00F449D9"/>
    <w:rsid w:val="00F4567F"/>
    <w:rsid w:val="00F45898"/>
    <w:rsid w:val="00F46056"/>
    <w:rsid w:val="00F5240D"/>
    <w:rsid w:val="00F527D8"/>
    <w:rsid w:val="00F52AA4"/>
    <w:rsid w:val="00F53796"/>
    <w:rsid w:val="00F54A07"/>
    <w:rsid w:val="00F550F1"/>
    <w:rsid w:val="00F609BB"/>
    <w:rsid w:val="00F65B72"/>
    <w:rsid w:val="00F723C6"/>
    <w:rsid w:val="00F746DB"/>
    <w:rsid w:val="00F7489F"/>
    <w:rsid w:val="00F74F5F"/>
    <w:rsid w:val="00F765EE"/>
    <w:rsid w:val="00F77EAF"/>
    <w:rsid w:val="00F800CA"/>
    <w:rsid w:val="00F836C7"/>
    <w:rsid w:val="00F83B23"/>
    <w:rsid w:val="00F85DDE"/>
    <w:rsid w:val="00F86E0E"/>
    <w:rsid w:val="00F91B8C"/>
    <w:rsid w:val="00F935E2"/>
    <w:rsid w:val="00F96D9F"/>
    <w:rsid w:val="00FA04BA"/>
    <w:rsid w:val="00FA2621"/>
    <w:rsid w:val="00FA4FDA"/>
    <w:rsid w:val="00FB0722"/>
    <w:rsid w:val="00FB15AD"/>
    <w:rsid w:val="00FB40ED"/>
    <w:rsid w:val="00FB4225"/>
    <w:rsid w:val="00FB497C"/>
    <w:rsid w:val="00FB7777"/>
    <w:rsid w:val="00FC1206"/>
    <w:rsid w:val="00FC3B2C"/>
    <w:rsid w:val="00FC49DD"/>
    <w:rsid w:val="00FC4F29"/>
    <w:rsid w:val="00FC54A1"/>
    <w:rsid w:val="00FC6B65"/>
    <w:rsid w:val="00FD0C80"/>
    <w:rsid w:val="00FD0E60"/>
    <w:rsid w:val="00FD3656"/>
    <w:rsid w:val="00FD5BA0"/>
    <w:rsid w:val="00FE0ABF"/>
    <w:rsid w:val="00FE0EEB"/>
    <w:rsid w:val="00FE3604"/>
    <w:rsid w:val="00FE3B0E"/>
    <w:rsid w:val="00FE3F43"/>
    <w:rsid w:val="00FE4C10"/>
    <w:rsid w:val="00FE59D6"/>
    <w:rsid w:val="00FF2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AFF0"/>
  <w15:docId w15:val="{595DEEC0-7649-42AA-A5DA-591082403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65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18713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F3651"/>
    <w:pPr>
      <w:spacing w:before="100" w:beforeAutospacing="1" w:after="100" w:afterAutospacing="1"/>
    </w:pPr>
    <w:rPr>
      <w:lang w:val="ru-RU"/>
    </w:rPr>
  </w:style>
  <w:style w:type="paragraph" w:styleId="a4">
    <w:name w:val="Body Text Indent"/>
    <w:basedOn w:val="a"/>
    <w:link w:val="a5"/>
    <w:unhideWhenUsed/>
    <w:rsid w:val="009F3651"/>
    <w:pPr>
      <w:ind w:firstLine="709"/>
      <w:jc w:val="both"/>
    </w:pPr>
  </w:style>
  <w:style w:type="character" w:customStyle="1" w:styleId="a5">
    <w:name w:val="Основной текст с отступом Знак"/>
    <w:basedOn w:val="a0"/>
    <w:link w:val="a4"/>
    <w:rsid w:val="009F3651"/>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70D65"/>
    <w:rPr>
      <w:rFonts w:ascii="Tahoma" w:hAnsi="Tahoma" w:cs="Tahoma"/>
      <w:sz w:val="16"/>
      <w:szCs w:val="16"/>
    </w:rPr>
  </w:style>
  <w:style w:type="character" w:customStyle="1" w:styleId="a7">
    <w:name w:val="Текст выноски Знак"/>
    <w:basedOn w:val="a0"/>
    <w:link w:val="a6"/>
    <w:uiPriority w:val="99"/>
    <w:semiHidden/>
    <w:rsid w:val="00570D65"/>
    <w:rPr>
      <w:rFonts w:ascii="Tahoma" w:eastAsia="Times New Roman" w:hAnsi="Tahoma" w:cs="Tahoma"/>
      <w:sz w:val="16"/>
      <w:szCs w:val="16"/>
      <w:lang w:eastAsia="ru-RU"/>
    </w:rPr>
  </w:style>
  <w:style w:type="paragraph" w:styleId="a8">
    <w:name w:val="List Paragraph"/>
    <w:basedOn w:val="a"/>
    <w:uiPriority w:val="34"/>
    <w:qFormat/>
    <w:rsid w:val="005A06E8"/>
    <w:pPr>
      <w:ind w:left="720"/>
      <w:contextualSpacing/>
    </w:pPr>
    <w:rPr>
      <w:lang w:val="ru-RU"/>
    </w:rPr>
  </w:style>
  <w:style w:type="paragraph" w:styleId="a9">
    <w:name w:val="footnote text"/>
    <w:basedOn w:val="a"/>
    <w:link w:val="aa"/>
    <w:rsid w:val="00BC08BE"/>
    <w:rPr>
      <w:sz w:val="20"/>
      <w:szCs w:val="20"/>
      <w:lang w:val="ru-RU"/>
    </w:rPr>
  </w:style>
  <w:style w:type="character" w:customStyle="1" w:styleId="aa">
    <w:name w:val="Текст сноски Знак"/>
    <w:basedOn w:val="a0"/>
    <w:link w:val="a9"/>
    <w:rsid w:val="00BC08BE"/>
    <w:rPr>
      <w:rFonts w:ascii="Times New Roman" w:eastAsia="Times New Roman" w:hAnsi="Times New Roman" w:cs="Times New Roman"/>
      <w:sz w:val="20"/>
      <w:szCs w:val="20"/>
      <w:lang w:val="ru-RU" w:eastAsia="ru-RU"/>
    </w:rPr>
  </w:style>
  <w:style w:type="character" w:styleId="ab">
    <w:name w:val="footnote reference"/>
    <w:rsid w:val="00352C70"/>
    <w:rPr>
      <w:vertAlign w:val="superscript"/>
    </w:rPr>
  </w:style>
  <w:style w:type="character" w:customStyle="1" w:styleId="10">
    <w:name w:val="Заголовок 1 Знак"/>
    <w:basedOn w:val="a0"/>
    <w:link w:val="1"/>
    <w:uiPriority w:val="9"/>
    <w:rsid w:val="0018713E"/>
    <w:rPr>
      <w:rFonts w:ascii="Times New Roman" w:eastAsia="Times New Roman" w:hAnsi="Times New Roman" w:cs="Times New Roman"/>
      <w:b/>
      <w:bCs/>
      <w:kern w:val="36"/>
      <w:sz w:val="48"/>
      <w:szCs w:val="48"/>
    </w:rPr>
  </w:style>
  <w:style w:type="paragraph" w:styleId="ac">
    <w:name w:val="No Spacing"/>
    <w:uiPriority w:val="1"/>
    <w:qFormat/>
    <w:rsid w:val="001A6AB5"/>
    <w:pPr>
      <w:spacing w:after="0" w:line="240" w:lineRule="auto"/>
    </w:pPr>
    <w:rPr>
      <w:rFonts w:ascii="Times New Roman" w:hAnsi="Times New Roman" w:cs="Times New Roman"/>
    </w:rPr>
  </w:style>
  <w:style w:type="table" w:styleId="ad">
    <w:name w:val="Table Grid"/>
    <w:basedOn w:val="a1"/>
    <w:uiPriority w:val="59"/>
    <w:rsid w:val="002E6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semiHidden/>
    <w:unhideWhenUsed/>
    <w:rsid w:val="0060110B"/>
    <w:pPr>
      <w:tabs>
        <w:tab w:val="center" w:pos="4819"/>
        <w:tab w:val="right" w:pos="9639"/>
      </w:tabs>
    </w:pPr>
  </w:style>
  <w:style w:type="character" w:customStyle="1" w:styleId="af">
    <w:name w:val="Верхний колонтитул Знак"/>
    <w:basedOn w:val="a0"/>
    <w:link w:val="ae"/>
    <w:uiPriority w:val="99"/>
    <w:semiHidden/>
    <w:rsid w:val="0060110B"/>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60110B"/>
    <w:pPr>
      <w:tabs>
        <w:tab w:val="center" w:pos="4819"/>
        <w:tab w:val="right" w:pos="9639"/>
      </w:tabs>
    </w:pPr>
  </w:style>
  <w:style w:type="character" w:customStyle="1" w:styleId="af1">
    <w:name w:val="Нижний колонтитул Знак"/>
    <w:basedOn w:val="a0"/>
    <w:link w:val="af0"/>
    <w:uiPriority w:val="99"/>
    <w:rsid w:val="0060110B"/>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110F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plotArea>
      <c:layout>
        <c:manualLayout>
          <c:layoutTarget val="inner"/>
          <c:xMode val="edge"/>
          <c:yMode val="edge"/>
          <c:x val="8.5026223242667787E-2"/>
          <c:y val="6.6677100145090554E-2"/>
          <c:w val="0.91432510361256181"/>
          <c:h val="0.85029327855758574"/>
        </c:manualLayout>
      </c:layout>
      <c:barChart>
        <c:barDir val="col"/>
        <c:grouping val="clustered"/>
        <c:varyColors val="0"/>
        <c:ser>
          <c:idx val="0"/>
          <c:order val="0"/>
          <c:tx>
            <c:strRef>
              <c:f>Лист1!$B$1</c:f>
              <c:strCache>
                <c:ptCount val="1"/>
                <c:pt idx="0">
                  <c:v>Надійшло</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2022 рік</c:v>
                </c:pt>
                <c:pt idx="1">
                  <c:v>2021 рік</c:v>
                </c:pt>
              </c:strCache>
            </c:strRef>
          </c:cat>
          <c:val>
            <c:numRef>
              <c:f>Лист1!$B$2:$B$5</c:f>
              <c:numCache>
                <c:formatCode>General</c:formatCode>
                <c:ptCount val="4"/>
                <c:pt idx="0">
                  <c:v>14076</c:v>
                </c:pt>
                <c:pt idx="1">
                  <c:v>20398</c:v>
                </c:pt>
              </c:numCache>
            </c:numRef>
          </c:val>
          <c:extLst>
            <c:ext xmlns:c16="http://schemas.microsoft.com/office/drawing/2014/chart" uri="{C3380CC4-5D6E-409C-BE32-E72D297353CC}">
              <c16:uniqueId val="{00000000-0F3F-403D-AE0E-F531188A7457}"/>
            </c:ext>
          </c:extLst>
        </c:ser>
        <c:ser>
          <c:idx val="1"/>
          <c:order val="1"/>
          <c:tx>
            <c:strRef>
              <c:f>Лист1!$C$1</c:f>
              <c:strCache>
                <c:ptCount val="1"/>
                <c:pt idx="0">
                  <c:v>Розглянуто</c:v>
                </c:pt>
              </c:strCache>
            </c:strRef>
          </c:tx>
          <c:spPr>
            <a:solidFill>
              <a:srgbClr val="00B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2"/>
                <c:pt idx="0">
                  <c:v>2022 рік</c:v>
                </c:pt>
                <c:pt idx="1">
                  <c:v>2021 рік</c:v>
                </c:pt>
              </c:strCache>
            </c:strRef>
          </c:cat>
          <c:val>
            <c:numRef>
              <c:f>Лист1!$C$2:$C$5</c:f>
              <c:numCache>
                <c:formatCode>General</c:formatCode>
                <c:ptCount val="4"/>
                <c:pt idx="0">
                  <c:v>15958</c:v>
                </c:pt>
                <c:pt idx="1">
                  <c:v>17650</c:v>
                </c:pt>
              </c:numCache>
            </c:numRef>
          </c:val>
          <c:extLst>
            <c:ext xmlns:c16="http://schemas.microsoft.com/office/drawing/2014/chart" uri="{C3380CC4-5D6E-409C-BE32-E72D297353CC}">
              <c16:uniqueId val="{00000001-0F3F-403D-AE0E-F531188A7457}"/>
            </c:ext>
          </c:extLst>
        </c:ser>
        <c:dLbls>
          <c:showLegendKey val="0"/>
          <c:showVal val="0"/>
          <c:showCatName val="0"/>
          <c:showSerName val="0"/>
          <c:showPercent val="0"/>
          <c:showBubbleSize val="0"/>
        </c:dLbls>
        <c:gapWidth val="150"/>
        <c:axId val="70915200"/>
        <c:axId val="70916736"/>
      </c:barChart>
      <c:catAx>
        <c:axId val="70915200"/>
        <c:scaling>
          <c:orientation val="minMax"/>
        </c:scaling>
        <c:delete val="0"/>
        <c:axPos val="b"/>
        <c:numFmt formatCode="General" sourceLinked="0"/>
        <c:majorTickMark val="out"/>
        <c:minorTickMark val="none"/>
        <c:tickLblPos val="nextTo"/>
        <c:crossAx val="70916736"/>
        <c:crosses val="autoZero"/>
        <c:auto val="1"/>
        <c:lblAlgn val="ctr"/>
        <c:lblOffset val="100"/>
        <c:noMultiLvlLbl val="0"/>
      </c:catAx>
      <c:valAx>
        <c:axId val="70916736"/>
        <c:scaling>
          <c:orientation val="minMax"/>
        </c:scaling>
        <c:delete val="0"/>
        <c:axPos val="l"/>
        <c:majorGridlines/>
        <c:numFmt formatCode="General" sourceLinked="1"/>
        <c:majorTickMark val="out"/>
        <c:minorTickMark val="none"/>
        <c:tickLblPos val="nextTo"/>
        <c:crossAx val="70915200"/>
        <c:crosses val="autoZero"/>
        <c:crossBetween val="between"/>
      </c:valAx>
    </c:plotArea>
    <c:legend>
      <c:legendPos val="r"/>
      <c:layout>
        <c:manualLayout>
          <c:xMode val="edge"/>
          <c:yMode val="edge"/>
          <c:x val="0.80724648055356762"/>
          <c:y val="0.40581815944881888"/>
          <c:w val="0.17622459382659841"/>
          <c:h val="0.2300303477690299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600" i="0"/>
            </a:pPr>
            <a:r>
              <a:rPr lang="uk-UA" sz="1600" i="0"/>
              <a:t>Показники середньої кількості надходження </a:t>
            </a:r>
          </a:p>
          <a:p>
            <a:pPr>
              <a:defRPr sz="1600" i="0"/>
            </a:pPr>
            <a:r>
              <a:rPr lang="uk-UA" sz="1600" i="0"/>
              <a:t>та розгляду справ і матеріалів на одного суддю КОАС</a:t>
            </a:r>
          </a:p>
        </c:rich>
      </c:tx>
      <c:layout>
        <c:manualLayout>
          <c:xMode val="edge"/>
          <c:yMode val="edge"/>
          <c:x val="9.3903340616454764E-2"/>
          <c:y val="0"/>
        </c:manualLayout>
      </c:layout>
      <c:overlay val="0"/>
    </c:title>
    <c:autoTitleDeleted val="0"/>
    <c:view3D>
      <c:rotX val="15"/>
      <c:rotY val="20"/>
      <c:depthPercent val="60"/>
      <c:rAngAx val="1"/>
    </c:view3D>
    <c:floor>
      <c:thickness val="0"/>
    </c:floor>
    <c:sideWall>
      <c:thickness val="0"/>
    </c:sideWall>
    <c:backWall>
      <c:thickness val="0"/>
    </c:backWall>
    <c:plotArea>
      <c:layout>
        <c:manualLayout>
          <c:layoutTarget val="inner"/>
          <c:xMode val="edge"/>
          <c:yMode val="edge"/>
          <c:x val="0.31901149425287562"/>
          <c:y val="0.26881143878462932"/>
          <c:w val="0.38159199927595444"/>
          <c:h val="0.50207454631173787"/>
        </c:manualLayout>
      </c:layout>
      <c:bar3DChart>
        <c:barDir val="col"/>
        <c:grouping val="clustered"/>
        <c:varyColors val="0"/>
        <c:ser>
          <c:idx val="0"/>
          <c:order val="0"/>
          <c:tx>
            <c:strRef>
              <c:f>Лист1!$B$1</c:f>
              <c:strCache>
                <c:ptCount val="1"/>
                <c:pt idx="0">
                  <c:v>Перебувало у провадженні
</c:v>
                </c:pt>
              </c:strCache>
            </c:strRef>
          </c:tx>
          <c:spPr>
            <a:solidFill>
              <a:srgbClr val="7030A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2"/>
                <c:pt idx="0">
                  <c:v>2021 рік</c:v>
                </c:pt>
                <c:pt idx="1">
                  <c:v>2022 рік</c:v>
                </c:pt>
              </c:strCache>
            </c:strRef>
          </c:cat>
          <c:val>
            <c:numRef>
              <c:f>Лист1!$B$2:$B$4</c:f>
              <c:numCache>
                <c:formatCode>General</c:formatCode>
                <c:ptCount val="2"/>
                <c:pt idx="0">
                  <c:v>1431</c:v>
                </c:pt>
                <c:pt idx="1">
                  <c:v>1062</c:v>
                </c:pt>
              </c:numCache>
            </c:numRef>
          </c:val>
          <c:extLst>
            <c:ext xmlns:c16="http://schemas.microsoft.com/office/drawing/2014/chart" uri="{C3380CC4-5D6E-409C-BE32-E72D297353CC}">
              <c16:uniqueId val="{00000000-59DD-48C7-A3DE-E7A7730B14A5}"/>
            </c:ext>
          </c:extLst>
        </c:ser>
        <c:ser>
          <c:idx val="1"/>
          <c:order val="1"/>
          <c:tx>
            <c:strRef>
              <c:f>Лист1!$C$1</c:f>
              <c:strCache>
                <c:ptCount val="1"/>
                <c:pt idx="0">
                  <c:v>Розглянуто суддею</c:v>
                </c:pt>
              </c:strCache>
            </c:strRef>
          </c:tx>
          <c:spPr>
            <a:solidFill>
              <a:srgbClr val="FFC00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2"/>
                <c:pt idx="0">
                  <c:v>2021 рік</c:v>
                </c:pt>
                <c:pt idx="1">
                  <c:v>2022 рік</c:v>
                </c:pt>
              </c:strCache>
            </c:strRef>
          </c:cat>
          <c:val>
            <c:numRef>
              <c:f>Лист1!$C$2:$C$4</c:f>
              <c:numCache>
                <c:formatCode>General</c:formatCode>
                <c:ptCount val="2"/>
                <c:pt idx="0">
                  <c:v>883</c:v>
                </c:pt>
                <c:pt idx="1">
                  <c:v>694</c:v>
                </c:pt>
              </c:numCache>
            </c:numRef>
          </c:val>
          <c:extLst>
            <c:ext xmlns:c16="http://schemas.microsoft.com/office/drawing/2014/chart" uri="{C3380CC4-5D6E-409C-BE32-E72D297353CC}">
              <c16:uniqueId val="{00000001-59DD-48C7-A3DE-E7A7730B14A5}"/>
            </c:ext>
          </c:extLst>
        </c:ser>
        <c:dLbls>
          <c:showLegendKey val="0"/>
          <c:showVal val="0"/>
          <c:showCatName val="0"/>
          <c:showSerName val="0"/>
          <c:showPercent val="0"/>
          <c:showBubbleSize val="0"/>
        </c:dLbls>
        <c:gapWidth val="150"/>
        <c:shape val="box"/>
        <c:axId val="135977216"/>
        <c:axId val="135983104"/>
        <c:axId val="0"/>
      </c:bar3DChart>
      <c:catAx>
        <c:axId val="135977216"/>
        <c:scaling>
          <c:orientation val="minMax"/>
        </c:scaling>
        <c:delete val="0"/>
        <c:axPos val="b"/>
        <c:numFmt formatCode="General" sourceLinked="1"/>
        <c:majorTickMark val="out"/>
        <c:minorTickMark val="none"/>
        <c:tickLblPos val="nextTo"/>
        <c:crossAx val="135983104"/>
        <c:crosses val="autoZero"/>
        <c:auto val="1"/>
        <c:lblAlgn val="ctr"/>
        <c:lblOffset val="100"/>
        <c:noMultiLvlLbl val="0"/>
      </c:catAx>
      <c:valAx>
        <c:axId val="135983104"/>
        <c:scaling>
          <c:orientation val="minMax"/>
        </c:scaling>
        <c:delete val="0"/>
        <c:axPos val="l"/>
        <c:majorGridlines/>
        <c:numFmt formatCode="General" sourceLinked="1"/>
        <c:majorTickMark val="out"/>
        <c:minorTickMark val="none"/>
        <c:tickLblPos val="nextTo"/>
        <c:crossAx val="135977216"/>
        <c:crosses val="autoZero"/>
        <c:crossBetween val="between"/>
      </c:valAx>
      <c:dTable>
        <c:showHorzBorder val="1"/>
        <c:showVertBorder val="1"/>
        <c:showOutline val="1"/>
        <c:showKeys val="0"/>
      </c:dTable>
    </c:plotArea>
    <c:legend>
      <c:legendPos val="r"/>
      <c:layout>
        <c:manualLayout>
          <c:xMode val="edge"/>
          <c:yMode val="edge"/>
          <c:x val="0.74428165444836891"/>
          <c:y val="0.24336886843568142"/>
          <c:w val="0.21433903520680644"/>
          <c:h val="0.69270791553200661"/>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uk-UA" sz="1200">
                <a:latin typeface="Times New Roman" pitchFamily="18" charset="0"/>
                <a:cs typeface="Times New Roman" pitchFamily="18" charset="0"/>
              </a:rPr>
              <a:t>Динаміка</a:t>
            </a:r>
            <a:r>
              <a:rPr lang="uk-UA" sz="1200" baseline="0">
                <a:latin typeface="Times New Roman" pitchFamily="18" charset="0"/>
                <a:cs typeface="Times New Roman" pitchFamily="18" charset="0"/>
              </a:rPr>
              <a:t> в</a:t>
            </a:r>
            <a:r>
              <a:rPr lang="uk-UA" sz="1200">
                <a:latin typeface="Times New Roman" pitchFamily="18" charset="0"/>
                <a:cs typeface="Times New Roman" pitchFamily="18" charset="0"/>
              </a:rPr>
              <a:t>ідсотка розгляду справ</a:t>
            </a:r>
          </a:p>
        </c:rich>
      </c:tx>
      <c:overlay val="0"/>
    </c:title>
    <c:autoTitleDeleted val="0"/>
    <c:view3D>
      <c:rotX val="10"/>
      <c:hPercent val="160"/>
      <c:rotY val="20"/>
      <c:depthPercent val="80"/>
      <c:rAngAx val="1"/>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Відсоток розгляду справ</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0-33DA-449E-B597-5EB78D13B157}"/>
              </c:ext>
            </c:extLst>
          </c:dPt>
          <c:dPt>
            <c:idx val="1"/>
            <c:invertIfNegative val="0"/>
            <c:bubble3D val="0"/>
            <c:spPr>
              <a:solidFill>
                <a:schemeClr val="accent3"/>
              </a:solidFill>
            </c:spPr>
            <c:extLst>
              <c:ext xmlns:c16="http://schemas.microsoft.com/office/drawing/2014/chart" uri="{C3380CC4-5D6E-409C-BE32-E72D297353CC}">
                <c16:uniqueId val="{00000001-33DA-449E-B597-5EB78D13B157}"/>
              </c:ext>
            </c:extLst>
          </c:dPt>
          <c:dLbls>
            <c:spPr>
              <a:noFill/>
              <a:ln>
                <a:noFill/>
              </a:ln>
              <a:effectLst/>
            </c:spPr>
            <c:txPr>
              <a:bodyPr/>
              <a:lstStyle/>
              <a:p>
                <a:pPr>
                  <a:defRPr>
                    <a:latin typeface="Times New Roman" pitchFamily="18" charset="0"/>
                    <a:cs typeface="Times New Roman" pitchFamily="18" charset="0"/>
                  </a:defRPr>
                </a:pPr>
                <a:endParaRPr lang="ru-U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2021 рік</c:v>
                </c:pt>
                <c:pt idx="1">
                  <c:v>2022 рік</c:v>
                </c:pt>
              </c:strCache>
            </c:strRef>
          </c:cat>
          <c:val>
            <c:numRef>
              <c:f>Лист1!$B$2:$B$3</c:f>
              <c:numCache>
                <c:formatCode>0.00%</c:formatCode>
                <c:ptCount val="2"/>
                <c:pt idx="0">
                  <c:v>0.86499999999999999</c:v>
                </c:pt>
                <c:pt idx="1">
                  <c:v>1.1339999999999999</c:v>
                </c:pt>
              </c:numCache>
            </c:numRef>
          </c:val>
          <c:extLst>
            <c:ext xmlns:c16="http://schemas.microsoft.com/office/drawing/2014/chart" uri="{C3380CC4-5D6E-409C-BE32-E72D297353CC}">
              <c16:uniqueId val="{00000002-33DA-449E-B597-5EB78D13B157}"/>
            </c:ext>
          </c:extLst>
        </c:ser>
        <c:dLbls>
          <c:showLegendKey val="0"/>
          <c:showVal val="0"/>
          <c:showCatName val="0"/>
          <c:showSerName val="0"/>
          <c:showPercent val="0"/>
          <c:showBubbleSize val="0"/>
        </c:dLbls>
        <c:gapWidth val="150"/>
        <c:shape val="box"/>
        <c:axId val="70945408"/>
        <c:axId val="81527168"/>
        <c:axId val="113727680"/>
      </c:bar3DChart>
      <c:catAx>
        <c:axId val="7094540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ru-UA"/>
          </a:p>
        </c:txPr>
        <c:crossAx val="81527168"/>
        <c:crosses val="autoZero"/>
        <c:auto val="1"/>
        <c:lblAlgn val="ctr"/>
        <c:lblOffset val="100"/>
        <c:noMultiLvlLbl val="0"/>
      </c:catAx>
      <c:valAx>
        <c:axId val="81527168"/>
        <c:scaling>
          <c:orientation val="minMax"/>
        </c:scaling>
        <c:delete val="0"/>
        <c:axPos val="l"/>
        <c:majorGridlines/>
        <c:numFmt formatCode="0.00%" sourceLinked="1"/>
        <c:majorTickMark val="out"/>
        <c:minorTickMark val="none"/>
        <c:tickLblPos val="nextTo"/>
        <c:txPr>
          <a:bodyPr/>
          <a:lstStyle/>
          <a:p>
            <a:pPr>
              <a:defRPr>
                <a:latin typeface="Times New Roman" pitchFamily="18" charset="0"/>
                <a:cs typeface="Times New Roman" pitchFamily="18" charset="0"/>
              </a:defRPr>
            </a:pPr>
            <a:endParaRPr lang="ru-UA"/>
          </a:p>
        </c:txPr>
        <c:crossAx val="70945408"/>
        <c:crosses val="autoZero"/>
        <c:crossBetween val="between"/>
      </c:valAx>
      <c:serAx>
        <c:axId val="113727680"/>
        <c:scaling>
          <c:orientation val="minMax"/>
        </c:scaling>
        <c:delete val="0"/>
        <c:axPos val="b"/>
        <c:majorTickMark val="out"/>
        <c:minorTickMark val="none"/>
        <c:tickLblPos val="nextTo"/>
        <c:crossAx val="81527168"/>
        <c:crosses val="autoZero"/>
      </c:serAx>
    </c:plotArea>
    <c:legend>
      <c:legendPos val="r"/>
      <c:overlay val="0"/>
      <c:txPr>
        <a:bodyPr/>
        <a:lstStyle/>
        <a:p>
          <a:pPr>
            <a:defRPr>
              <a:latin typeface="Times New Roman" pitchFamily="18" charset="0"/>
              <a:cs typeface="Times New Roman" pitchFamily="18" charset="0"/>
            </a:defRPr>
          </a:pPr>
          <a:endParaRPr lang="ru-UA"/>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uk-UA" sz="1400">
                <a:latin typeface="Times New Roman" pitchFamily="18" charset="0"/>
                <a:cs typeface="Times New Roman" pitchFamily="18" charset="0"/>
              </a:rPr>
              <a:t>2022 рік</a:t>
            </a:r>
          </a:p>
        </c:rich>
      </c:tx>
      <c:layout>
        <c:manualLayout>
          <c:xMode val="edge"/>
          <c:yMode val="edge"/>
          <c:x val="8.7557371736873585E-2"/>
          <c:y val="5.0602571737356591E-2"/>
        </c:manualLayout>
      </c:layout>
      <c:overlay val="0"/>
    </c:title>
    <c:autoTitleDeleted val="0"/>
    <c:plotArea>
      <c:layout>
        <c:manualLayout>
          <c:layoutTarget val="inner"/>
          <c:xMode val="edge"/>
          <c:yMode val="edge"/>
          <c:x val="3.2890407672852277E-2"/>
          <c:y val="0.27051258298595826"/>
          <c:w val="0.35980001430874725"/>
          <c:h val="0.47141864619863738"/>
        </c:manualLayout>
      </c:layout>
      <c:pieChart>
        <c:varyColors val="1"/>
        <c:ser>
          <c:idx val="0"/>
          <c:order val="0"/>
          <c:tx>
            <c:strRef>
              <c:f>Лист1!$B$1</c:f>
              <c:strCache>
                <c:ptCount val="1"/>
                <c:pt idx="0">
                  <c:v>2022рік</c:v>
                </c:pt>
              </c:strCache>
            </c:strRef>
          </c:tx>
          <c:dPt>
            <c:idx val="2"/>
            <c:bubble3D val="0"/>
            <c:spPr>
              <a:scene3d>
                <a:camera prst="orthographicFront"/>
                <a:lightRig rig="threePt" dir="t"/>
              </a:scene3d>
              <a:sp3d>
                <a:bevelT w="25400" h="69850"/>
                <a:bevelB w="6350" h="114300"/>
              </a:sp3d>
            </c:spPr>
            <c:extLst>
              <c:ext xmlns:c16="http://schemas.microsoft.com/office/drawing/2014/chart" uri="{C3380CC4-5D6E-409C-BE32-E72D297353CC}">
                <c16:uniqueId val="{00000000-6819-4354-8017-333DD3C92AEC}"/>
              </c:ext>
            </c:extLst>
          </c:dPt>
          <c:dLbls>
            <c:dLbl>
              <c:idx val="0"/>
              <c:layout>
                <c:manualLayout>
                  <c:x val="8.2893750572528971E-2"/>
                  <c:y val="-4.5392873835975983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6819-4354-8017-333DD3C92AEC}"/>
                </c:ext>
              </c:extLst>
            </c:dLbl>
            <c:dLbl>
              <c:idx val="1"/>
              <c:layout>
                <c:manualLayout>
                  <c:x val="8.840372950346298E-2"/>
                  <c:y val="-1.0915758817819005E-3"/>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6819-4354-8017-333DD3C92AEC}"/>
                </c:ext>
              </c:extLst>
            </c:dLbl>
            <c:dLbl>
              <c:idx val="2"/>
              <c:layout>
                <c:manualLayout>
                  <c:x val="-8.3807885167616943E-3"/>
                  <c:y val="5.9715960162513597E-3"/>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6819-4354-8017-333DD3C92AEC}"/>
                </c:ext>
              </c:extLst>
            </c:dLbl>
            <c:dLbl>
              <c:idx val="3"/>
              <c:layout>
                <c:manualLayout>
                  <c:x val="-3.6162323412153147E-3"/>
                  <c:y val="2.9639664904900519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6819-4354-8017-333DD3C92AEC}"/>
                </c:ext>
              </c:extLst>
            </c:dLbl>
            <c:dLbl>
              <c:idx val="4"/>
              <c:layout>
                <c:manualLayout>
                  <c:x val="-7.9452227744649245E-3"/>
                  <c:y val="3.0849198605217867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6819-4354-8017-333DD3C92AEC}"/>
                </c:ext>
              </c:extLst>
            </c:dLbl>
            <c:dLbl>
              <c:idx val="5"/>
              <c:layout>
                <c:manualLayout>
                  <c:x val="-0.11600954477163045"/>
                  <c:y val="-2.4136174154701248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6819-4354-8017-333DD3C92AEC}"/>
                </c:ext>
              </c:extLst>
            </c:dLbl>
            <c:dLbl>
              <c:idx val="6"/>
              <c:layout>
                <c:manualLayout>
                  <c:x val="-0.14702373988393094"/>
                  <c:y val="-0.10340148657888359"/>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6819-4354-8017-333DD3C92AEC}"/>
                </c:ext>
              </c:extLst>
            </c:dLbl>
            <c:dLbl>
              <c:idx val="7"/>
              <c:layout>
                <c:manualLayout>
                  <c:x val="-5.7511036668252006E-3"/>
                  <c:y val="-4.3082114735658122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6819-4354-8017-333DD3C92AEC}"/>
                </c:ext>
              </c:extLst>
            </c:dLbl>
            <c:spPr>
              <a:noFill/>
              <a:ln>
                <a:noFill/>
              </a:ln>
              <a:effectLst/>
            </c:spPr>
            <c:txPr>
              <a:bodyPr rot="120000" vert="horz" anchor="t" anchorCtr="1"/>
              <a:lstStyle/>
              <a:p>
                <a:pPr>
                  <a:defRPr>
                    <a:latin typeface="Times New Roman" pitchFamily="18" charset="0"/>
                    <a:cs typeface="Times New Roman" pitchFamily="18" charset="0"/>
                  </a:defRPr>
                </a:pPr>
                <a:endParaRPr lang="ru-UA"/>
              </a:p>
            </c:txPr>
            <c:dLblPos val="bestFit"/>
            <c:showLegendKey val="1"/>
            <c:showVal val="1"/>
            <c:showCatName val="0"/>
            <c:showSerName val="0"/>
            <c:showPercent val="1"/>
            <c:showBubbleSize val="0"/>
            <c:separator>
</c:separator>
            <c:showLeaderLines val="1"/>
            <c:extLst>
              <c:ext xmlns:c15="http://schemas.microsoft.com/office/drawing/2012/chart" uri="{CE6537A1-D6FC-4f65-9D91-7224C49458BB}"/>
            </c:extLst>
          </c:dLbls>
          <c:cat>
            <c:strRef>
              <c:f>Лист1!$A$2:$A$10</c:f>
              <c:strCache>
                <c:ptCount val="9"/>
                <c:pt idx="0">
                  <c:v>Справи зі спорів з приводу реалізації державної політики у сфері економіки та публічної фінансової політики</c:v>
                </c:pt>
                <c:pt idx="1">
                  <c:v>Справи зі спорів з приводу забезпечення сталого розвитку населених пунктів та землекористування</c:v>
                </c:pt>
                <c:pt idx="2">
                  <c:v>Справи зі спорів з приводу адміністрування податків, зборів, платежів, а також контролю за дотриманням вимог податкового законодавства</c:v>
                </c:pt>
                <c:pt idx="3">
                  <c:v>Справи зі спорів з приводу забезпечення конституційних прав особи, а також реалізації статусу депутата представницького органу влади, організації діяльності цих органів</c:v>
                </c:pt>
                <c:pt idx="4">
                  <c:v>Справи зі спорів з приводу реалізації публічної політики у сферах праці, зайнятості населення та соціального захисту громадянина спорів у сфері публічної житлової політики </c:v>
                </c:pt>
                <c:pt idx="5">
                  <c:v>Справи зі спорів з приводу забезпечення юстиції, примусового виконання судових рішень і рішень інших органів</c:v>
                </c:pt>
                <c:pt idx="6">
                  <c:v>Справи зі спорів з відносин публічної служби</c:v>
                </c:pt>
                <c:pt idx="7">
                  <c:v>Справи зі спорів з приводу забезпечення громадського порядку та безпеки,національної безпеки та оборони України</c:v>
                </c:pt>
                <c:pt idx="8">
                  <c:v>Справи інших категорій</c:v>
                </c:pt>
              </c:strCache>
            </c:strRef>
          </c:cat>
          <c:val>
            <c:numRef>
              <c:f>Лист1!$B$2:$B$10</c:f>
              <c:numCache>
                <c:formatCode>General</c:formatCode>
                <c:ptCount val="9"/>
                <c:pt idx="0">
                  <c:v>225</c:v>
                </c:pt>
                <c:pt idx="1">
                  <c:v>430</c:v>
                </c:pt>
                <c:pt idx="2">
                  <c:v>1177</c:v>
                </c:pt>
                <c:pt idx="3">
                  <c:v>254</c:v>
                </c:pt>
                <c:pt idx="4">
                  <c:v>8508</c:v>
                </c:pt>
                <c:pt idx="5">
                  <c:v>628</c:v>
                </c:pt>
                <c:pt idx="6">
                  <c:v>850</c:v>
                </c:pt>
                <c:pt idx="7">
                  <c:v>256</c:v>
                </c:pt>
                <c:pt idx="8">
                  <c:v>123</c:v>
                </c:pt>
              </c:numCache>
            </c:numRef>
          </c:val>
          <c:extLst>
            <c:ext xmlns:c16="http://schemas.microsoft.com/office/drawing/2014/chart" uri="{C3380CC4-5D6E-409C-BE32-E72D297353CC}">
              <c16:uniqueId val="{00000008-6819-4354-8017-333DD3C92AEC}"/>
            </c:ext>
          </c:extLst>
        </c:ser>
        <c:dLbls>
          <c:showLegendKey val="0"/>
          <c:showVal val="0"/>
          <c:showCatName val="0"/>
          <c:showSerName val="0"/>
          <c:showPercent val="0"/>
          <c:showBubbleSize val="0"/>
          <c:showLeaderLines val="1"/>
        </c:dLbls>
        <c:firstSliceAng val="10"/>
      </c:pieChart>
    </c:plotArea>
    <c:legend>
      <c:legendPos val="r"/>
      <c:layout>
        <c:manualLayout>
          <c:xMode val="edge"/>
          <c:yMode val="edge"/>
          <c:x val="0.44587096041108332"/>
          <c:y val="7.1010464061385531E-2"/>
          <c:w val="0.55309157173097889"/>
          <c:h val="0.89157676620061543"/>
        </c:manualLayout>
      </c:layout>
      <c:overlay val="0"/>
      <c:txPr>
        <a:bodyPr/>
        <a:lstStyle/>
        <a:p>
          <a:pPr>
            <a:defRPr sz="800" kern="0" cap="none" spc="0" normalizeH="0" baseline="0">
              <a:latin typeface="Times New Roman" pitchFamily="18" charset="0"/>
            </a:defRPr>
          </a:pPr>
          <a:endParaRPr lang="ru-UA"/>
        </a:p>
      </c:txPr>
    </c:legend>
    <c:plotVisOnly val="1"/>
    <c:dispBlanksAs val="gap"/>
    <c:showDLblsOverMax val="0"/>
  </c:chart>
  <c:spPr>
    <a:gradFill flip="none" rotWithShape="1">
      <a:gsLst>
        <a:gs pos="0">
          <a:srgbClr val="FFEFD1"/>
        </a:gs>
        <a:gs pos="64999">
          <a:srgbClr val="F0EBD5"/>
        </a:gs>
        <a:gs pos="100000">
          <a:srgbClr val="D1C39F"/>
        </a:gs>
      </a:gsLst>
      <a:lin ang="16200000" scaled="0"/>
      <a:tileRect/>
    </a:gradFill>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latin typeface="Times New Roman" pitchFamily="18" charset="0"/>
                <a:cs typeface="Times New Roman" pitchFamily="18" charset="0"/>
              </a:defRPr>
            </a:pPr>
            <a:r>
              <a:rPr lang="uk-UA" sz="1400">
                <a:latin typeface="Times New Roman" pitchFamily="18" charset="0"/>
                <a:cs typeface="Times New Roman" pitchFamily="18" charset="0"/>
              </a:rPr>
              <a:t>2021 рік</a:t>
            </a:r>
          </a:p>
        </c:rich>
      </c:tx>
      <c:layout>
        <c:manualLayout>
          <c:xMode val="edge"/>
          <c:yMode val="edge"/>
          <c:x val="8.7557371736873585E-2"/>
          <c:y val="5.0602571737356494E-2"/>
        </c:manualLayout>
      </c:layout>
      <c:overlay val="0"/>
    </c:title>
    <c:autoTitleDeleted val="0"/>
    <c:plotArea>
      <c:layout>
        <c:manualLayout>
          <c:layoutTarget val="inner"/>
          <c:xMode val="edge"/>
          <c:yMode val="edge"/>
          <c:x val="3.289040767285209E-2"/>
          <c:y val="0.27051258298595843"/>
          <c:w val="0.35980001430874742"/>
          <c:h val="0.47141864619863738"/>
        </c:manualLayout>
      </c:layout>
      <c:pieChart>
        <c:varyColors val="1"/>
        <c:ser>
          <c:idx val="0"/>
          <c:order val="0"/>
          <c:tx>
            <c:strRef>
              <c:f>Лист1!$B$1</c:f>
              <c:strCache>
                <c:ptCount val="1"/>
                <c:pt idx="0">
                  <c:v>2021 рік</c:v>
                </c:pt>
              </c:strCache>
            </c:strRef>
          </c:tx>
          <c:dPt>
            <c:idx val="2"/>
            <c:bubble3D val="0"/>
            <c:spPr>
              <a:scene3d>
                <a:camera prst="orthographicFront"/>
                <a:lightRig rig="threePt" dir="t"/>
              </a:scene3d>
              <a:sp3d>
                <a:bevelT w="25400" h="69850"/>
                <a:bevelB w="6350" h="114300"/>
              </a:sp3d>
            </c:spPr>
            <c:extLst>
              <c:ext xmlns:c16="http://schemas.microsoft.com/office/drawing/2014/chart" uri="{C3380CC4-5D6E-409C-BE32-E72D297353CC}">
                <c16:uniqueId val="{00000000-0896-4322-B8BA-857FE8A52CF2}"/>
              </c:ext>
            </c:extLst>
          </c:dPt>
          <c:dLbls>
            <c:dLbl>
              <c:idx val="0"/>
              <c:layout>
                <c:manualLayout>
                  <c:x val="7.4800708703501972E-2"/>
                  <c:y val="-5.2100840336134473E-3"/>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0896-4322-B8BA-857FE8A52CF2}"/>
                </c:ext>
              </c:extLst>
            </c:dLbl>
            <c:dLbl>
              <c:idx val="1"/>
              <c:layout>
                <c:manualLayout>
                  <c:x val="4.7938405080444592E-2"/>
                  <c:y val="4.2743995235889724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2-0896-4322-B8BA-857FE8A52CF2}"/>
                </c:ext>
              </c:extLst>
            </c:dLbl>
            <c:dLbl>
              <c:idx val="2"/>
              <c:layout>
                <c:manualLayout>
                  <c:x val="-2.8957439913810869E-2"/>
                  <c:y val="7.6272745318599885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0896-4322-B8BA-857FE8A52CF2}"/>
                </c:ext>
              </c:extLst>
            </c:dLbl>
            <c:dLbl>
              <c:idx val="3"/>
              <c:layout>
                <c:manualLayout>
                  <c:x val="-2.3848967035186876E-2"/>
                  <c:y val="1.5027680363484001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896-4322-B8BA-857FE8A52CF2}"/>
                </c:ext>
              </c:extLst>
            </c:dLbl>
            <c:dLbl>
              <c:idx val="4"/>
              <c:layout>
                <c:manualLayout>
                  <c:x val="0"/>
                  <c:y val="-7.2980350429169324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4-0896-4322-B8BA-857FE8A52CF2}"/>
                </c:ext>
              </c:extLst>
            </c:dLbl>
            <c:dLbl>
              <c:idx val="5"/>
              <c:layout>
                <c:manualLayout>
                  <c:x val="-0.11600954477162992"/>
                  <c:y val="-2.4136174154701248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0896-4322-B8BA-857FE8A52CF2}"/>
                </c:ext>
              </c:extLst>
            </c:dLbl>
            <c:dLbl>
              <c:idx val="6"/>
              <c:layout>
                <c:manualLayout>
                  <c:x val="-0.14702373988393094"/>
                  <c:y val="-0.10340148657888359"/>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6-0896-4322-B8BA-857FE8A52CF2}"/>
                </c:ext>
              </c:extLst>
            </c:dLbl>
            <c:dLbl>
              <c:idx val="7"/>
              <c:layout>
                <c:manualLayout>
                  <c:x val="-5.7511036668251919E-3"/>
                  <c:y val="-4.3082114735658122E-2"/>
                </c:manualLayout>
              </c:layout>
              <c:dLblPos val="bestFit"/>
              <c:showLegendKey val="1"/>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0896-4322-B8BA-857FE8A52CF2}"/>
                </c:ext>
              </c:extLst>
            </c:dLbl>
            <c:spPr>
              <a:noFill/>
              <a:ln>
                <a:noFill/>
              </a:ln>
              <a:effectLst/>
            </c:spPr>
            <c:txPr>
              <a:bodyPr rot="120000" vert="horz" anchor="t" anchorCtr="1"/>
              <a:lstStyle/>
              <a:p>
                <a:pPr>
                  <a:defRPr>
                    <a:latin typeface="Times New Roman" pitchFamily="18" charset="0"/>
                    <a:cs typeface="Times New Roman" pitchFamily="18" charset="0"/>
                  </a:defRPr>
                </a:pPr>
                <a:endParaRPr lang="ru-UA"/>
              </a:p>
            </c:txPr>
            <c:dLblPos val="bestFit"/>
            <c:showLegendKey val="1"/>
            <c:showVal val="1"/>
            <c:showCatName val="0"/>
            <c:showSerName val="0"/>
            <c:showPercent val="1"/>
            <c:showBubbleSize val="0"/>
            <c:separator>
</c:separator>
            <c:showLeaderLines val="1"/>
            <c:extLst>
              <c:ext xmlns:c15="http://schemas.microsoft.com/office/drawing/2012/chart" uri="{CE6537A1-D6FC-4f65-9D91-7224C49458BB}"/>
            </c:extLst>
          </c:dLbls>
          <c:cat>
            <c:strRef>
              <c:f>Лист1!$A$2:$A$10</c:f>
              <c:strCache>
                <c:ptCount val="9"/>
                <c:pt idx="0">
                  <c:v>Справи зі спорів з приводу реалізації державної політики у сфері економіки та публічної фінансової політики</c:v>
                </c:pt>
                <c:pt idx="1">
                  <c:v>Справи зі спорів з приводу регулювання містобудівної діяльності та землекористування</c:v>
                </c:pt>
                <c:pt idx="2">
                  <c:v>Справи зі спорів з приводу адміністрування податків, зборів, платежів, а також контролю за дотриманням вимог податкового законодавства</c:v>
                </c:pt>
                <c:pt idx="3">
                  <c:v>Справи зі спорів з приводу захисту політичних та громадянських прав, а також реалізації статусу депутата представницького органу влади, організації діяльності цих органів</c:v>
                </c:pt>
                <c:pt idx="4">
                  <c:v>Справи зі спорів з приводу реалізації публічної політики у сферах праці, зайнятості населення та соціального захисту громадянина спорів у сфері публічної житлової політики </c:v>
                </c:pt>
                <c:pt idx="5">
                  <c:v>Справи зі спорів щодо примусового виконання судових рішень і рішень інших органів</c:v>
                </c:pt>
                <c:pt idx="6">
                  <c:v>Справи зі спорів з відносин публічної служби</c:v>
                </c:pt>
                <c:pt idx="7">
                  <c:v>Справи зі спорів з приводу забезпечення громадського порядку та безпеки,національної безпеки та оборони України</c:v>
                </c:pt>
                <c:pt idx="8">
                  <c:v>Справи інших категорій</c:v>
                </c:pt>
              </c:strCache>
            </c:strRef>
          </c:cat>
          <c:val>
            <c:numRef>
              <c:f>Лист1!$B$2:$B$10</c:f>
              <c:numCache>
                <c:formatCode>General</c:formatCode>
                <c:ptCount val="9"/>
                <c:pt idx="0">
                  <c:v>571</c:v>
                </c:pt>
                <c:pt idx="1">
                  <c:v>1085</c:v>
                </c:pt>
                <c:pt idx="2">
                  <c:v>2343</c:v>
                </c:pt>
                <c:pt idx="3">
                  <c:v>450</c:v>
                </c:pt>
                <c:pt idx="4">
                  <c:v>10898</c:v>
                </c:pt>
                <c:pt idx="5">
                  <c:v>883</c:v>
                </c:pt>
                <c:pt idx="6">
                  <c:v>571</c:v>
                </c:pt>
                <c:pt idx="7">
                  <c:v>665</c:v>
                </c:pt>
                <c:pt idx="8">
                  <c:v>717</c:v>
                </c:pt>
              </c:numCache>
            </c:numRef>
          </c:val>
          <c:extLst>
            <c:ext xmlns:c16="http://schemas.microsoft.com/office/drawing/2014/chart" uri="{C3380CC4-5D6E-409C-BE32-E72D297353CC}">
              <c16:uniqueId val="{00000008-0896-4322-B8BA-857FE8A52CF2}"/>
            </c:ext>
          </c:extLst>
        </c:ser>
        <c:dLbls>
          <c:showLegendKey val="0"/>
          <c:showVal val="0"/>
          <c:showCatName val="0"/>
          <c:showSerName val="0"/>
          <c:showPercent val="0"/>
          <c:showBubbleSize val="0"/>
          <c:showLeaderLines val="1"/>
        </c:dLbls>
        <c:firstSliceAng val="10"/>
      </c:pieChart>
    </c:plotArea>
    <c:legend>
      <c:legendPos val="r"/>
      <c:layout>
        <c:manualLayout>
          <c:xMode val="edge"/>
          <c:yMode val="edge"/>
          <c:x val="0.47152569050194232"/>
          <c:y val="7.1010464061385531E-2"/>
          <c:w val="0.52743684164011839"/>
          <c:h val="0.89157676620061421"/>
        </c:manualLayout>
      </c:layout>
      <c:overlay val="0"/>
      <c:txPr>
        <a:bodyPr/>
        <a:lstStyle/>
        <a:p>
          <a:pPr>
            <a:defRPr sz="800" kern="0" cap="none" spc="0" normalizeH="0" baseline="0">
              <a:latin typeface="Times New Roman" pitchFamily="18" charset="0"/>
            </a:defRPr>
          </a:pPr>
          <a:endParaRPr lang="ru-UA"/>
        </a:p>
      </c:txPr>
    </c:legend>
    <c:plotVisOnly val="1"/>
    <c:dispBlanksAs val="gap"/>
    <c:showDLblsOverMax val="0"/>
  </c:chart>
  <c:spPr>
    <a:gradFill>
      <a:gsLst>
        <a:gs pos="0">
          <a:srgbClr val="FFEFD1"/>
        </a:gs>
        <a:gs pos="64999">
          <a:srgbClr val="F0EBD5"/>
        </a:gs>
        <a:gs pos="100000">
          <a:srgbClr val="D1C39F"/>
        </a:gs>
      </a:gsLst>
      <a:lin ang="16200000" scaled="0"/>
    </a:gradFill>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600"/>
            </a:pPr>
            <a:r>
              <a:rPr lang="uk-UA" sz="1600"/>
              <a:t>Показники розгляду справ і матеріалів позовних заяв КОАС у 2022 році у порівнянні з 2021 роком</a:t>
            </a:r>
          </a:p>
        </c:rich>
      </c:tx>
      <c:layout>
        <c:manualLayout>
          <c:xMode val="edge"/>
          <c:yMode val="edge"/>
          <c:x val="0.1522006130932412"/>
          <c:y val="0"/>
        </c:manualLayout>
      </c:layout>
      <c:overlay val="0"/>
    </c:title>
    <c:autoTitleDeleted val="0"/>
    <c:plotArea>
      <c:layout>
        <c:manualLayout>
          <c:layoutTarget val="inner"/>
          <c:xMode val="edge"/>
          <c:yMode val="edge"/>
          <c:x val="9.8782344498249477E-2"/>
          <c:y val="0.14662184915564799"/>
          <c:w val="0.57635280151309876"/>
          <c:h val="0.85111721883821123"/>
        </c:manualLayout>
      </c:layout>
      <c:doughnutChart>
        <c:varyColors val="1"/>
        <c:ser>
          <c:idx val="0"/>
          <c:order val="0"/>
          <c:tx>
            <c:strRef>
              <c:f>Лист1!$B$1</c:f>
              <c:strCache>
                <c:ptCount val="1"/>
                <c:pt idx="0">
                  <c:v>2021 рік</c:v>
                </c:pt>
              </c:strCache>
            </c:strRef>
          </c:tx>
          <c:explosion val="25"/>
          <c:dPt>
            <c:idx val="0"/>
            <c:bubble3D val="1"/>
            <c:spPr>
              <a:solidFill>
                <a:srgbClr val="00B0F0"/>
              </a:solidFill>
            </c:spPr>
            <c:extLst>
              <c:ext xmlns:c16="http://schemas.microsoft.com/office/drawing/2014/chart" uri="{C3380CC4-5D6E-409C-BE32-E72D297353CC}">
                <c16:uniqueId val="{00000001-71DF-4220-883C-2335B0C407FE}"/>
              </c:ext>
            </c:extLst>
          </c:dPt>
          <c:dPt>
            <c:idx val="1"/>
            <c:bubble3D val="1"/>
            <c:spPr>
              <a:solidFill>
                <a:schemeClr val="accent6">
                  <a:lumMod val="75000"/>
                </a:schemeClr>
              </a:solidFill>
            </c:spPr>
            <c:extLst>
              <c:ext xmlns:c16="http://schemas.microsoft.com/office/drawing/2014/chart" uri="{C3380CC4-5D6E-409C-BE32-E72D297353CC}">
                <c16:uniqueId val="{00000003-71DF-4220-883C-2335B0C407FE}"/>
              </c:ext>
            </c:extLst>
          </c:dPt>
          <c:dPt>
            <c:idx val="2"/>
            <c:bubble3D val="1"/>
            <c:spPr>
              <a:solidFill>
                <a:srgbClr val="00B050"/>
              </a:solidFill>
            </c:spPr>
            <c:extLst>
              <c:ext xmlns:c16="http://schemas.microsoft.com/office/drawing/2014/chart" uri="{C3380CC4-5D6E-409C-BE32-E72D297353CC}">
                <c16:uniqueId val="{00000005-71DF-4220-883C-2335B0C407FE}"/>
              </c:ext>
            </c:extLst>
          </c:dPt>
          <c:dPt>
            <c:idx val="3"/>
            <c:bubble3D val="1"/>
            <c:spPr>
              <a:solidFill>
                <a:srgbClr val="FF33CC"/>
              </a:solidFill>
            </c:spPr>
            <c:extLst>
              <c:ext xmlns:c16="http://schemas.microsoft.com/office/drawing/2014/chart" uri="{C3380CC4-5D6E-409C-BE32-E72D297353CC}">
                <c16:uniqueId val="{00000007-71DF-4220-883C-2335B0C407FE}"/>
              </c:ext>
            </c:extLst>
          </c:dPt>
          <c:dPt>
            <c:idx val="4"/>
            <c:bubble3D val="1"/>
            <c:spPr>
              <a:solidFill>
                <a:srgbClr val="0070C0"/>
              </a:solidFill>
            </c:spPr>
            <c:extLst>
              <c:ext xmlns:c16="http://schemas.microsoft.com/office/drawing/2014/chart" uri="{C3380CC4-5D6E-409C-BE32-E72D297353CC}">
                <c16:uniqueId val="{00000009-71DF-4220-883C-2335B0C407FE}"/>
              </c:ext>
            </c:extLst>
          </c:dPt>
          <c:dPt>
            <c:idx val="5"/>
            <c:bubble3D val="1"/>
            <c:spPr>
              <a:solidFill>
                <a:srgbClr val="FFFF00"/>
              </a:solidFill>
            </c:spPr>
            <c:extLst>
              <c:ext xmlns:c16="http://schemas.microsoft.com/office/drawing/2014/chart" uri="{C3380CC4-5D6E-409C-BE32-E72D297353CC}">
                <c16:uniqueId val="{0000000B-71DF-4220-883C-2335B0C407FE}"/>
              </c:ext>
            </c:extLst>
          </c:dPt>
          <c:dLbls>
            <c:dLbl>
              <c:idx val="0"/>
              <c:layout>
                <c:manualLayout>
                  <c:x val="3.7452250576304864E-2"/>
                  <c:y val="6.8586558535237679E-2"/>
                </c:manualLayout>
              </c:layout>
              <c:showLegendKey val="1"/>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1-71DF-4220-883C-2335B0C407FE}"/>
                </c:ext>
              </c:extLst>
            </c:dLbl>
            <c:dLbl>
              <c:idx val="1"/>
              <c:layout>
                <c:manualLayout>
                  <c:x val="-1.5784407222411825E-2"/>
                  <c:y val="-3.6467697097264634E-2"/>
                </c:manualLayout>
              </c:layout>
              <c:showLegendKey val="1"/>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3-71DF-4220-883C-2335B0C407FE}"/>
                </c:ext>
              </c:extLst>
            </c:dLbl>
            <c:dLbl>
              <c:idx val="2"/>
              <c:layout>
                <c:manualLayout>
                  <c:x val="3.8055392771156951E-2"/>
                  <c:y val="-5.3498182162184243E-2"/>
                </c:manualLayout>
              </c:layout>
              <c:showLegendKey val="1"/>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71DF-4220-883C-2335B0C407FE}"/>
                </c:ext>
              </c:extLst>
            </c:dLbl>
            <c:dLbl>
              <c:idx val="3"/>
              <c:layout>
                <c:manualLayout>
                  <c:x val="7.9537182123716674E-2"/>
                  <c:y val="5.0331484733986853E-2"/>
                </c:manualLayout>
              </c:layout>
              <c:showLegendKey val="1"/>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7-71DF-4220-883C-2335B0C407FE}"/>
                </c:ext>
              </c:extLst>
            </c:dLbl>
            <c:dLbl>
              <c:idx val="4"/>
              <c:layout>
                <c:manualLayout>
                  <c:x val="0.104399594342878"/>
                  <c:y val="-7.4694966599514523E-2"/>
                </c:manualLayout>
              </c:layout>
              <c:showLegendKey val="1"/>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9-71DF-4220-883C-2335B0C407FE}"/>
                </c:ext>
              </c:extLst>
            </c:dLbl>
            <c:dLbl>
              <c:idx val="5"/>
              <c:layout>
                <c:manualLayout>
                  <c:x val="0.10824953483155203"/>
                  <c:y val="6.5820776537516404E-2"/>
                </c:manualLayout>
              </c:layout>
              <c:showLegendKey val="1"/>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B-71DF-4220-883C-2335B0C407FE}"/>
                </c:ext>
              </c:extLst>
            </c:dLbl>
            <c:dLbl>
              <c:idx val="6"/>
              <c:layout>
                <c:manualLayout>
                  <c:x val="1.1129660545353371E-2"/>
                  <c:y val="0"/>
                </c:manualLayout>
              </c:layout>
              <c:showLegendKey val="1"/>
              <c:showVal val="1"/>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C-71DF-4220-883C-2335B0C407FE}"/>
                </c:ext>
              </c:extLst>
            </c:dLbl>
            <c:spPr>
              <a:noFill/>
              <a:ln>
                <a:noFill/>
              </a:ln>
              <a:effectLst/>
            </c:spPr>
            <c:txPr>
              <a:bodyPr rot="0" vert="horz"/>
              <a:lstStyle/>
              <a:p>
                <a:pPr>
                  <a:defRPr/>
                </a:pPr>
                <a:endParaRPr lang="ru-UA"/>
              </a:p>
            </c:txPr>
            <c:showLegendKey val="1"/>
            <c:showVal val="1"/>
            <c:showCatName val="0"/>
            <c:showSerName val="1"/>
            <c:showPercent val="0"/>
            <c:showBubbleSize val="0"/>
            <c:showLeaderLines val="1"/>
            <c:extLst>
              <c:ext xmlns:c15="http://schemas.microsoft.com/office/drawing/2012/chart" uri="{CE6537A1-D6FC-4f65-9D91-7224C49458BB}"/>
            </c:extLst>
          </c:dLbls>
          <c:cat>
            <c:strRef>
              <c:f>Лист1!$A$2:$A$7</c:f>
              <c:strCache>
                <c:ptCount val="6"/>
                <c:pt idx="0">
                  <c:v>Розглянуто справ із прийняттям рішення</c:v>
                </c:pt>
                <c:pt idx="1">
                  <c:v>Передано в інші суди</c:v>
                </c:pt>
                <c:pt idx="2">
                  <c:v>Закрито провадження у справі</c:v>
                </c:pt>
                <c:pt idx="3">
                  <c:v>Залишено без розгляду</c:v>
                </c:pt>
                <c:pt idx="4">
                  <c:v>Відмовлено у відкритті провадження</c:v>
                </c:pt>
                <c:pt idx="5">
                  <c:v>Повернуто </c:v>
                </c:pt>
              </c:strCache>
            </c:strRef>
          </c:cat>
          <c:val>
            <c:numRef>
              <c:f>Лист1!$B$2:$B$7</c:f>
              <c:numCache>
                <c:formatCode>0.00%</c:formatCode>
                <c:ptCount val="6"/>
                <c:pt idx="0">
                  <c:v>0.65700000000000003</c:v>
                </c:pt>
                <c:pt idx="1">
                  <c:v>8.9999999999999998E-4</c:v>
                </c:pt>
                <c:pt idx="2">
                  <c:v>1.4999999999999999E-2</c:v>
                </c:pt>
                <c:pt idx="3">
                  <c:v>0.02</c:v>
                </c:pt>
                <c:pt idx="4">
                  <c:v>8.0000000000000002E-3</c:v>
                </c:pt>
                <c:pt idx="5">
                  <c:v>0.16600000000000001</c:v>
                </c:pt>
              </c:numCache>
            </c:numRef>
          </c:val>
          <c:extLst>
            <c:ext xmlns:c16="http://schemas.microsoft.com/office/drawing/2014/chart" uri="{C3380CC4-5D6E-409C-BE32-E72D297353CC}">
              <c16:uniqueId val="{0000000D-71DF-4220-883C-2335B0C407FE}"/>
            </c:ext>
          </c:extLst>
        </c:ser>
        <c:ser>
          <c:idx val="1"/>
          <c:order val="1"/>
          <c:tx>
            <c:strRef>
              <c:f>Лист1!$C$1</c:f>
              <c:strCache>
                <c:ptCount val="1"/>
                <c:pt idx="0">
                  <c:v>2022 рік</c:v>
                </c:pt>
              </c:strCache>
            </c:strRef>
          </c:tx>
          <c:explosion val="34"/>
          <c:dPt>
            <c:idx val="0"/>
            <c:bubble3D val="1"/>
            <c:spPr>
              <a:solidFill>
                <a:srgbClr val="00B0F0"/>
              </a:solidFill>
            </c:spPr>
            <c:extLst>
              <c:ext xmlns:c16="http://schemas.microsoft.com/office/drawing/2014/chart" uri="{C3380CC4-5D6E-409C-BE32-E72D297353CC}">
                <c16:uniqueId val="{0000000F-71DF-4220-883C-2335B0C407FE}"/>
              </c:ext>
            </c:extLst>
          </c:dPt>
          <c:dPt>
            <c:idx val="1"/>
            <c:bubble3D val="1"/>
            <c:spPr>
              <a:solidFill>
                <a:schemeClr val="accent6">
                  <a:lumMod val="75000"/>
                </a:schemeClr>
              </a:solidFill>
            </c:spPr>
            <c:extLst>
              <c:ext xmlns:c16="http://schemas.microsoft.com/office/drawing/2014/chart" uri="{C3380CC4-5D6E-409C-BE32-E72D297353CC}">
                <c16:uniqueId val="{00000011-71DF-4220-883C-2335B0C407FE}"/>
              </c:ext>
            </c:extLst>
          </c:dPt>
          <c:dPt>
            <c:idx val="2"/>
            <c:bubble3D val="1"/>
            <c:spPr>
              <a:solidFill>
                <a:srgbClr val="00B050"/>
              </a:solidFill>
            </c:spPr>
            <c:extLst>
              <c:ext xmlns:c16="http://schemas.microsoft.com/office/drawing/2014/chart" uri="{C3380CC4-5D6E-409C-BE32-E72D297353CC}">
                <c16:uniqueId val="{00000013-71DF-4220-883C-2335B0C407FE}"/>
              </c:ext>
            </c:extLst>
          </c:dPt>
          <c:dPt>
            <c:idx val="3"/>
            <c:bubble3D val="1"/>
            <c:spPr>
              <a:solidFill>
                <a:srgbClr val="FF33CC"/>
              </a:solidFill>
            </c:spPr>
            <c:extLst>
              <c:ext xmlns:c16="http://schemas.microsoft.com/office/drawing/2014/chart" uri="{C3380CC4-5D6E-409C-BE32-E72D297353CC}">
                <c16:uniqueId val="{00000015-71DF-4220-883C-2335B0C407FE}"/>
              </c:ext>
            </c:extLst>
          </c:dPt>
          <c:dPt>
            <c:idx val="4"/>
            <c:bubble3D val="1"/>
            <c:spPr>
              <a:solidFill>
                <a:srgbClr val="0070C0"/>
              </a:solidFill>
            </c:spPr>
            <c:extLst>
              <c:ext xmlns:c16="http://schemas.microsoft.com/office/drawing/2014/chart" uri="{C3380CC4-5D6E-409C-BE32-E72D297353CC}">
                <c16:uniqueId val="{00000017-71DF-4220-883C-2335B0C407FE}"/>
              </c:ext>
            </c:extLst>
          </c:dPt>
          <c:dPt>
            <c:idx val="5"/>
            <c:bubble3D val="1"/>
            <c:spPr>
              <a:solidFill>
                <a:srgbClr val="FFFF00"/>
              </a:solidFill>
            </c:spPr>
            <c:extLst>
              <c:ext xmlns:c16="http://schemas.microsoft.com/office/drawing/2014/chart" uri="{C3380CC4-5D6E-409C-BE32-E72D297353CC}">
                <c16:uniqueId val="{00000019-71DF-4220-883C-2335B0C407FE}"/>
              </c:ext>
            </c:extLst>
          </c:dPt>
          <c:dLbls>
            <c:dLbl>
              <c:idx val="0"/>
              <c:layout>
                <c:manualLayout>
                  <c:x val="0.23329540096877124"/>
                  <c:y val="-2.8601651641644082E-3"/>
                </c:manualLayout>
              </c:layout>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71DF-4220-883C-2335B0C407FE}"/>
                </c:ext>
              </c:extLst>
            </c:dLbl>
            <c:dLbl>
              <c:idx val="1"/>
              <c:layout>
                <c:manualLayout>
                  <c:x val="-3.7141880322189992E-2"/>
                  <c:y val="0.11314454766906107"/>
                </c:manualLayout>
              </c:layout>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71DF-4220-883C-2335B0C407FE}"/>
                </c:ext>
              </c:extLst>
            </c:dLbl>
            <c:dLbl>
              <c:idx val="2"/>
              <c:layout>
                <c:manualLayout>
                  <c:x val="-7.7195481585044912E-2"/>
                  <c:y val="-6.6826986130252231E-2"/>
                </c:manualLayout>
              </c:layout>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71DF-4220-883C-2335B0C407FE}"/>
                </c:ext>
              </c:extLst>
            </c:dLbl>
            <c:dLbl>
              <c:idx val="3"/>
              <c:layout>
                <c:manualLayout>
                  <c:x val="4.0234863890644762E-2"/>
                  <c:y val="7.2029162805597804E-2"/>
                </c:manualLayout>
              </c:layout>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5-71DF-4220-883C-2335B0C407FE}"/>
                </c:ext>
              </c:extLst>
            </c:dLbl>
            <c:dLbl>
              <c:idx val="4"/>
              <c:layout>
                <c:manualLayout>
                  <c:x val="4.0636105435655046E-2"/>
                  <c:y val="-1.6383115500964281E-2"/>
                </c:manualLayout>
              </c:layout>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71DF-4220-883C-2335B0C407FE}"/>
                </c:ext>
              </c:extLst>
            </c:dLbl>
            <c:dLbl>
              <c:idx val="5"/>
              <c:layout>
                <c:manualLayout>
                  <c:x val="1.2190831630696513E-2"/>
                  <c:y val="-8.7376616005142682E-2"/>
                </c:manualLayout>
              </c:layout>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71DF-4220-883C-2335B0C407FE}"/>
                </c:ext>
              </c:extLst>
            </c:dLbl>
            <c:dLbl>
              <c:idx val="6"/>
              <c:layout>
                <c:manualLayout>
                  <c:x val="1.5581524763494793E-2"/>
                  <c:y val="-3.9133473095737246E-2"/>
                </c:manualLayout>
              </c:layout>
              <c:showLegendKey val="1"/>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A-71DF-4220-883C-2335B0C407FE}"/>
                </c:ext>
              </c:extLst>
            </c:dLbl>
            <c:spPr>
              <a:noFill/>
              <a:ln>
                <a:noFill/>
              </a:ln>
              <a:effectLst/>
            </c:spPr>
            <c:showLegendKey val="1"/>
            <c:showVal val="1"/>
            <c:showCatName val="0"/>
            <c:showSerName val="1"/>
            <c:showPercent val="0"/>
            <c:showBubbleSize val="0"/>
            <c:separator>
</c:separator>
            <c:showLeaderLines val="1"/>
            <c:extLst>
              <c:ext xmlns:c15="http://schemas.microsoft.com/office/drawing/2012/chart" uri="{CE6537A1-D6FC-4f65-9D91-7224C49458BB}"/>
            </c:extLst>
          </c:dLbls>
          <c:cat>
            <c:strRef>
              <c:f>Лист1!$A$2:$A$7</c:f>
              <c:strCache>
                <c:ptCount val="6"/>
                <c:pt idx="0">
                  <c:v>Розглянуто справ із прийняттям рішення</c:v>
                </c:pt>
                <c:pt idx="1">
                  <c:v>Передано в інші суди</c:v>
                </c:pt>
                <c:pt idx="2">
                  <c:v>Закрито провадження у справі</c:v>
                </c:pt>
                <c:pt idx="3">
                  <c:v>Залишено без розгляду</c:v>
                </c:pt>
                <c:pt idx="4">
                  <c:v>Відмовлено у відкритті провадження</c:v>
                </c:pt>
                <c:pt idx="5">
                  <c:v>Повернуто </c:v>
                </c:pt>
              </c:strCache>
            </c:strRef>
          </c:cat>
          <c:val>
            <c:numRef>
              <c:f>Лист1!$C$2:$C$7</c:f>
              <c:numCache>
                <c:formatCode>0.00%</c:formatCode>
                <c:ptCount val="6"/>
                <c:pt idx="0">
                  <c:v>0.76300000000000001</c:v>
                </c:pt>
                <c:pt idx="1">
                  <c:v>2E-3</c:v>
                </c:pt>
                <c:pt idx="2">
                  <c:v>1.4999999999999999E-2</c:v>
                </c:pt>
                <c:pt idx="3">
                  <c:v>6.4000000000000001E-2</c:v>
                </c:pt>
                <c:pt idx="4">
                  <c:v>1.2E-2</c:v>
                </c:pt>
                <c:pt idx="5">
                  <c:v>0.20399999999999999</c:v>
                </c:pt>
              </c:numCache>
            </c:numRef>
          </c:val>
          <c:extLst>
            <c:ext xmlns:c16="http://schemas.microsoft.com/office/drawing/2014/chart" uri="{C3380CC4-5D6E-409C-BE32-E72D297353CC}">
              <c16:uniqueId val="{0000001B-71DF-4220-883C-2335B0C407FE}"/>
            </c:ext>
          </c:extLst>
        </c:ser>
        <c:dLbls>
          <c:showLegendKey val="0"/>
          <c:showVal val="0"/>
          <c:showCatName val="0"/>
          <c:showSerName val="0"/>
          <c:showPercent val="1"/>
          <c:showBubbleSize val="0"/>
          <c:showLeaderLines val="1"/>
        </c:dLbls>
        <c:firstSliceAng val="83"/>
        <c:holeSize val="40"/>
      </c:doughnutChart>
    </c:plotArea>
    <c:legend>
      <c:legendPos val="r"/>
      <c:layout>
        <c:manualLayout>
          <c:xMode val="edge"/>
          <c:yMode val="edge"/>
          <c:x val="0.76657876863890062"/>
          <c:y val="0.18287217242498768"/>
          <c:w val="0.22229157081575152"/>
          <c:h val="0.77706487946868996"/>
        </c:manualLayout>
      </c:layout>
      <c:overlay val="0"/>
    </c:legend>
    <c:plotVisOnly val="1"/>
    <c:dispBlanksAs val="gap"/>
    <c:showDLblsOverMax val="0"/>
  </c:chart>
  <c:txPr>
    <a:bodyPr/>
    <a:lstStyle/>
    <a:p>
      <a:pPr>
        <a:defRPr>
          <a:latin typeface="Times New Roman" pitchFamily="18" charset="0"/>
          <a:cs typeface="Times New Roman" pitchFamily="18" charset="0"/>
        </a:defRPr>
      </a:pPr>
      <a:endParaRPr lang="ru-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tx>
            <c:strRef>
              <c:f>Лист1!$B$1</c:f>
              <c:strCache>
                <c:ptCount val="1"/>
                <c:pt idx="0">
                  <c:v>2022 рік</c:v>
                </c:pt>
              </c:strCache>
            </c:strRef>
          </c:tx>
          <c:spPr>
            <a:solidFill>
              <a:schemeClr val="accent6">
                <a:lumMod val="75000"/>
              </a:schemeClr>
            </a:solidFill>
          </c:spPr>
          <c:invertIfNegative val="0"/>
          <c:dLbls>
            <c:spPr>
              <a:noFill/>
              <a:ln>
                <a:noFill/>
              </a:ln>
              <a:effectLst/>
            </c:spPr>
            <c:showLegendKey val="1"/>
            <c:showVal val="1"/>
            <c:showCatName val="0"/>
            <c:showSerName val="1"/>
            <c:showPercent val="0"/>
            <c:showBubbleSize val="0"/>
            <c:showLeaderLines val="0"/>
            <c:extLst>
              <c:ext xmlns:c15="http://schemas.microsoft.com/office/drawing/2012/chart" uri="{CE6537A1-D6FC-4f65-9D91-7224C49458BB}">
                <c15:showLeaderLines val="0"/>
              </c:ext>
            </c:extLst>
          </c:dLbls>
          <c:cat>
            <c:strRef>
              <c:f>Лист1!$A$2:$A$4</c:f>
              <c:strCache>
                <c:ptCount val="3"/>
                <c:pt idx="0">
                  <c:v>Показник позовних зяв
 залишених без руху</c:v>
                </c:pt>
                <c:pt idx="1">
                  <c:v>Показник справ,
у яких зупинено 
провадження</c:v>
                </c:pt>
                <c:pt idx="2">
                  <c:v>Кількість справ у яких незакінчено провадження на кінець звітного періоду</c:v>
                </c:pt>
              </c:strCache>
            </c:strRef>
          </c:cat>
          <c:val>
            <c:numRef>
              <c:f>Лист1!$B$2:$B$4</c:f>
              <c:numCache>
                <c:formatCode>0.00%</c:formatCode>
                <c:ptCount val="3"/>
                <c:pt idx="0" formatCode="0%">
                  <c:v>1.9E-2</c:v>
                </c:pt>
                <c:pt idx="1">
                  <c:v>1.9E-2</c:v>
                </c:pt>
                <c:pt idx="2">
                  <c:v>0.35399999999999998</c:v>
                </c:pt>
              </c:numCache>
            </c:numRef>
          </c:val>
          <c:extLst>
            <c:ext xmlns:c16="http://schemas.microsoft.com/office/drawing/2014/chart" uri="{C3380CC4-5D6E-409C-BE32-E72D297353CC}">
              <c16:uniqueId val="{00000000-8A09-41E8-869E-A1B69A3118D5}"/>
            </c:ext>
          </c:extLst>
        </c:ser>
        <c:ser>
          <c:idx val="1"/>
          <c:order val="1"/>
          <c:tx>
            <c:strRef>
              <c:f>Лист1!$C$1</c:f>
              <c:strCache>
                <c:ptCount val="1"/>
                <c:pt idx="0">
                  <c:v>2021 рік</c:v>
                </c:pt>
              </c:strCache>
            </c:strRef>
          </c:tx>
          <c:invertIfNegative val="0"/>
          <c:dPt>
            <c:idx val="0"/>
            <c:invertIfNegative val="0"/>
            <c:bubble3D val="0"/>
            <c:spPr>
              <a:solidFill>
                <a:srgbClr val="00B050"/>
              </a:solidFill>
            </c:spPr>
            <c:extLst>
              <c:ext xmlns:c16="http://schemas.microsoft.com/office/drawing/2014/chart" uri="{C3380CC4-5D6E-409C-BE32-E72D297353CC}">
                <c16:uniqueId val="{00000001-8A09-41E8-869E-A1B69A3118D5}"/>
              </c:ext>
            </c:extLst>
          </c:dPt>
          <c:dPt>
            <c:idx val="1"/>
            <c:invertIfNegative val="0"/>
            <c:bubble3D val="0"/>
            <c:spPr>
              <a:solidFill>
                <a:srgbClr val="00B050"/>
              </a:solidFill>
            </c:spPr>
            <c:extLst>
              <c:ext xmlns:c16="http://schemas.microsoft.com/office/drawing/2014/chart" uri="{C3380CC4-5D6E-409C-BE32-E72D297353CC}">
                <c16:uniqueId val="{00000002-8A09-41E8-869E-A1B69A3118D5}"/>
              </c:ext>
            </c:extLst>
          </c:dPt>
          <c:dPt>
            <c:idx val="2"/>
            <c:invertIfNegative val="0"/>
            <c:bubble3D val="0"/>
            <c:spPr>
              <a:solidFill>
                <a:srgbClr val="00B050"/>
              </a:solidFill>
            </c:spPr>
            <c:extLst>
              <c:ext xmlns:c16="http://schemas.microsoft.com/office/drawing/2014/chart" uri="{C3380CC4-5D6E-409C-BE32-E72D297353CC}">
                <c16:uniqueId val="{00000003-8A09-41E8-869E-A1B69A3118D5}"/>
              </c:ext>
            </c:extLst>
          </c:dPt>
          <c:dLbls>
            <c:spPr>
              <a:noFill/>
              <a:ln>
                <a:noFill/>
              </a:ln>
              <a:effectLst/>
            </c:spPr>
            <c:showLegendKey val="1"/>
            <c:showVal val="1"/>
            <c:showCatName val="0"/>
            <c:showSerName val="1"/>
            <c:showPercent val="0"/>
            <c:showBubbleSize val="0"/>
            <c:showLeaderLines val="0"/>
            <c:extLst>
              <c:ext xmlns:c15="http://schemas.microsoft.com/office/drawing/2012/chart" uri="{CE6537A1-D6FC-4f65-9D91-7224C49458BB}">
                <c15:showLeaderLines val="0"/>
              </c:ext>
            </c:extLst>
          </c:dLbls>
          <c:cat>
            <c:strRef>
              <c:f>Лист1!$A$2:$A$4</c:f>
              <c:strCache>
                <c:ptCount val="3"/>
                <c:pt idx="0">
                  <c:v>Показник позовних зяв
 залишених без руху</c:v>
                </c:pt>
                <c:pt idx="1">
                  <c:v>Показник справ,
у яких зупинено 
провадження</c:v>
                </c:pt>
                <c:pt idx="2">
                  <c:v>Кількість справ у яких незакінчено провадження на кінець звітного періоду</c:v>
                </c:pt>
              </c:strCache>
            </c:strRef>
          </c:cat>
          <c:val>
            <c:numRef>
              <c:f>Лист1!$C$2:$C$4</c:f>
              <c:numCache>
                <c:formatCode>0.00%</c:formatCode>
                <c:ptCount val="3"/>
                <c:pt idx="0" formatCode="0%">
                  <c:v>2.3E-2</c:v>
                </c:pt>
                <c:pt idx="1">
                  <c:v>1.4999999999999999E-2</c:v>
                </c:pt>
                <c:pt idx="2">
                  <c:v>0.39</c:v>
                </c:pt>
              </c:numCache>
            </c:numRef>
          </c:val>
          <c:extLst>
            <c:ext xmlns:c16="http://schemas.microsoft.com/office/drawing/2014/chart" uri="{C3380CC4-5D6E-409C-BE32-E72D297353CC}">
              <c16:uniqueId val="{00000004-8A09-41E8-869E-A1B69A3118D5}"/>
            </c:ext>
          </c:extLst>
        </c:ser>
        <c:dLbls>
          <c:showLegendKey val="0"/>
          <c:showVal val="0"/>
          <c:showCatName val="0"/>
          <c:showSerName val="0"/>
          <c:showPercent val="0"/>
          <c:showBubbleSize val="0"/>
        </c:dLbls>
        <c:gapWidth val="150"/>
        <c:axId val="153084672"/>
        <c:axId val="153086208"/>
      </c:barChart>
      <c:catAx>
        <c:axId val="153084672"/>
        <c:scaling>
          <c:orientation val="minMax"/>
        </c:scaling>
        <c:delete val="0"/>
        <c:axPos val="l"/>
        <c:numFmt formatCode="General" sourceLinked="0"/>
        <c:majorTickMark val="out"/>
        <c:minorTickMark val="none"/>
        <c:tickLblPos val="nextTo"/>
        <c:crossAx val="153086208"/>
        <c:crosses val="autoZero"/>
        <c:auto val="1"/>
        <c:lblAlgn val="ctr"/>
        <c:lblOffset val="100"/>
        <c:noMultiLvlLbl val="0"/>
      </c:catAx>
      <c:valAx>
        <c:axId val="153086208"/>
        <c:scaling>
          <c:orientation val="minMax"/>
        </c:scaling>
        <c:delete val="0"/>
        <c:axPos val="b"/>
        <c:majorGridlines/>
        <c:numFmt formatCode="0%" sourceLinked="1"/>
        <c:majorTickMark val="out"/>
        <c:minorTickMark val="none"/>
        <c:tickLblPos val="nextTo"/>
        <c:crossAx val="153084672"/>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ru-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manualLayout>
          <c:layoutTarget val="inner"/>
          <c:xMode val="edge"/>
          <c:yMode val="edge"/>
          <c:x val="4.9233886480802284E-2"/>
          <c:y val="9.037405808145034E-2"/>
          <c:w val="0.78587926509186368"/>
          <c:h val="0.85641746001261598"/>
        </c:manualLayout>
      </c:layout>
      <c:ofPieChart>
        <c:ofPieType val="bar"/>
        <c:varyColors val="1"/>
        <c:ser>
          <c:idx val="0"/>
          <c:order val="0"/>
          <c:tx>
            <c:strRef>
              <c:f>Лист1!$B$1</c:f>
              <c:strCache>
                <c:ptCount val="1"/>
                <c:pt idx="0">
                  <c:v>Продажи</c:v>
                </c:pt>
              </c:strCache>
            </c:strRef>
          </c:tx>
          <c:dPt>
            <c:idx val="0"/>
            <c:bubble3D val="0"/>
            <c:spPr>
              <a:solidFill>
                <a:srgbClr val="0070C0"/>
              </a:solidFill>
            </c:spPr>
            <c:extLst>
              <c:ext xmlns:c16="http://schemas.microsoft.com/office/drawing/2014/chart" uri="{C3380CC4-5D6E-409C-BE32-E72D297353CC}">
                <c16:uniqueId val="{00000000-3BA7-4A2B-A5AB-579A3D3BA3C0}"/>
              </c:ext>
            </c:extLst>
          </c:dPt>
          <c:dPt>
            <c:idx val="1"/>
            <c:bubble3D val="0"/>
            <c:spPr>
              <a:solidFill>
                <a:schemeClr val="tx2">
                  <a:lumMod val="40000"/>
                  <a:lumOff val="60000"/>
                </a:schemeClr>
              </a:solidFill>
            </c:spPr>
            <c:extLst>
              <c:ext xmlns:c16="http://schemas.microsoft.com/office/drawing/2014/chart" uri="{C3380CC4-5D6E-409C-BE32-E72D297353CC}">
                <c16:uniqueId val="{00000001-3BA7-4A2B-A5AB-579A3D3BA3C0}"/>
              </c:ext>
            </c:extLst>
          </c:dPt>
          <c:dPt>
            <c:idx val="2"/>
            <c:bubble3D val="0"/>
            <c:spPr>
              <a:solidFill>
                <a:schemeClr val="tx2">
                  <a:lumMod val="40000"/>
                  <a:lumOff val="60000"/>
                </a:schemeClr>
              </a:solidFill>
            </c:spPr>
            <c:extLst>
              <c:ext xmlns:c16="http://schemas.microsoft.com/office/drawing/2014/chart" uri="{C3380CC4-5D6E-409C-BE32-E72D297353CC}">
                <c16:uniqueId val="{00000002-3BA7-4A2B-A5AB-579A3D3BA3C0}"/>
              </c:ext>
            </c:extLst>
          </c:dPt>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2021 рік</c:v>
                </c:pt>
                <c:pt idx="1">
                  <c:v>2022 рік</c:v>
                </c:pt>
              </c:strCache>
            </c:strRef>
          </c:cat>
          <c:val>
            <c:numRef>
              <c:f>Лист1!$B$2:$B$3</c:f>
              <c:numCache>
                <c:formatCode>0.00%</c:formatCode>
                <c:ptCount val="2"/>
                <c:pt idx="0">
                  <c:v>0.79700000000000004</c:v>
                </c:pt>
                <c:pt idx="1">
                  <c:v>0.77400000000000002</c:v>
                </c:pt>
              </c:numCache>
            </c:numRef>
          </c:val>
          <c:extLst>
            <c:ext xmlns:c16="http://schemas.microsoft.com/office/drawing/2014/chart" uri="{C3380CC4-5D6E-409C-BE32-E72D297353CC}">
              <c16:uniqueId val="{00000003-3BA7-4A2B-A5AB-579A3D3BA3C0}"/>
            </c:ext>
          </c:extLst>
        </c:ser>
        <c:dLbls>
          <c:showLegendKey val="0"/>
          <c:showVal val="0"/>
          <c:showCatName val="0"/>
          <c:showSerName val="0"/>
          <c:showPercent val="0"/>
          <c:showBubbleSize val="0"/>
          <c:showLeaderLines val="1"/>
        </c:dLbls>
        <c:gapWidth val="100"/>
        <c:secondPieSize val="75"/>
        <c:serLines/>
      </c:of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B913F-682D-4E49-8F46-029FDFE5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3271</Words>
  <Characters>18649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stepanyuk</dc:creator>
  <cp:lastModifiedBy>Ирина Кондратюк</cp:lastModifiedBy>
  <cp:revision>8</cp:revision>
  <cp:lastPrinted>2021-01-18T12:22:00Z</cp:lastPrinted>
  <dcterms:created xsi:type="dcterms:W3CDTF">2023-02-13T09:05:00Z</dcterms:created>
  <dcterms:modified xsi:type="dcterms:W3CDTF">2024-02-12T11:30:00Z</dcterms:modified>
</cp:coreProperties>
</file>