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D3" w:rsidRDefault="00A56ED3" w:rsidP="00A56ED3">
      <w:pPr>
        <w:pStyle w:val="a4"/>
        <w:widowControl w:val="0"/>
        <w:spacing w:before="0" w:beforeAutospacing="0" w:after="40" w:afterAutospacing="0"/>
        <w:ind w:left="5664" w:firstLine="708"/>
        <w:rPr>
          <w:rFonts w:ascii="HelveticaNeueCyr-Roman" w:hAnsi="HelveticaNeueCyr-Roman"/>
          <w:color w:val="3A3A3A"/>
        </w:rPr>
      </w:pPr>
      <w:r>
        <w:rPr>
          <w:rFonts w:ascii="HelveticaNeueCyr-Roman" w:hAnsi="HelveticaNeueCyr-Roman"/>
          <w:color w:val="3A3A3A"/>
        </w:rPr>
        <w:t>ЗАТВЕРДЖЕНО</w:t>
      </w:r>
    </w:p>
    <w:p w:rsidR="00A56ED3" w:rsidRDefault="00A56ED3" w:rsidP="00A56ED3">
      <w:pPr>
        <w:pStyle w:val="a4"/>
        <w:widowControl w:val="0"/>
        <w:spacing w:before="0" w:beforeAutospacing="0" w:after="40" w:afterAutospacing="0"/>
        <w:ind w:left="5664"/>
        <w:rPr>
          <w:rFonts w:ascii="HelveticaNeueCyr-Roman" w:hAnsi="HelveticaNeueCyr-Roman"/>
          <w:color w:val="3A3A3A"/>
        </w:rPr>
      </w:pPr>
      <w:r>
        <w:rPr>
          <w:rFonts w:ascii="HelveticaNeueCyr-Roman" w:hAnsi="HelveticaNeueCyr-Roman"/>
          <w:color w:val="3A3A3A"/>
        </w:rPr>
        <w:t>наказом керівника апарату</w:t>
      </w:r>
    </w:p>
    <w:p w:rsidR="00A56ED3" w:rsidRDefault="00A56ED3" w:rsidP="00A56ED3">
      <w:pPr>
        <w:pStyle w:val="a4"/>
        <w:widowControl w:val="0"/>
        <w:spacing w:before="0" w:beforeAutospacing="0" w:after="40" w:afterAutospacing="0"/>
        <w:ind w:left="5664"/>
        <w:rPr>
          <w:rFonts w:ascii="HelveticaNeueCyr-Roman" w:hAnsi="HelveticaNeueCyr-Roman"/>
          <w:color w:val="3A3A3A"/>
        </w:rPr>
      </w:pPr>
      <w:r>
        <w:rPr>
          <w:rFonts w:ascii="HelveticaNeueCyr-Roman" w:hAnsi="HelveticaNeueCyr-Roman"/>
          <w:color w:val="3A3A3A"/>
        </w:rPr>
        <w:t>Верховинськог</w:t>
      </w:r>
      <w:r>
        <w:rPr>
          <w:rFonts w:ascii="HelveticaNeueCyr-Roman" w:hAnsi="HelveticaNeueCyr-Roman" w:hint="eastAsia"/>
          <w:color w:val="3A3A3A"/>
        </w:rPr>
        <w:t>о</w:t>
      </w:r>
      <w:r>
        <w:rPr>
          <w:rFonts w:ascii="HelveticaNeueCyr-Roman" w:hAnsi="HelveticaNeueCyr-Roman"/>
          <w:color w:val="3A3A3A"/>
        </w:rPr>
        <w:t xml:space="preserve"> районного суду</w:t>
      </w:r>
    </w:p>
    <w:p w:rsidR="00A56ED3" w:rsidRDefault="00A56ED3" w:rsidP="00A56ED3">
      <w:pPr>
        <w:pStyle w:val="a4"/>
        <w:widowControl w:val="0"/>
        <w:spacing w:before="0" w:beforeAutospacing="0" w:after="40" w:afterAutospacing="0"/>
        <w:ind w:left="4956" w:firstLine="708"/>
        <w:rPr>
          <w:rFonts w:ascii="HelveticaNeueCyr-Roman" w:hAnsi="HelveticaNeueCyr-Roman"/>
          <w:color w:val="3A3A3A"/>
        </w:rPr>
      </w:pPr>
      <w:r>
        <w:rPr>
          <w:rFonts w:ascii="HelveticaNeueCyr-Roman" w:hAnsi="HelveticaNeueCyr-Roman"/>
          <w:color w:val="3A3A3A"/>
        </w:rPr>
        <w:t>Івано-Франківської  області</w:t>
      </w:r>
    </w:p>
    <w:p w:rsidR="00A56ED3" w:rsidRPr="00D12229" w:rsidRDefault="00A56ED3" w:rsidP="00A56ED3">
      <w:pPr>
        <w:pStyle w:val="a4"/>
        <w:widowControl w:val="0"/>
        <w:spacing w:before="0" w:beforeAutospacing="0" w:after="40" w:afterAutospacing="0"/>
        <w:ind w:left="4956" w:firstLine="708"/>
        <w:rPr>
          <w:rFonts w:ascii="HelveticaNeueCyr-Roman" w:hAnsi="HelveticaNeueCyr-Roman"/>
          <w:color w:val="000000" w:themeColor="text1"/>
        </w:rPr>
      </w:pPr>
      <w:r w:rsidRPr="00D12229">
        <w:rPr>
          <w:rFonts w:ascii="HelveticaNeueCyr-Roman" w:hAnsi="HelveticaNeueCyr-Roman"/>
          <w:color w:val="000000" w:themeColor="text1"/>
        </w:rPr>
        <w:t xml:space="preserve">від 03.02.2025 року № </w:t>
      </w:r>
      <w:r w:rsidRPr="00D12229">
        <w:rPr>
          <w:rFonts w:ascii="HelveticaNeueCyr-Roman" w:hAnsi="HelveticaNeueCyr-Roman"/>
          <w:color w:val="000000" w:themeColor="text1"/>
          <w:lang w:val="en-US"/>
        </w:rPr>
        <w:t>7/</w:t>
      </w:r>
      <w:r w:rsidRPr="00D12229">
        <w:rPr>
          <w:rFonts w:ascii="HelveticaNeueCyr-Roman" w:hAnsi="HelveticaNeueCyr-Roman"/>
          <w:color w:val="000000" w:themeColor="text1"/>
        </w:rPr>
        <w:t>02-02/25 </w:t>
      </w:r>
    </w:p>
    <w:p w:rsidR="00A56ED3" w:rsidRDefault="00A56ED3" w:rsidP="00A56ED3">
      <w:pPr>
        <w:pStyle w:val="a4"/>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A56ED3" w:rsidRPr="001E0869" w:rsidRDefault="00A56ED3" w:rsidP="00A56ED3">
      <w:pPr>
        <w:pStyle w:val="a4"/>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A56ED3" w:rsidRDefault="00A56ED3" w:rsidP="00A56ED3">
      <w:pPr>
        <w:pStyle w:val="a4"/>
        <w:widowControl w:val="0"/>
        <w:spacing w:before="0" w:beforeAutospacing="0" w:after="40" w:afterAutospacing="0"/>
        <w:rPr>
          <w:rFonts w:ascii="HelveticaNeueCyr-Roman" w:hAnsi="HelveticaNeueCyr-Roman"/>
          <w:color w:val="3A3A3A"/>
        </w:rPr>
      </w:pPr>
      <w:r>
        <w:rPr>
          <w:rStyle w:val="a6"/>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A56ED3" w:rsidTr="00F76EDA">
        <w:tc>
          <w:tcPr>
            <w:tcW w:w="9600" w:type="dxa"/>
            <w:gridSpan w:val="2"/>
            <w:vAlign w:val="center"/>
            <w:hideMark/>
          </w:tcPr>
          <w:p w:rsidR="00A56ED3" w:rsidRDefault="00A56ED3" w:rsidP="00F76EDA">
            <w:pPr>
              <w:pStyle w:val="a4"/>
              <w:widowControl w:val="0"/>
              <w:spacing w:before="0" w:beforeAutospacing="0" w:after="40" w:afterAutospacing="0"/>
              <w:jc w:val="center"/>
            </w:pPr>
            <w:r>
              <w:rPr>
                <w:rStyle w:val="a6"/>
              </w:rPr>
              <w:t>Загальні умови</w:t>
            </w:r>
            <w:bookmarkStart w:id="0" w:name="_GoBack"/>
            <w:bookmarkEnd w:id="0"/>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Назва та категорія посади, стосовно якої прийнято рішення про необхідність призначення</w:t>
            </w:r>
          </w:p>
        </w:tc>
        <w:tc>
          <w:tcPr>
            <w:tcW w:w="7082" w:type="dxa"/>
            <w:vAlign w:val="center"/>
            <w:hideMark/>
          </w:tcPr>
          <w:p w:rsidR="00A56ED3" w:rsidRDefault="00A56ED3" w:rsidP="00F76EDA">
            <w:pPr>
              <w:pStyle w:val="a4"/>
              <w:widowControl w:val="0"/>
              <w:spacing w:before="0" w:beforeAutospacing="0" w:after="40" w:afterAutospacing="0"/>
              <w:ind w:left="119" w:right="107" w:firstLine="425"/>
              <w:jc w:val="both"/>
              <w:rPr>
                <w:lang w:eastAsia="ru-RU"/>
              </w:rPr>
            </w:pPr>
            <w:r>
              <w:t xml:space="preserve">Провідний спеціаліст Верховинського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A56ED3" w:rsidRDefault="00A56ED3" w:rsidP="00F76EDA">
            <w:pPr>
              <w:pStyle w:val="a4"/>
              <w:widowControl w:val="0"/>
              <w:spacing w:before="0" w:beforeAutospacing="0" w:after="40" w:afterAutospacing="0"/>
              <w:ind w:left="119" w:right="107" w:firstLine="425"/>
              <w:jc w:val="both"/>
            </w:pPr>
            <w:r>
              <w:t>Строк позначення (на період дії воєнного стану до призначення переможця конкурсу або до спливу 12 місячного строку з дня припинення чи скасування воєнного стану).</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pPr>
            <w:r>
              <w:rPr>
                <w:rStyle w:val="a6"/>
              </w:rPr>
              <w:t>Посадові обов’язки</w:t>
            </w:r>
          </w:p>
        </w:tc>
        <w:tc>
          <w:tcPr>
            <w:tcW w:w="7082" w:type="dxa"/>
            <w:vAlign w:val="center"/>
          </w:tcPr>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 xml:space="preserve">Здійснює прийняття справ і матеріалів, розгляд яких передбачено процесуальним законодавством.  Здійснює збір та обробку персональних даних учасників процесу. </w:t>
            </w:r>
            <w:r w:rsidRPr="009D271C">
              <w:rPr>
                <w:rFonts w:ascii="Times New Roman" w:hAnsi="Times New Roman" w:cs="Times New Roman"/>
                <w:sz w:val="24"/>
                <w:szCs w:val="24"/>
              </w:rPr>
              <w:cr/>
            </w:r>
            <w:r w:rsidRPr="009D271C">
              <w:rPr>
                <w:rFonts w:ascii="Times New Roman" w:hAnsi="Times New Roman" w:cs="Times New Roman"/>
                <w:sz w:val="24"/>
                <w:szCs w:val="24"/>
              </w:rPr>
              <w:tab/>
              <w:t xml:space="preserve">Приймає, перевіряє,  відправляє після її реєстрації в АСДС  вихідну кореспонденцію, згідно повноважень у відповідності до Положення про автоматизовану систему документообігу суду, затвердженого рішенням Ради суддів України від 26.11.2010 № 30,  згідно Інструкції з діловодства в місцевих та апеляційних судах України, затвердженої Наказом ДСА України «Про затвердження Інструкції з діловодства в місцевих та апеляційних судах України» №814 від 20.08.2019,  що надсилаються судом за межі суду. </w:t>
            </w:r>
          </w:p>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Здійснює підготовку процесуальних документів суду до відправлення, у тому числі оформляє конверти та списки відправлень (реєстрів рекомендованих з повідомленням відправлень та документів, що відправляються простою кореспонденцією), які підписуються нею, та на них проставляє печатку суду. Відправляє поштою та може вручати під розписку процесуальні документи суду (на оригіналі процесуального документа, окремому аркуші, заяві, тощо), яка обов'язково долучається до судової справи.</w:t>
            </w:r>
          </w:p>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Здійснює обробку, облік та контроль документів, судових справ за допомогою автоматизованої системи документообігу суду (далі - АСДС) і ведення діловодства в паперовій формі відповідно до Інструкції з діловодства в місцевих та апеляційних судах України, затвердженої Наказом ДСА України «Про затвердження Інструкції з діловодства в місцевих та апеляційних судах України» №814 від 20.08.2019 згідно посадової інструкції та наказів керівника апарату суду, рішень зборів суддів тощо.</w:t>
            </w:r>
          </w:p>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Під час прийому від виконавців вихідних документів обов'язково перевіряє: правильність оформлення документа (склад і розміщення в ньому всіх реквізитів); наявність і правильність зазначення адреси; наявність на документі відмітки про додатки; наявність усіх необхідних підписів на документі та додатках до нього; наявність віз на копії вихідного документа, що залишається у справах; наявність і повноту додатків; відповідність кількості примірників кількості адресатів. У разі виявлення недоліків повертає документ виконавцю для доопрацювання.</w:t>
            </w:r>
          </w:p>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lastRenderedPageBreak/>
              <w:t xml:space="preserve">Опрацьовує вихідні документи і надсилає адресатам централізовано в день їх одержання від структурного підрозділу (виконавця) або не пізніше наступного робочого дня, якщо документ надійшов в кінці робочого часу (неробочий час). </w:t>
            </w:r>
          </w:p>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 xml:space="preserve">Забезпечує зберігання судових справ та інших матеріалів (у </w:t>
            </w:r>
            <w:proofErr w:type="spellStart"/>
            <w:r w:rsidRPr="009D271C">
              <w:rPr>
                <w:rFonts w:ascii="Times New Roman" w:hAnsi="Times New Roman" w:cs="Times New Roman"/>
                <w:sz w:val="24"/>
                <w:szCs w:val="24"/>
              </w:rPr>
              <w:t>т.ч</w:t>
            </w:r>
            <w:proofErr w:type="spellEnd"/>
            <w:r w:rsidRPr="009D271C">
              <w:rPr>
                <w:rFonts w:ascii="Times New Roman" w:hAnsi="Times New Roman" w:cs="Times New Roman"/>
                <w:sz w:val="24"/>
                <w:szCs w:val="24"/>
              </w:rPr>
              <w:t>. документів з обмеженим доступом).</w:t>
            </w:r>
          </w:p>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Організовує підготовку та передачу до архіву суду номенклатурних справ за минулі роки, провадження у яких закінчено, а також іншу документацію канцелярії суду за минулі роки.</w:t>
            </w:r>
          </w:p>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Складає за встановленими формами звітність про поштові витрати (марки, конверти).</w:t>
            </w:r>
          </w:p>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Здійснює опрацювання  документів з вихідної кореспонденції суду для відправлення поштовим зв'язком відповідно до Правил надання послуг поштового зв'язку, затверджених постановою Кабінету Міністрів України від 05.03.2009 № 270 (із змінами). Вихідні документи надсилає адресатам з використанням засобів поштового та електронного зв'язку, а також готує вихідну кореспонденцію для доставки кур'єрською, фельд'єгерською службами.</w:t>
            </w:r>
          </w:p>
          <w:p w:rsidR="00A56ED3" w:rsidRPr="009D271C" w:rsidRDefault="00A56ED3" w:rsidP="00A56ED3">
            <w:pPr>
              <w:pStyle w:val="a3"/>
              <w:numPr>
                <w:ilvl w:val="0"/>
                <w:numId w:val="1"/>
              </w:numPr>
              <w:spacing w:after="40" w:line="240" w:lineRule="auto"/>
              <w:ind w:left="144" w:right="102" w:firstLine="283"/>
              <w:jc w:val="both"/>
              <w:rPr>
                <w:rFonts w:ascii="Times New Roman" w:hAnsi="Times New Roman" w:cs="Times New Roman"/>
                <w:sz w:val="24"/>
                <w:szCs w:val="24"/>
              </w:rPr>
            </w:pPr>
            <w:r w:rsidRPr="009D271C">
              <w:rPr>
                <w:rFonts w:ascii="Times New Roman" w:hAnsi="Times New Roman" w:cs="Times New Roman"/>
                <w:sz w:val="24"/>
                <w:szCs w:val="24"/>
              </w:rPr>
              <w:t>Виконує інші доручення керівника апарату суду, що стосується роботи канцелярії суду, організації діловодства в суді. Забезпечує виконання інших завдань, відповідно до наказів і розпоряджень керівника апарату суду.</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lastRenderedPageBreak/>
              <w:t>Умови оплати праці</w:t>
            </w:r>
          </w:p>
        </w:tc>
        <w:tc>
          <w:tcPr>
            <w:tcW w:w="7082" w:type="dxa"/>
            <w:vAlign w:val="center"/>
            <w:hideMark/>
          </w:tcPr>
          <w:p w:rsidR="00A56ED3" w:rsidRDefault="00A56ED3" w:rsidP="00F76EDA">
            <w:pPr>
              <w:pStyle w:val="a4"/>
              <w:widowControl w:val="0"/>
              <w:spacing w:before="0" w:beforeAutospacing="0" w:after="40" w:afterAutospacing="0"/>
              <w:ind w:left="119" w:right="107"/>
              <w:jc w:val="both"/>
            </w:pPr>
            <w:r>
              <w:t>Посадовий оклад – 12350,00 грн;</w:t>
            </w:r>
          </w:p>
          <w:p w:rsidR="00A56ED3" w:rsidRDefault="00A56ED3" w:rsidP="00F76EDA">
            <w:pPr>
              <w:pStyle w:val="a4"/>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A56ED3" w:rsidRDefault="00A56ED3" w:rsidP="00F76EDA">
            <w:pPr>
              <w:pStyle w:val="a4"/>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A56ED3" w:rsidTr="00F76EDA">
        <w:tc>
          <w:tcPr>
            <w:tcW w:w="2518" w:type="dxa"/>
            <w:vAlign w:val="center"/>
          </w:tcPr>
          <w:p w:rsidR="00A56ED3" w:rsidRDefault="00A56ED3" w:rsidP="00F76EDA">
            <w:pPr>
              <w:pStyle w:val="a4"/>
              <w:widowControl w:val="0"/>
              <w:spacing w:before="0" w:beforeAutospacing="0" w:after="40" w:afterAutospacing="0"/>
              <w:jc w:val="center"/>
              <w:rPr>
                <w:rStyle w:val="a6"/>
              </w:rPr>
            </w:pPr>
            <w:r>
              <w:rPr>
                <w:rStyle w:val="a6"/>
              </w:rPr>
              <w:t>Умови служби:</w:t>
            </w:r>
          </w:p>
        </w:tc>
        <w:tc>
          <w:tcPr>
            <w:tcW w:w="7082" w:type="dxa"/>
            <w:vAlign w:val="center"/>
          </w:tcPr>
          <w:p w:rsidR="00A56ED3" w:rsidRPr="009D271C" w:rsidRDefault="00A56ED3" w:rsidP="00F76EDA">
            <w:pPr>
              <w:pStyle w:val="a4"/>
              <w:widowControl w:val="0"/>
              <w:spacing w:before="0" w:beforeAutospacing="0" w:after="40" w:afterAutospacing="0"/>
              <w:ind w:left="119" w:right="107"/>
              <w:jc w:val="both"/>
              <w:rPr>
                <w:rFonts w:ascii="HelveticaNeueCyr-Roman" w:hAnsi="HelveticaNeueCyr-Roman"/>
                <w:color w:val="3A3A3A"/>
                <w:shd w:val="clear" w:color="auto" w:fill="FFFFFF"/>
              </w:rPr>
            </w:pPr>
            <w:r>
              <w:rPr>
                <w:rFonts w:ascii="HelveticaNeueCyr-Roman" w:hAnsi="HelveticaNeueCyr-Roman"/>
                <w:color w:val="3A3A3A"/>
                <w:shd w:val="clear" w:color="auto" w:fill="FFFFFF"/>
              </w:rPr>
              <w:t>П’ятиденний робочий тиждень з загальною тривалістю робочого часу 40 годин, зокрема: ПН, ВТ, СР, ЧТ: - з 09:00 по 18:00, ПТ: 09:00 по 16:45.</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Інформація про строковість призначення на посаду</w:t>
            </w:r>
          </w:p>
        </w:tc>
        <w:tc>
          <w:tcPr>
            <w:tcW w:w="7082" w:type="dxa"/>
            <w:vAlign w:val="center"/>
            <w:hideMark/>
          </w:tcPr>
          <w:p w:rsidR="00A56ED3" w:rsidRDefault="00A56ED3" w:rsidP="00F76EDA">
            <w:pPr>
              <w:pStyle w:val="a4"/>
              <w:widowControl w:val="0"/>
              <w:spacing w:before="0" w:beforeAutospacing="0" w:after="40" w:afterAutospacing="0"/>
              <w:ind w:left="119" w:right="107"/>
              <w:jc w:val="both"/>
            </w:pPr>
            <w:r>
              <w:t>Строкова;</w:t>
            </w:r>
          </w:p>
          <w:p w:rsidR="00A56ED3" w:rsidRDefault="00A56ED3" w:rsidP="00F76EDA">
            <w:pPr>
              <w:pStyle w:val="a4"/>
              <w:widowControl w:val="0"/>
              <w:spacing w:before="0" w:beforeAutospacing="0" w:after="40" w:afterAutospacing="0"/>
              <w:ind w:left="119" w:right="107"/>
              <w:jc w:val="both"/>
            </w:pPr>
            <w:r>
              <w:t>На період дії  воєнного стану  та до призначення на цю посаду переможця конкурсу або до спливу 12-місячного строку після припинення чи скасування воєнного стану.</w:t>
            </w:r>
          </w:p>
          <w:p w:rsidR="00A56ED3" w:rsidRDefault="00A56ED3" w:rsidP="00F76EDA">
            <w:pPr>
              <w:pStyle w:val="a4"/>
              <w:widowControl w:val="0"/>
              <w:spacing w:before="0" w:beforeAutospacing="0" w:after="40" w:afterAutospacing="0"/>
              <w:ind w:left="119" w:right="107"/>
              <w:jc w:val="both"/>
            </w:pPr>
            <w:r>
              <w:t>Для осіб, які досягли 65-річного віку строк призначення встановлюється відповідно до пункту 4 частини 2 статті 34 Закону України «Про державну службу».</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A56ED3" w:rsidRPr="001E01F2" w:rsidRDefault="00A56ED3" w:rsidP="00F76EDA">
            <w:pPr>
              <w:pStyle w:val="a4"/>
              <w:widowControl w:val="0"/>
              <w:spacing w:before="0" w:beforeAutospacing="0" w:after="40" w:afterAutospacing="0"/>
              <w:ind w:left="119" w:right="107" w:firstLine="450"/>
              <w:jc w:val="both"/>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hyperlink r:id="rId5" w:history="1">
              <w:r w:rsidRPr="008F60DF">
                <w:rPr>
                  <w:rStyle w:val="a5"/>
                  <w:rFonts w:ascii="HelveticaNeueCyr-Roman" w:hAnsi="HelveticaNeueCyr-Roman"/>
                  <w:lang w:val="en-US"/>
                </w:rPr>
                <w:t>bilak</w:t>
              </w:r>
              <w:r w:rsidRPr="008F60DF">
                <w:rPr>
                  <w:rStyle w:val="a5"/>
                  <w:rFonts w:ascii="HelveticaNeueCyr-Roman" w:hAnsi="HelveticaNeueCyr-Roman"/>
                  <w:lang w:val="ru-RU"/>
                </w:rPr>
                <w:t>@</w:t>
              </w:r>
              <w:r w:rsidRPr="008F60DF">
                <w:rPr>
                  <w:rStyle w:val="a5"/>
                  <w:rFonts w:ascii="HelveticaNeueCyr-Roman" w:hAnsi="HelveticaNeueCyr-Roman"/>
                  <w:lang w:val="en-US"/>
                </w:rPr>
                <w:t>vr</w:t>
              </w:r>
              <w:r w:rsidRPr="008F60DF">
                <w:rPr>
                  <w:rStyle w:val="a5"/>
                  <w:rFonts w:ascii="HelveticaNeueCyr-Roman" w:hAnsi="HelveticaNeueCyr-Roman"/>
                </w:rPr>
                <w:t>.if.court.gov.ua</w:t>
              </w:r>
            </w:hyperlink>
            <w:r>
              <w:rPr>
                <w:color w:val="3A3A3A"/>
              </w:rPr>
              <w:t>:</w:t>
            </w:r>
          </w:p>
          <w:p w:rsidR="00A56ED3" w:rsidRDefault="00A56ED3" w:rsidP="00F76EDA">
            <w:pPr>
              <w:pStyle w:val="a4"/>
              <w:widowControl w:val="0"/>
              <w:spacing w:before="0" w:beforeAutospacing="0" w:after="40" w:afterAutospacing="0"/>
              <w:ind w:left="119" w:right="107"/>
              <w:jc w:val="both"/>
            </w:pPr>
            <w:r>
              <w:t>-</w:t>
            </w:r>
            <w:r>
              <w:rPr>
                <w:rStyle w:val="apple-converted-space"/>
              </w:rPr>
              <w:t> </w:t>
            </w:r>
            <w:hyperlink r:id="rId6" w:history="1">
              <w:r>
                <w:rPr>
                  <w:rStyle w:val="a5"/>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A56ED3" w:rsidRDefault="00A56ED3" w:rsidP="00F76EDA">
            <w:pPr>
              <w:pStyle w:val="a4"/>
              <w:widowControl w:val="0"/>
              <w:spacing w:before="0" w:beforeAutospacing="0" w:after="40" w:afterAutospacing="0"/>
              <w:ind w:left="119" w:right="107"/>
              <w:jc w:val="both"/>
            </w:pPr>
            <w:r>
              <w:t>- документ, що посвідчує особу та підтверджує громадянство України;</w:t>
            </w:r>
          </w:p>
          <w:p w:rsidR="00A56ED3" w:rsidRDefault="00A56ED3" w:rsidP="00F76EDA">
            <w:pPr>
              <w:pStyle w:val="a4"/>
              <w:widowControl w:val="0"/>
              <w:spacing w:before="0" w:beforeAutospacing="0" w:after="40" w:afterAutospacing="0"/>
              <w:ind w:left="119" w:right="107"/>
              <w:jc w:val="both"/>
            </w:pPr>
            <w:r>
              <w:t>- документ, що підтверджує наявність відповідної освіти.</w:t>
            </w:r>
          </w:p>
          <w:p w:rsidR="00A56ED3" w:rsidRPr="001E01F2" w:rsidRDefault="00A56ED3" w:rsidP="00F76EDA">
            <w:pPr>
              <w:pStyle w:val="a4"/>
              <w:widowControl w:val="0"/>
              <w:spacing w:before="0" w:beforeAutospacing="0" w:after="40" w:afterAutospacing="0"/>
              <w:ind w:left="119" w:right="107" w:firstLine="567"/>
              <w:jc w:val="both"/>
              <w:rPr>
                <w:b/>
                <w:bCs/>
              </w:rPr>
            </w:pPr>
            <w:r>
              <w:rPr>
                <w:rStyle w:val="a6"/>
              </w:rPr>
              <w:t xml:space="preserve">Строк подання документів – до 17-00 год. </w:t>
            </w:r>
            <w:r w:rsidRPr="001E01F2">
              <w:rPr>
                <w:rStyle w:val="a6"/>
                <w:lang w:val="ru-RU"/>
              </w:rPr>
              <w:t xml:space="preserve">04 </w:t>
            </w:r>
            <w:r>
              <w:rPr>
                <w:rStyle w:val="a6"/>
              </w:rPr>
              <w:t>березня 2025 року (включно).</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 xml:space="preserve">Місце або спосіб </w:t>
            </w:r>
            <w:r>
              <w:rPr>
                <w:rStyle w:val="a6"/>
              </w:rPr>
              <w:lastRenderedPageBreak/>
              <w:t>проведення співбесіди (із зазначенням електронної платформи для комунікації дистанційно)</w:t>
            </w:r>
          </w:p>
        </w:tc>
        <w:tc>
          <w:tcPr>
            <w:tcW w:w="7082" w:type="dxa"/>
            <w:vAlign w:val="center"/>
            <w:hideMark/>
          </w:tcPr>
          <w:p w:rsidR="00A56ED3" w:rsidRDefault="00A56ED3" w:rsidP="00F76EDA">
            <w:pPr>
              <w:pStyle w:val="a4"/>
              <w:widowControl w:val="0"/>
              <w:spacing w:before="0" w:beforeAutospacing="0" w:after="40" w:afterAutospacing="0"/>
              <w:ind w:left="119" w:right="107"/>
            </w:pPr>
            <w:r>
              <w:rPr>
                <w:rStyle w:val="a6"/>
              </w:rPr>
              <w:lastRenderedPageBreak/>
              <w:t>11-00 год. 06 березня 2025 року.</w:t>
            </w:r>
            <w:r>
              <w:rPr>
                <w:rStyle w:val="apple-converted-space"/>
                <w:b/>
                <w:bCs/>
              </w:rPr>
              <w:t> </w:t>
            </w:r>
          </w:p>
          <w:p w:rsidR="00A56ED3" w:rsidRPr="001E01F2" w:rsidRDefault="00A56ED3" w:rsidP="00F76EDA">
            <w:pPr>
              <w:pStyle w:val="a4"/>
              <w:widowControl w:val="0"/>
              <w:tabs>
                <w:tab w:val="left" w:pos="0"/>
              </w:tabs>
              <w:spacing w:before="0" w:beforeAutospacing="0" w:after="40" w:afterAutospacing="0"/>
              <w:ind w:left="119" w:right="-1" w:firstLine="567"/>
              <w:jc w:val="both"/>
              <w:rPr>
                <w:rFonts w:ascii="HelveticaNeueCyr-Roman" w:hAnsi="HelveticaNeueCyr-Roman"/>
                <w:color w:val="3A3A3A"/>
              </w:rPr>
            </w:pPr>
            <w:r>
              <w:lastRenderedPageBreak/>
              <w:t xml:space="preserve">За результатами опрацювання резюме, у приміщенні Верховинського районного суду Івано-Франківської області за </w:t>
            </w:r>
            <w:proofErr w:type="spellStart"/>
            <w:r>
              <w:t>адресою</w:t>
            </w:r>
            <w:proofErr w:type="spellEnd"/>
            <w:r>
              <w:t xml:space="preserve">: </w:t>
            </w:r>
            <w:r>
              <w:rPr>
                <w:rFonts w:ascii="HelveticaNeueCyr-Roman" w:hAnsi="HelveticaNeueCyr-Roman"/>
                <w:color w:val="3A3A3A"/>
              </w:rPr>
              <w:t xml:space="preserve">вул. </w:t>
            </w:r>
            <w:proofErr w:type="spellStart"/>
            <w:r>
              <w:rPr>
                <w:rFonts w:ascii="HelveticaNeueCyr-Roman" w:hAnsi="HelveticaNeueCyr-Roman"/>
                <w:color w:val="3A3A3A"/>
              </w:rPr>
              <w:t>Жабʼєвська</w:t>
            </w:r>
            <w:proofErr w:type="spellEnd"/>
            <w:r>
              <w:rPr>
                <w:rFonts w:ascii="HelveticaNeueCyr-Roman" w:hAnsi="HelveticaNeueCyr-Roman"/>
                <w:color w:val="3A3A3A"/>
              </w:rPr>
              <w:t xml:space="preserve">, 76 селище Верховина Івано-Франківська області - </w:t>
            </w:r>
            <w:r>
              <w:t>проведення співбесіди за фізичної присутності кандидатів на посаду.</w:t>
            </w:r>
          </w:p>
        </w:tc>
      </w:tr>
      <w:tr w:rsidR="00A56ED3" w:rsidTr="00F76EDA">
        <w:tc>
          <w:tcPr>
            <w:tcW w:w="2518" w:type="dxa"/>
            <w:vAlign w:val="center"/>
            <w:hideMark/>
          </w:tcPr>
          <w:p w:rsidR="00A56ED3" w:rsidRPr="008F30FF" w:rsidRDefault="00A56ED3" w:rsidP="00F76EDA">
            <w:pPr>
              <w:pStyle w:val="a4"/>
              <w:widowControl w:val="0"/>
              <w:spacing w:before="0" w:beforeAutospacing="0" w:after="40" w:afterAutospacing="0"/>
              <w:jc w:val="center"/>
              <w:rPr>
                <w:b/>
                <w:bCs/>
              </w:rPr>
            </w:pPr>
            <w:r w:rsidRPr="008F30FF">
              <w:rPr>
                <w:b/>
                <w:bCs/>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A56ED3" w:rsidRDefault="00A56ED3" w:rsidP="00F76EDA">
            <w:pPr>
              <w:pStyle w:val="a4"/>
              <w:widowControl w:val="0"/>
              <w:spacing w:before="0" w:beforeAutospacing="0" w:after="40" w:afterAutospacing="0"/>
              <w:ind w:left="119" w:right="107"/>
            </w:pPr>
            <w:r>
              <w:t>Білак Вікторія Дмитрівна</w:t>
            </w:r>
          </w:p>
          <w:p w:rsidR="00A56ED3" w:rsidRDefault="00A56ED3" w:rsidP="00F76EDA">
            <w:pPr>
              <w:pStyle w:val="a4"/>
              <w:widowControl w:val="0"/>
              <w:spacing w:before="0" w:beforeAutospacing="0" w:after="40" w:afterAutospacing="0"/>
              <w:ind w:left="119" w:right="107"/>
            </w:pPr>
            <w:r>
              <w:t>(097) 921 58 97</w:t>
            </w:r>
          </w:p>
          <w:p w:rsidR="00A56ED3" w:rsidRDefault="00A56ED3" w:rsidP="00F76EDA">
            <w:pPr>
              <w:pStyle w:val="a4"/>
              <w:widowControl w:val="0"/>
              <w:spacing w:before="0" w:beforeAutospacing="0" w:after="40" w:afterAutospacing="0"/>
              <w:ind w:left="119" w:right="107"/>
            </w:pPr>
            <w:r>
              <w:t> </w:t>
            </w:r>
            <w:hyperlink r:id="rId7" w:history="1">
              <w:r w:rsidRPr="008F60DF">
                <w:rPr>
                  <w:rStyle w:val="a5"/>
                  <w:lang w:val="en-US"/>
                </w:rPr>
                <w:t>bilak</w:t>
              </w:r>
              <w:r w:rsidRPr="008F60DF">
                <w:rPr>
                  <w:rStyle w:val="a5"/>
                </w:rPr>
                <w:t>@</w:t>
              </w:r>
              <w:r w:rsidRPr="008F60DF">
                <w:rPr>
                  <w:rStyle w:val="a5"/>
                  <w:lang w:val="en-US"/>
                </w:rPr>
                <w:t>vr</w:t>
              </w:r>
              <w:r w:rsidRPr="008F60DF">
                <w:rPr>
                  <w:rStyle w:val="a5"/>
                </w:rPr>
                <w:t>.if.court.gov.ua</w:t>
              </w:r>
            </w:hyperlink>
          </w:p>
        </w:tc>
      </w:tr>
      <w:tr w:rsidR="00A56ED3" w:rsidTr="00F76EDA">
        <w:tc>
          <w:tcPr>
            <w:tcW w:w="9600" w:type="dxa"/>
            <w:gridSpan w:val="2"/>
            <w:vAlign w:val="center"/>
            <w:hideMark/>
          </w:tcPr>
          <w:p w:rsidR="00A56ED3" w:rsidRPr="008F30FF" w:rsidRDefault="00A56ED3" w:rsidP="00F76EDA">
            <w:pPr>
              <w:pStyle w:val="a4"/>
              <w:widowControl w:val="0"/>
              <w:spacing w:before="0" w:beforeAutospacing="0" w:after="40" w:afterAutospacing="0"/>
              <w:jc w:val="center"/>
              <w:rPr>
                <w:lang w:val="en-US"/>
              </w:rPr>
            </w:pPr>
            <w:r>
              <w:rPr>
                <w:rStyle w:val="a6"/>
              </w:rPr>
              <w:t>Кваліфікаційні вимоги</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Освіта</w:t>
            </w:r>
          </w:p>
        </w:tc>
        <w:tc>
          <w:tcPr>
            <w:tcW w:w="7082" w:type="dxa"/>
            <w:vAlign w:val="center"/>
            <w:hideMark/>
          </w:tcPr>
          <w:p w:rsidR="00A56ED3" w:rsidRDefault="00A56ED3" w:rsidP="00F76EDA">
            <w:pPr>
              <w:pStyle w:val="a4"/>
              <w:widowControl w:val="0"/>
              <w:spacing w:before="0" w:beforeAutospacing="0" w:after="40" w:afterAutospacing="0"/>
              <w:ind w:left="144" w:right="244"/>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8" w:anchor="n92" w:history="1">
              <w:r w:rsidRPr="00E65A70">
                <w:rPr>
                  <w:rStyle w:val="a5"/>
                  <w:shd w:val="clear" w:color="auto" w:fill="FFFFFF"/>
                </w:rPr>
                <w:t>категорії "В"</w:t>
              </w:r>
            </w:hyperlink>
            <w:r w:rsidRPr="00E65A70">
              <w:t xml:space="preserve"> </w:t>
            </w:r>
            <w:r w:rsidRPr="00E65A70">
              <w:rPr>
                <w:rFonts w:ascii="HelveticaNeueCyr-Roman" w:hAnsi="HelveticaNeueCyr-Roman"/>
                <w:u w:val="single"/>
                <w:shd w:val="clear" w:color="auto" w:fill="FFFFFF"/>
              </w:rPr>
              <w:t>не нижче:</w:t>
            </w:r>
            <w:r w:rsidRPr="00E65A70">
              <w:rPr>
                <w:rFonts w:ascii="HelveticaNeueCyr-Roman" w:hAnsi="HelveticaNeueCyr-Roman"/>
                <w:shd w:val="clear" w:color="auto" w:fill="FFFFFF"/>
              </w:rPr>
              <w:t xml:space="preserve"> </w:t>
            </w:r>
            <w:r w:rsidRPr="00E65A70">
              <w:rPr>
                <w:u w:val="single"/>
                <w:shd w:val="clear" w:color="auto" w:fill="FFFFFF"/>
              </w:rPr>
              <w:t>бакалавра, молодшого бакалав</w:t>
            </w:r>
            <w:r>
              <w:rPr>
                <w:u w:val="single"/>
                <w:shd w:val="clear" w:color="auto" w:fill="FFFFFF"/>
              </w:rPr>
              <w:t>ра</w:t>
            </w:r>
            <w:r w:rsidRPr="00655974">
              <w:rPr>
                <w:shd w:val="clear" w:color="auto" w:fill="FFFFFF"/>
              </w:rPr>
              <w:t xml:space="preserve"> - в</w:t>
            </w:r>
            <w:r w:rsidRPr="00655974">
              <w:rPr>
                <w:rFonts w:ascii="HelveticaNeueCyr-Roman" w:hAnsi="HelveticaNeueCyr-Roman"/>
                <w:color w:val="3A3A3A"/>
                <w:shd w:val="clear" w:color="auto" w:fill="FFFFFF"/>
              </w:rPr>
              <w:t>ідповідного</w:t>
            </w:r>
            <w:r>
              <w:rPr>
                <w:rFonts w:ascii="HelveticaNeueCyr-Roman" w:hAnsi="HelveticaNeueCyr-Roman"/>
                <w:color w:val="3A3A3A"/>
                <w:shd w:val="clear" w:color="auto" w:fill="FFFFFF"/>
              </w:rPr>
              <w:t xml:space="preserve"> професійного спрямування.</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Досвід роботи</w:t>
            </w:r>
          </w:p>
        </w:tc>
        <w:tc>
          <w:tcPr>
            <w:tcW w:w="7082" w:type="dxa"/>
            <w:vAlign w:val="center"/>
            <w:hideMark/>
          </w:tcPr>
          <w:p w:rsidR="00A56ED3" w:rsidRDefault="00A56ED3" w:rsidP="00F76EDA">
            <w:pPr>
              <w:pStyle w:val="a4"/>
              <w:widowControl w:val="0"/>
              <w:spacing w:before="0" w:beforeAutospacing="0" w:after="40" w:afterAutospacing="0"/>
              <w:ind w:left="144" w:right="244"/>
            </w:pPr>
            <w:r>
              <w:t>Без вимог</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Володіння державною мовою</w:t>
            </w:r>
          </w:p>
        </w:tc>
        <w:tc>
          <w:tcPr>
            <w:tcW w:w="7082" w:type="dxa"/>
            <w:vAlign w:val="center"/>
            <w:hideMark/>
          </w:tcPr>
          <w:p w:rsidR="00A56ED3" w:rsidRDefault="00A56ED3" w:rsidP="00F76EDA">
            <w:pPr>
              <w:pStyle w:val="a4"/>
              <w:widowControl w:val="0"/>
              <w:spacing w:before="0" w:beforeAutospacing="0" w:after="40" w:afterAutospacing="0"/>
              <w:ind w:left="144" w:right="244"/>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Pr>
                <w:rStyle w:val="a6"/>
              </w:rPr>
              <w:t>не</w:t>
            </w:r>
            <w:r w:rsidRPr="008F30FF">
              <w:rPr>
                <w:rStyle w:val="a6"/>
                <w:lang w:val="ru-RU"/>
              </w:rPr>
              <w:t xml:space="preserve"> </w:t>
            </w:r>
            <w:r>
              <w:rPr>
                <w:rStyle w:val="a6"/>
              </w:rPr>
              <w:t>подає</w:t>
            </w:r>
            <w:r w:rsidRPr="008F30FF">
              <w:rPr>
                <w:rStyle w:val="a6"/>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Володіння іноземною мовою</w:t>
            </w:r>
          </w:p>
        </w:tc>
        <w:tc>
          <w:tcPr>
            <w:tcW w:w="7082" w:type="dxa"/>
            <w:vAlign w:val="center"/>
            <w:hideMark/>
          </w:tcPr>
          <w:p w:rsidR="00A56ED3" w:rsidRDefault="00A56ED3" w:rsidP="00F76EDA">
            <w:pPr>
              <w:pStyle w:val="a4"/>
              <w:widowControl w:val="0"/>
              <w:spacing w:before="0" w:beforeAutospacing="0" w:after="40" w:afterAutospacing="0"/>
              <w:ind w:left="144" w:right="244"/>
            </w:pPr>
            <w:r>
              <w:t>Не потребує</w:t>
            </w:r>
          </w:p>
        </w:tc>
      </w:tr>
      <w:tr w:rsidR="00A56ED3" w:rsidTr="00F76EDA">
        <w:tc>
          <w:tcPr>
            <w:tcW w:w="9600" w:type="dxa"/>
            <w:gridSpan w:val="2"/>
            <w:vAlign w:val="center"/>
            <w:hideMark/>
          </w:tcPr>
          <w:p w:rsidR="00A56ED3" w:rsidRPr="008F30FF" w:rsidRDefault="00A56ED3" w:rsidP="00F76EDA">
            <w:pPr>
              <w:pStyle w:val="a4"/>
              <w:widowControl w:val="0"/>
              <w:spacing w:before="0" w:beforeAutospacing="0" w:after="40" w:afterAutospacing="0"/>
              <w:jc w:val="center"/>
              <w:rPr>
                <w:lang w:val="en-US"/>
              </w:rPr>
            </w:pPr>
            <w:r>
              <w:rPr>
                <w:rStyle w:val="a6"/>
              </w:rPr>
              <w:t>Вимоги до компетентності</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Вимога</w:t>
            </w:r>
          </w:p>
        </w:tc>
        <w:tc>
          <w:tcPr>
            <w:tcW w:w="7082" w:type="dxa"/>
            <w:vAlign w:val="center"/>
            <w:hideMark/>
          </w:tcPr>
          <w:p w:rsidR="00A56ED3" w:rsidRDefault="00A56ED3" w:rsidP="00F76EDA">
            <w:pPr>
              <w:pStyle w:val="a4"/>
              <w:widowControl w:val="0"/>
              <w:spacing w:before="0" w:beforeAutospacing="0" w:after="40" w:afterAutospacing="0"/>
              <w:jc w:val="center"/>
            </w:pPr>
            <w:r>
              <w:rPr>
                <w:rStyle w:val="a6"/>
              </w:rPr>
              <w:t>Компоненти вимоги</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Цифрова грамотність</w:t>
            </w:r>
          </w:p>
        </w:tc>
        <w:tc>
          <w:tcPr>
            <w:tcW w:w="7082" w:type="dxa"/>
            <w:vAlign w:val="center"/>
            <w:hideMark/>
          </w:tcPr>
          <w:p w:rsidR="00A56ED3" w:rsidRDefault="00A56ED3" w:rsidP="00F76EDA">
            <w:pPr>
              <w:pStyle w:val="a4"/>
              <w:widowControl w:val="0"/>
              <w:spacing w:before="0" w:beforeAutospacing="0" w:after="4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A56ED3" w:rsidRDefault="00A56ED3" w:rsidP="00F76EDA">
            <w:pPr>
              <w:pStyle w:val="a4"/>
              <w:widowControl w:val="0"/>
              <w:spacing w:before="0" w:beforeAutospacing="0" w:after="40" w:afterAutospacing="0"/>
              <w:ind w:left="144" w:right="102"/>
              <w:jc w:val="both"/>
            </w:pPr>
            <w: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A56ED3" w:rsidRDefault="00A56ED3" w:rsidP="00F76EDA">
            <w:pPr>
              <w:pStyle w:val="a4"/>
              <w:widowControl w:val="0"/>
              <w:spacing w:before="0" w:beforeAutospacing="0" w:after="4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A56ED3" w:rsidRDefault="00A56ED3" w:rsidP="00F76EDA">
            <w:pPr>
              <w:pStyle w:val="a4"/>
              <w:widowControl w:val="0"/>
              <w:spacing w:before="0" w:beforeAutospacing="0" w:after="40" w:afterAutospacing="0"/>
              <w:ind w:left="144" w:right="102"/>
              <w:jc w:val="both"/>
            </w:pPr>
            <w:r>
              <w:t>-          здатність уникати небезпек в цифровому середовищі, захищати особисті та конфіденційні дані;</w:t>
            </w:r>
          </w:p>
          <w:p w:rsidR="00A56ED3" w:rsidRDefault="00A56ED3" w:rsidP="00F76EDA">
            <w:pPr>
              <w:pStyle w:val="a4"/>
              <w:widowControl w:val="0"/>
              <w:spacing w:before="0" w:beforeAutospacing="0" w:after="40" w:afterAutospacing="0"/>
              <w:ind w:left="144" w:right="102"/>
              <w:jc w:val="both"/>
            </w:pPr>
            <w: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A56ED3" w:rsidRDefault="00A56ED3" w:rsidP="00F76EDA">
            <w:pPr>
              <w:pStyle w:val="a4"/>
              <w:widowControl w:val="0"/>
              <w:spacing w:before="0" w:beforeAutospacing="0" w:after="40" w:afterAutospacing="0"/>
              <w:ind w:left="144" w:right="102"/>
              <w:jc w:val="both"/>
            </w:pPr>
            <w:r>
              <w:lastRenderedPageBreak/>
              <w:t>-          здатність використовувати відкриті цифрові ресурси для власного професійного розвитку</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lastRenderedPageBreak/>
              <w:t>Необхідні ділові якості</w:t>
            </w:r>
          </w:p>
        </w:tc>
        <w:tc>
          <w:tcPr>
            <w:tcW w:w="7082" w:type="dxa"/>
            <w:vAlign w:val="center"/>
            <w:hideMark/>
          </w:tcPr>
          <w:p w:rsidR="00A56ED3" w:rsidRDefault="00A56ED3" w:rsidP="00F76EDA">
            <w:pPr>
              <w:pStyle w:val="a4"/>
              <w:widowControl w:val="0"/>
              <w:spacing w:before="0" w:beforeAutospacing="0" w:after="40" w:afterAutospacing="0"/>
              <w:ind w:left="144" w:right="102"/>
            </w:pPr>
            <w:r>
              <w:t>-          діалогове спілкування (письмове і усне),</w:t>
            </w:r>
          </w:p>
          <w:p w:rsidR="00A56ED3" w:rsidRDefault="00A56ED3" w:rsidP="00F76EDA">
            <w:pPr>
              <w:pStyle w:val="a4"/>
              <w:widowControl w:val="0"/>
              <w:spacing w:before="0" w:beforeAutospacing="0" w:after="40" w:afterAutospacing="0"/>
              <w:ind w:left="144" w:right="102"/>
              <w:jc w:val="both"/>
            </w:pPr>
            <w:r>
              <w:t>-           вміння розподіляти роботу, вміння активно слухати, виваженість, здатність концентруватись на деталях,</w:t>
            </w:r>
          </w:p>
          <w:p w:rsidR="00A56ED3" w:rsidRDefault="00A56ED3" w:rsidP="00F76EDA">
            <w:pPr>
              <w:pStyle w:val="a4"/>
              <w:widowControl w:val="0"/>
              <w:spacing w:before="0" w:beforeAutospacing="0" w:after="40" w:afterAutospacing="0"/>
              <w:ind w:left="144" w:right="102"/>
              <w:jc w:val="both"/>
            </w:pPr>
            <w:r>
              <w:t>-          уміння дотримуватись субординації,</w:t>
            </w:r>
          </w:p>
          <w:p w:rsidR="00A56ED3" w:rsidRDefault="00A56ED3" w:rsidP="00F76EDA">
            <w:pPr>
              <w:pStyle w:val="a4"/>
              <w:widowControl w:val="0"/>
              <w:spacing w:before="0" w:beforeAutospacing="0" w:after="40" w:afterAutospacing="0"/>
              <w:ind w:left="144" w:right="102"/>
              <w:jc w:val="both"/>
            </w:pPr>
            <w:r>
              <w:t>-          стійкість, вміння уступати, адаптивність, вміння вести перемовини, не конфліктність</w:t>
            </w:r>
          </w:p>
          <w:p w:rsidR="00A56ED3" w:rsidRDefault="00A56ED3" w:rsidP="00F76EDA">
            <w:pPr>
              <w:pStyle w:val="a4"/>
              <w:widowControl w:val="0"/>
              <w:spacing w:before="0" w:beforeAutospacing="0" w:after="4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A56ED3" w:rsidRDefault="00A56ED3" w:rsidP="00F76EDA">
            <w:pPr>
              <w:pStyle w:val="a4"/>
              <w:widowControl w:val="0"/>
              <w:spacing w:before="0" w:beforeAutospacing="0" w:after="40" w:afterAutospacing="0"/>
              <w:ind w:left="144" w:right="102"/>
              <w:jc w:val="both"/>
            </w:pPr>
            <w:r>
              <w:t>-          вміння визначати пріоритети, вміння аргументовано доводити власну точку зору, стратегічне мислення,</w:t>
            </w:r>
          </w:p>
          <w:p w:rsidR="00A56ED3" w:rsidRDefault="00A56ED3" w:rsidP="00F76EDA">
            <w:pPr>
              <w:pStyle w:val="a4"/>
              <w:widowControl w:val="0"/>
              <w:spacing w:before="0" w:beforeAutospacing="0" w:after="40" w:afterAutospacing="0"/>
              <w:ind w:left="144" w:right="102"/>
              <w:jc w:val="both"/>
            </w:pPr>
            <w:r>
              <w:t>-           навички розв’язання проблем, уміння працювати в команді </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Необхідні особистісні якості</w:t>
            </w:r>
          </w:p>
        </w:tc>
        <w:tc>
          <w:tcPr>
            <w:tcW w:w="7082" w:type="dxa"/>
            <w:vAlign w:val="center"/>
            <w:hideMark/>
          </w:tcPr>
          <w:p w:rsidR="00A56ED3" w:rsidRDefault="00A56ED3" w:rsidP="00F76EDA">
            <w:pPr>
              <w:pStyle w:val="a4"/>
              <w:widowControl w:val="0"/>
              <w:spacing w:before="0" w:beforeAutospacing="0" w:after="40" w:afterAutospacing="0"/>
              <w:ind w:left="144" w:right="102"/>
            </w:pPr>
            <w:r>
              <w:t>-          Ініціативність;</w:t>
            </w:r>
          </w:p>
          <w:p w:rsidR="00A56ED3" w:rsidRDefault="00A56ED3" w:rsidP="00F76EDA">
            <w:pPr>
              <w:pStyle w:val="a4"/>
              <w:widowControl w:val="0"/>
              <w:spacing w:before="0" w:beforeAutospacing="0" w:after="40" w:afterAutospacing="0"/>
              <w:ind w:left="144" w:right="102"/>
            </w:pPr>
            <w:r>
              <w:t>-          Порядність;</w:t>
            </w:r>
          </w:p>
          <w:p w:rsidR="00A56ED3" w:rsidRDefault="00A56ED3" w:rsidP="00F76EDA">
            <w:pPr>
              <w:pStyle w:val="a4"/>
              <w:widowControl w:val="0"/>
              <w:spacing w:before="0" w:beforeAutospacing="0" w:after="40" w:afterAutospacing="0"/>
              <w:ind w:left="144" w:right="102"/>
            </w:pPr>
            <w:r>
              <w:t>-          Надійність;</w:t>
            </w:r>
          </w:p>
          <w:p w:rsidR="00A56ED3" w:rsidRDefault="00A56ED3" w:rsidP="00F76EDA">
            <w:pPr>
              <w:pStyle w:val="a4"/>
              <w:widowControl w:val="0"/>
              <w:spacing w:before="0" w:beforeAutospacing="0" w:after="40" w:afterAutospacing="0"/>
              <w:ind w:left="144" w:right="102"/>
            </w:pPr>
            <w:r>
              <w:t>-          Повага до інших;</w:t>
            </w:r>
          </w:p>
          <w:p w:rsidR="00A56ED3" w:rsidRDefault="00A56ED3" w:rsidP="00F76EDA">
            <w:pPr>
              <w:pStyle w:val="a4"/>
              <w:widowControl w:val="0"/>
              <w:spacing w:before="0" w:beforeAutospacing="0" w:after="40" w:afterAutospacing="0"/>
              <w:ind w:left="144" w:right="102"/>
            </w:pPr>
            <w:r>
              <w:t>-          Готовність допомогти;</w:t>
            </w:r>
          </w:p>
          <w:p w:rsidR="00A56ED3" w:rsidRDefault="00A56ED3" w:rsidP="00F76EDA">
            <w:pPr>
              <w:pStyle w:val="a4"/>
              <w:widowControl w:val="0"/>
              <w:spacing w:before="0" w:beforeAutospacing="0" w:after="40" w:afterAutospacing="0"/>
              <w:ind w:left="144" w:right="102"/>
            </w:pPr>
            <w:r>
              <w:t>-          Емоційна стабільність</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Відповідальність</w:t>
            </w:r>
          </w:p>
        </w:tc>
        <w:tc>
          <w:tcPr>
            <w:tcW w:w="7082" w:type="dxa"/>
            <w:vAlign w:val="center"/>
            <w:hideMark/>
          </w:tcPr>
          <w:p w:rsidR="00A56ED3" w:rsidRDefault="00A56ED3" w:rsidP="00F76EDA">
            <w:pPr>
              <w:pStyle w:val="a4"/>
              <w:widowControl w:val="0"/>
              <w:spacing w:before="0" w:beforeAutospacing="0" w:after="4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A56ED3" w:rsidRDefault="00A56ED3" w:rsidP="00F76EDA">
            <w:pPr>
              <w:pStyle w:val="a4"/>
              <w:widowControl w:val="0"/>
              <w:spacing w:before="0" w:beforeAutospacing="0" w:after="4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A56ED3" w:rsidRDefault="00A56ED3" w:rsidP="00F76EDA">
            <w:pPr>
              <w:pStyle w:val="a4"/>
              <w:widowControl w:val="0"/>
              <w:spacing w:before="0" w:beforeAutospacing="0" w:after="40" w:afterAutospacing="0"/>
              <w:ind w:left="144" w:right="102"/>
              <w:jc w:val="both"/>
            </w:pPr>
            <w:r>
              <w:t>        -     здатність брати на себе зобов’язання, чітко їх дотримуватись і виконувати.</w:t>
            </w:r>
          </w:p>
          <w:p w:rsidR="00A56ED3" w:rsidRDefault="00A56ED3" w:rsidP="00F76EDA">
            <w:pPr>
              <w:pStyle w:val="a4"/>
              <w:widowControl w:val="0"/>
              <w:spacing w:before="0" w:beforeAutospacing="0" w:after="40" w:afterAutospacing="0"/>
              <w:ind w:left="144" w:right="102"/>
              <w:jc w:val="both"/>
            </w:pPr>
            <w:r>
              <w:t>         - вміння працювати в стресових ситуаціях.</w:t>
            </w:r>
          </w:p>
        </w:tc>
      </w:tr>
      <w:tr w:rsidR="00A56ED3" w:rsidTr="00F76EDA">
        <w:tc>
          <w:tcPr>
            <w:tcW w:w="2518" w:type="dxa"/>
            <w:vAlign w:val="center"/>
            <w:hideMark/>
          </w:tcPr>
          <w:p w:rsidR="00A56ED3" w:rsidRDefault="00A56ED3" w:rsidP="00F76EDA">
            <w:pPr>
              <w:pStyle w:val="a4"/>
              <w:widowControl w:val="0"/>
              <w:spacing w:before="0" w:beforeAutospacing="0" w:after="40" w:afterAutospacing="0"/>
              <w:jc w:val="center"/>
            </w:pPr>
            <w:r>
              <w:rPr>
                <w:rStyle w:val="a6"/>
              </w:rPr>
              <w:t>Досягнення результатів</w:t>
            </w:r>
          </w:p>
        </w:tc>
        <w:tc>
          <w:tcPr>
            <w:tcW w:w="7082" w:type="dxa"/>
            <w:vAlign w:val="center"/>
            <w:hideMark/>
          </w:tcPr>
          <w:p w:rsidR="00A56ED3" w:rsidRDefault="00A56ED3" w:rsidP="00F76EDA">
            <w:pPr>
              <w:pStyle w:val="a4"/>
              <w:widowControl w:val="0"/>
              <w:spacing w:before="0" w:beforeAutospacing="0" w:after="40" w:afterAutospacing="0"/>
              <w:ind w:left="144" w:right="102"/>
              <w:jc w:val="both"/>
            </w:pPr>
            <w:r>
              <w:t>-          здатність до чіткого бачення результату діяльності;</w:t>
            </w:r>
          </w:p>
          <w:p w:rsidR="00A56ED3" w:rsidRDefault="00A56ED3" w:rsidP="00F76EDA">
            <w:pPr>
              <w:pStyle w:val="a4"/>
              <w:widowControl w:val="0"/>
              <w:spacing w:before="0" w:beforeAutospacing="0" w:after="40" w:afterAutospacing="0"/>
              <w:ind w:left="144" w:right="102"/>
              <w:jc w:val="both"/>
            </w:pPr>
            <w:r>
              <w:t>-          вміння фокусувати зусилля для досягнення результату діяльності;</w:t>
            </w:r>
          </w:p>
          <w:p w:rsidR="00A56ED3" w:rsidRDefault="00A56ED3" w:rsidP="00F76EDA">
            <w:pPr>
              <w:pStyle w:val="a4"/>
              <w:widowControl w:val="0"/>
              <w:spacing w:before="0" w:beforeAutospacing="0" w:after="40" w:afterAutospacing="0"/>
              <w:ind w:left="144" w:right="102"/>
              <w:jc w:val="both"/>
            </w:pPr>
            <w:r>
              <w:t>-          вміння запобігати та ефективно долати перешкоди</w:t>
            </w:r>
          </w:p>
        </w:tc>
      </w:tr>
      <w:tr w:rsidR="00A56ED3" w:rsidTr="00F76EDA">
        <w:tc>
          <w:tcPr>
            <w:tcW w:w="2518" w:type="dxa"/>
            <w:vAlign w:val="center"/>
          </w:tcPr>
          <w:p w:rsidR="00A56ED3" w:rsidRDefault="00A56ED3" w:rsidP="00F76EDA">
            <w:pPr>
              <w:pStyle w:val="a4"/>
              <w:widowControl w:val="0"/>
              <w:spacing w:before="0" w:beforeAutospacing="0" w:after="40" w:afterAutospacing="0"/>
              <w:jc w:val="center"/>
              <w:rPr>
                <w:rStyle w:val="a6"/>
              </w:rPr>
            </w:pPr>
            <w:r w:rsidRPr="009D271C">
              <w:rPr>
                <w:b/>
                <w:sz w:val="22"/>
                <w:szCs w:val="22"/>
              </w:rPr>
              <w:t>Знання законодавства</w:t>
            </w:r>
          </w:p>
        </w:tc>
        <w:tc>
          <w:tcPr>
            <w:tcW w:w="7082" w:type="dxa"/>
          </w:tcPr>
          <w:p w:rsidR="00A56ED3" w:rsidRPr="009D271C" w:rsidRDefault="00A56ED3" w:rsidP="00F76EDA">
            <w:pPr>
              <w:spacing w:after="0"/>
              <w:ind w:left="285" w:hanging="141"/>
              <w:jc w:val="both"/>
              <w:rPr>
                <w:rFonts w:ascii="Times New Roman" w:hAnsi="Times New Roman" w:cs="Times New Roman"/>
                <w:sz w:val="24"/>
                <w:szCs w:val="24"/>
              </w:rPr>
            </w:pPr>
            <w:r w:rsidRPr="00282C6E">
              <w:t xml:space="preserve">1) </w:t>
            </w:r>
            <w:r w:rsidRPr="009D271C">
              <w:rPr>
                <w:rFonts w:ascii="Times New Roman" w:hAnsi="Times New Roman" w:cs="Times New Roman"/>
                <w:sz w:val="24"/>
                <w:szCs w:val="24"/>
              </w:rPr>
              <w:t>Конституція України;</w:t>
            </w:r>
          </w:p>
          <w:p w:rsidR="00A56ED3" w:rsidRPr="009D271C" w:rsidRDefault="00A56ED3" w:rsidP="00F76EDA">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2) Закон України «Про державну службу»;</w:t>
            </w:r>
          </w:p>
          <w:p w:rsidR="00A56ED3" w:rsidRPr="009D271C" w:rsidRDefault="00A56ED3" w:rsidP="00F76EDA">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3) Закон України «Про запобігання корупції»;</w:t>
            </w:r>
          </w:p>
          <w:p w:rsidR="00A56ED3" w:rsidRPr="009D271C" w:rsidRDefault="00A56ED3" w:rsidP="00F76EDA">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4) Закон України «Про судоустрій і статус суддів»;</w:t>
            </w:r>
          </w:p>
          <w:p w:rsidR="00A56ED3" w:rsidRPr="009D271C" w:rsidRDefault="00A56ED3" w:rsidP="00F76EDA">
            <w:pPr>
              <w:spacing w:after="0"/>
              <w:ind w:left="285" w:hanging="141"/>
              <w:jc w:val="both"/>
              <w:rPr>
                <w:rFonts w:ascii="Times New Roman" w:hAnsi="Times New Roman" w:cs="Times New Roman"/>
                <w:sz w:val="24"/>
                <w:szCs w:val="24"/>
              </w:rPr>
            </w:pPr>
            <w:r w:rsidRPr="009D271C">
              <w:rPr>
                <w:rFonts w:ascii="Times New Roman" w:hAnsi="Times New Roman" w:cs="Times New Roman"/>
                <w:sz w:val="24"/>
                <w:szCs w:val="24"/>
              </w:rPr>
              <w:t>5)Положення про автоматизовану систему документообігу суду;</w:t>
            </w:r>
          </w:p>
          <w:p w:rsidR="00A56ED3" w:rsidRDefault="00A56ED3" w:rsidP="00F76EDA">
            <w:pPr>
              <w:pStyle w:val="a4"/>
              <w:widowControl w:val="0"/>
              <w:spacing w:before="0" w:beforeAutospacing="0" w:after="40" w:afterAutospacing="0"/>
              <w:ind w:left="285" w:right="102" w:hanging="141"/>
              <w:jc w:val="both"/>
            </w:pPr>
            <w:r w:rsidRPr="009D271C">
              <w:t>6) Інструкція з діловодства в місцевих</w:t>
            </w:r>
            <w:r w:rsidRPr="00282C6E">
              <w:rPr>
                <w:sz w:val="22"/>
                <w:szCs w:val="22"/>
              </w:rPr>
              <w:t xml:space="preserve"> та апеляційних судах</w:t>
            </w:r>
            <w:r>
              <w:rPr>
                <w:sz w:val="22"/>
                <w:szCs w:val="22"/>
              </w:rPr>
              <w:t>.</w:t>
            </w:r>
          </w:p>
        </w:tc>
      </w:tr>
    </w:tbl>
    <w:p w:rsidR="00A56ED3" w:rsidRDefault="00A56ED3" w:rsidP="00A56ED3">
      <w:pPr>
        <w:pStyle w:val="a4"/>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sectPr w:rsidR="00A56E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1E39"/>
    <w:multiLevelType w:val="hybridMultilevel"/>
    <w:tmpl w:val="54B042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D3"/>
    <w:rsid w:val="00A56ED3"/>
    <w:rsid w:val="00B55A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912E"/>
  <w15:chartTrackingRefBased/>
  <w15:docId w15:val="{794CF123-8688-47F6-85AC-819C7301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ED3"/>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ED3"/>
    <w:pPr>
      <w:ind w:left="720"/>
      <w:contextualSpacing/>
    </w:pPr>
  </w:style>
  <w:style w:type="paragraph" w:styleId="a4">
    <w:name w:val="Normal (Web)"/>
    <w:basedOn w:val="a"/>
    <w:uiPriority w:val="99"/>
    <w:unhideWhenUsed/>
    <w:rsid w:val="00A56E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A56ED3"/>
    <w:rPr>
      <w:color w:val="0000FF"/>
      <w:u w:val="single"/>
    </w:rPr>
  </w:style>
  <w:style w:type="character" w:styleId="a6">
    <w:name w:val="Strong"/>
    <w:basedOn w:val="a0"/>
    <w:uiPriority w:val="22"/>
    <w:qFormat/>
    <w:rsid w:val="00A56ED3"/>
    <w:rPr>
      <w:b/>
      <w:bCs/>
    </w:rPr>
  </w:style>
  <w:style w:type="character" w:customStyle="1" w:styleId="apple-converted-space">
    <w:name w:val="apple-converted-space"/>
    <w:basedOn w:val="a0"/>
    <w:rsid w:val="00A56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9-19" TargetMode="External"/><Relationship Id="rId3" Type="http://schemas.openxmlformats.org/officeDocument/2006/relationships/settings" Target="settings.xml"/><Relationship Id="rId7" Type="http://schemas.openxmlformats.org/officeDocument/2006/relationships/hyperlink" Target="mailto:bilak@vr.if.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file/text/92/f454906n1632.doc" TargetMode="External"/><Relationship Id="rId5" Type="http://schemas.openxmlformats.org/officeDocument/2006/relationships/hyperlink" Target="mailto:bilak@vr.if.court.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6307</Words>
  <Characters>3595</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court</dc:creator>
  <cp:keywords/>
  <dc:description/>
  <cp:lastModifiedBy>Administrator court</cp:lastModifiedBy>
  <cp:revision>1</cp:revision>
  <dcterms:created xsi:type="dcterms:W3CDTF">2025-02-06T10:26:00Z</dcterms:created>
  <dcterms:modified xsi:type="dcterms:W3CDTF">2025-02-06T10:28:00Z</dcterms:modified>
</cp:coreProperties>
</file>