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8FF" w:rsidRDefault="008253B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Огляд даних судової</w:t>
      </w:r>
    </w:p>
    <w:p w:rsidR="005578FF" w:rsidRDefault="008253B1">
      <w:pPr>
        <w:jc w:val="center"/>
        <w:rPr>
          <w:rFonts w:eastAsia="Lucida Sans Unicode"/>
          <w:b/>
          <w:sz w:val="32"/>
          <w:szCs w:val="32"/>
        </w:rPr>
      </w:pPr>
      <w:r>
        <w:rPr>
          <w:b/>
          <w:bCs/>
          <w:sz w:val="32"/>
          <w:szCs w:val="32"/>
        </w:rPr>
        <w:t xml:space="preserve">статистики про стан здійснення правосуддя </w:t>
      </w:r>
      <w:proofErr w:type="spellStart"/>
      <w:r>
        <w:rPr>
          <w:b/>
          <w:bCs/>
          <w:sz w:val="32"/>
          <w:szCs w:val="32"/>
        </w:rPr>
        <w:t>Баранівським</w:t>
      </w:r>
      <w:proofErr w:type="spellEnd"/>
      <w:r>
        <w:rPr>
          <w:b/>
          <w:bCs/>
          <w:sz w:val="32"/>
          <w:szCs w:val="32"/>
        </w:rPr>
        <w:t xml:space="preserve"> районним судом Житомирської області за </w:t>
      </w:r>
      <w:r>
        <w:rPr>
          <w:rFonts w:eastAsia="Lucida Sans Unicode"/>
          <w:b/>
          <w:sz w:val="32"/>
          <w:szCs w:val="32"/>
        </w:rPr>
        <w:t>2024 рік (в порівнянні з 2023 роком)</w:t>
      </w:r>
    </w:p>
    <w:p w:rsidR="005578FF" w:rsidRDefault="005578FF">
      <w:pPr>
        <w:pStyle w:val="ab"/>
        <w:widowControl/>
        <w:suppressAutoHyphens w:val="0"/>
        <w:rPr>
          <w:rFonts w:cs="Times New Roman"/>
          <w:bCs/>
          <w:kern w:val="0"/>
          <w:sz w:val="28"/>
          <w:szCs w:val="28"/>
        </w:rPr>
      </w:pPr>
    </w:p>
    <w:p w:rsidR="005578FF" w:rsidRDefault="008253B1">
      <w:pPr>
        <w:ind w:right="-16" w:firstLine="720"/>
        <w:jc w:val="both"/>
        <w:rPr>
          <w:sz w:val="28"/>
          <w:szCs w:val="28"/>
          <w:lang w:eastAsia="uk-UA"/>
        </w:rPr>
      </w:pPr>
      <w:proofErr w:type="spellStart"/>
      <w:r>
        <w:rPr>
          <w:sz w:val="28"/>
          <w:szCs w:val="28"/>
          <w:lang w:eastAsia="uk-UA"/>
        </w:rPr>
        <w:t>Баранівським</w:t>
      </w:r>
      <w:proofErr w:type="spellEnd"/>
      <w:r>
        <w:rPr>
          <w:sz w:val="28"/>
          <w:szCs w:val="28"/>
          <w:lang w:eastAsia="uk-UA"/>
        </w:rPr>
        <w:t xml:space="preserve"> районним судом Житомирської області відповідно до Закону України «Про судоустрій і статус </w:t>
      </w:r>
      <w:r>
        <w:rPr>
          <w:sz w:val="28"/>
          <w:szCs w:val="28"/>
          <w:lang w:eastAsia="uk-UA"/>
        </w:rPr>
        <w:t>суддів», на виконання плану роботи проаналізовано стан ведення обліково-статистичної роботи суду за 2024 рік.</w:t>
      </w:r>
    </w:p>
    <w:p w:rsidR="005578FF" w:rsidRDefault="005578FF">
      <w:pPr>
        <w:pStyle w:val="ab"/>
        <w:widowControl/>
        <w:suppressAutoHyphens w:val="0"/>
        <w:jc w:val="both"/>
        <w:rPr>
          <w:rFonts w:cs="Times New Roman"/>
          <w:bCs/>
          <w:kern w:val="0"/>
          <w:sz w:val="28"/>
          <w:szCs w:val="28"/>
        </w:rPr>
      </w:pPr>
    </w:p>
    <w:p w:rsidR="005578FF" w:rsidRDefault="008253B1">
      <w:pPr>
        <w:pStyle w:val="ab"/>
        <w:widowControl/>
        <w:suppressAutoHyphens w:val="0"/>
        <w:jc w:val="both"/>
        <w:rPr>
          <w:rFonts w:cs="Times New Roman"/>
          <w:bCs/>
          <w:kern w:val="0"/>
          <w:sz w:val="28"/>
          <w:szCs w:val="28"/>
        </w:rPr>
      </w:pPr>
      <w:r>
        <w:rPr>
          <w:rFonts w:cs="Times New Roman"/>
          <w:bCs/>
          <w:kern w:val="0"/>
          <w:sz w:val="28"/>
          <w:szCs w:val="28"/>
        </w:rPr>
        <w:t>Метою статистичного аналізу є порівняння кількісних характеристик об’єкта дослідження та виявлення тенденцій змін динаміки статистичних показникі</w:t>
      </w:r>
      <w:r>
        <w:rPr>
          <w:rFonts w:cs="Times New Roman"/>
          <w:bCs/>
          <w:kern w:val="0"/>
          <w:sz w:val="28"/>
          <w:szCs w:val="28"/>
        </w:rPr>
        <w:t>в.</w:t>
      </w:r>
    </w:p>
    <w:p w:rsidR="005578FF" w:rsidRDefault="008253B1">
      <w:pPr>
        <w:ind w:firstLine="709"/>
        <w:jc w:val="both"/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</w:rPr>
        <w:t>Головним аспектом проведення даного аналізу виступають:</w:t>
      </w:r>
    </w:p>
    <w:p w:rsidR="005578FF" w:rsidRDefault="008253B1">
      <w:pPr>
        <w:numPr>
          <w:ilvl w:val="0"/>
          <w:numId w:val="1"/>
        </w:numPr>
        <w:ind w:left="0" w:firstLine="709"/>
        <w:jc w:val="both"/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</w:rPr>
        <w:t>кількість справ, розглянутих за видами судочинства (кримінальне, цивільне, адміністративне, справи про адміністративні правопорушення) та за окремими категоріями (видами);</w:t>
      </w:r>
    </w:p>
    <w:p w:rsidR="005578FF" w:rsidRDefault="008253B1">
      <w:pPr>
        <w:numPr>
          <w:ilvl w:val="0"/>
          <w:numId w:val="1"/>
        </w:numPr>
        <w:ind w:left="0" w:firstLine="709"/>
        <w:jc w:val="both"/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</w:rPr>
        <w:t xml:space="preserve">кількість засуджених за </w:t>
      </w:r>
      <w:proofErr w:type="spellStart"/>
      <w:r>
        <w:rPr>
          <w:rFonts w:eastAsia="Lucida Sans Unicode"/>
          <w:bCs/>
          <w:sz w:val="28"/>
          <w:szCs w:val="28"/>
        </w:rPr>
        <w:t>в</w:t>
      </w:r>
      <w:r>
        <w:rPr>
          <w:rFonts w:eastAsia="Lucida Sans Unicode"/>
          <w:bCs/>
          <w:sz w:val="28"/>
          <w:szCs w:val="28"/>
        </w:rPr>
        <w:t>ироками</w:t>
      </w:r>
      <w:proofErr w:type="spellEnd"/>
      <w:r>
        <w:rPr>
          <w:rFonts w:eastAsia="Lucida Sans Unicode"/>
          <w:bCs/>
          <w:sz w:val="28"/>
          <w:szCs w:val="28"/>
        </w:rPr>
        <w:t>, які набрали та не набрали законної сили у даному звітному періоді;</w:t>
      </w:r>
    </w:p>
    <w:p w:rsidR="005578FF" w:rsidRDefault="008253B1">
      <w:pPr>
        <w:numPr>
          <w:ilvl w:val="0"/>
          <w:numId w:val="1"/>
        </w:numPr>
        <w:ind w:left="0" w:firstLine="709"/>
        <w:jc w:val="both"/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</w:rPr>
        <w:t>призначені до правопорушників покарання (основні та додаткові);</w:t>
      </w:r>
    </w:p>
    <w:p w:rsidR="005578FF" w:rsidRDefault="008253B1">
      <w:pPr>
        <w:numPr>
          <w:ilvl w:val="0"/>
          <w:numId w:val="1"/>
        </w:numPr>
        <w:ind w:left="0" w:firstLine="709"/>
        <w:jc w:val="both"/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</w:rPr>
        <w:t xml:space="preserve">загальна кількість осіб, притягнутих до адміністративної відповідальності за КУпАП (за видами скоєних правопорушень </w:t>
      </w:r>
      <w:r>
        <w:rPr>
          <w:rFonts w:eastAsia="Lucida Sans Unicode"/>
          <w:bCs/>
          <w:sz w:val="28"/>
          <w:szCs w:val="28"/>
        </w:rPr>
        <w:t>та накладених на них адміністративних стягнень) тощо.</w:t>
      </w:r>
    </w:p>
    <w:p w:rsidR="005578FF" w:rsidRDefault="008253B1">
      <w:pPr>
        <w:ind w:right="-16" w:firstLine="709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Обліково-статистична робота у Баранівському районному суді Житомирської області ведеться відповідно до </w:t>
      </w:r>
      <w:r>
        <w:rPr>
          <w:sz w:val="28"/>
          <w:szCs w:val="28"/>
          <w:shd w:val="clear" w:color="auto" w:fill="FFFFFF"/>
        </w:rPr>
        <w:t>Інструкції з діловодства в місцевих та апеляційних судах України</w:t>
      </w:r>
      <w:r>
        <w:rPr>
          <w:sz w:val="28"/>
          <w:szCs w:val="28"/>
          <w:lang w:eastAsia="uk-UA"/>
        </w:rPr>
        <w:t>, Положення про автоматизовану сист</w:t>
      </w:r>
      <w:r>
        <w:rPr>
          <w:sz w:val="28"/>
          <w:szCs w:val="28"/>
          <w:lang w:eastAsia="uk-UA"/>
        </w:rPr>
        <w:t>ему документообігу суду, Інструкції щодо заповнення і подання та заповнення форм звітності про розгляд апеляційними та місцевими судами судових справ та матеріалів,  Інструкції щодо формування картки на особу, тощо.</w:t>
      </w:r>
    </w:p>
    <w:p w:rsidR="005578FF" w:rsidRDefault="008253B1">
      <w:pPr>
        <w:ind w:right="-16" w:firstLine="720"/>
        <w:jc w:val="both"/>
        <w:rPr>
          <w:sz w:val="28"/>
          <w:szCs w:val="28"/>
        </w:rPr>
      </w:pPr>
      <w:r>
        <w:rPr>
          <w:sz w:val="28"/>
          <w:szCs w:val="28"/>
          <w:lang w:eastAsia="uk-UA"/>
        </w:rPr>
        <w:t>Відповідно до п. 3 ст. 15 Закону України</w:t>
      </w:r>
      <w:r>
        <w:rPr>
          <w:sz w:val="28"/>
          <w:szCs w:val="28"/>
          <w:lang w:eastAsia="uk-UA"/>
        </w:rPr>
        <w:t xml:space="preserve"> «Про судоустрій і статус суддів» діловодство у місцевих загальних судах здійснюється в автоматизованій системі документообігу суду.</w:t>
      </w:r>
    </w:p>
    <w:p w:rsidR="005578FF" w:rsidRDefault="008253B1">
      <w:pPr>
        <w:spacing w:after="60"/>
        <w:ind w:firstLine="570"/>
        <w:jc w:val="both"/>
        <w:rPr>
          <w:sz w:val="28"/>
          <w:szCs w:val="28"/>
          <w:highlight w:val="white"/>
        </w:rPr>
      </w:pPr>
      <w:r>
        <w:rPr>
          <w:sz w:val="28"/>
          <w:szCs w:val="28"/>
        </w:rPr>
        <w:t xml:space="preserve">  За штатним розкладом у суді передбачено 4 посади суддів, однак здійснювали правосуддя у звітному періоді </w:t>
      </w:r>
      <w:r>
        <w:rPr>
          <w:sz w:val="28"/>
          <w:szCs w:val="28"/>
          <w:lang w:val="ru-RU"/>
        </w:rPr>
        <w:t>2</w:t>
      </w:r>
      <w:r>
        <w:rPr>
          <w:sz w:val="28"/>
          <w:szCs w:val="28"/>
        </w:rPr>
        <w:t xml:space="preserve"> судді. </w:t>
      </w:r>
      <w:r>
        <w:rPr>
          <w:sz w:val="28"/>
          <w:szCs w:val="28"/>
          <w:shd w:val="clear" w:color="auto" w:fill="FFFFFF"/>
        </w:rPr>
        <w:t>У судді</w:t>
      </w:r>
      <w:r w:rsidR="00215269">
        <w:rPr>
          <w:sz w:val="28"/>
          <w:szCs w:val="28"/>
          <w:shd w:val="clear" w:color="auto" w:fill="FFFFFF"/>
        </w:rPr>
        <w:t xml:space="preserve"> Новицького Є.А. у вересні 2023</w:t>
      </w:r>
      <w:r>
        <w:rPr>
          <w:sz w:val="28"/>
          <w:szCs w:val="28"/>
          <w:shd w:val="clear" w:color="auto" w:fill="FFFFFF"/>
        </w:rPr>
        <w:t xml:space="preserve"> року </w:t>
      </w:r>
      <w:r>
        <w:rPr>
          <w:sz w:val="28"/>
          <w:szCs w:val="28"/>
        </w:rPr>
        <w:t>закінчивсь п</w:t>
      </w:r>
      <w:r>
        <w:rPr>
          <w:rFonts w:ascii="Arial" w:hAnsi="Arial" w:cs="Arial"/>
          <w:sz w:val="28"/>
          <w:szCs w:val="28"/>
        </w:rPr>
        <w:t>'</w:t>
      </w:r>
      <w:r>
        <w:rPr>
          <w:sz w:val="28"/>
          <w:szCs w:val="28"/>
        </w:rPr>
        <w:t>ятирічний строк повноважень судді</w:t>
      </w:r>
      <w:r>
        <w:rPr>
          <w:sz w:val="28"/>
          <w:szCs w:val="28"/>
          <w:shd w:val="clear" w:color="auto" w:fill="FFFFFF"/>
        </w:rPr>
        <w:t>. Одна посада вакантна.</w:t>
      </w:r>
    </w:p>
    <w:p w:rsidR="005578FF" w:rsidRDefault="008253B1">
      <w:pPr>
        <w:pStyle w:val="1"/>
        <w:jc w:val="both"/>
        <w:rPr>
          <w:rFonts w:eastAsia="Times New Roman"/>
          <w:b w:val="0"/>
          <w:bCs w:val="0"/>
          <w:kern w:val="2"/>
          <w:sz w:val="28"/>
          <w:szCs w:val="28"/>
          <w:u w:val="none"/>
          <w:lang w:eastAsia="uk-UA"/>
        </w:rPr>
      </w:pPr>
      <w:r>
        <w:rPr>
          <w:b w:val="0"/>
          <w:bCs w:val="0"/>
          <w:sz w:val="28"/>
          <w:szCs w:val="28"/>
          <w:u w:val="none"/>
          <w:shd w:val="clear" w:color="auto" w:fill="FFFFFF"/>
        </w:rPr>
        <w:t xml:space="preserve">Протягом 2024 року судочинство у суді здійснювали суддя </w:t>
      </w:r>
      <w:proofErr w:type="spellStart"/>
      <w:r>
        <w:rPr>
          <w:b w:val="0"/>
          <w:bCs w:val="0"/>
          <w:sz w:val="28"/>
          <w:szCs w:val="28"/>
          <w:u w:val="none"/>
          <w:shd w:val="clear" w:color="auto" w:fill="FFFFFF"/>
        </w:rPr>
        <w:t>Самойлено</w:t>
      </w:r>
      <w:proofErr w:type="spellEnd"/>
      <w:r>
        <w:rPr>
          <w:b w:val="0"/>
          <w:bCs w:val="0"/>
          <w:sz w:val="28"/>
          <w:szCs w:val="28"/>
          <w:u w:val="none"/>
          <w:shd w:val="clear" w:color="auto" w:fill="FFFFFF"/>
        </w:rPr>
        <w:t xml:space="preserve"> Л.М. та суддя Бєлкіна Д.С.. Суддя </w:t>
      </w:r>
      <w:proofErr w:type="spellStart"/>
      <w:r>
        <w:rPr>
          <w:b w:val="0"/>
          <w:bCs w:val="0"/>
          <w:sz w:val="28"/>
          <w:szCs w:val="28"/>
          <w:u w:val="none"/>
          <w:shd w:val="clear" w:color="auto" w:fill="FFFFFF"/>
        </w:rPr>
        <w:t>Самойлено</w:t>
      </w:r>
      <w:proofErr w:type="spellEnd"/>
      <w:r>
        <w:rPr>
          <w:b w:val="0"/>
          <w:bCs w:val="0"/>
          <w:sz w:val="28"/>
          <w:szCs w:val="28"/>
          <w:u w:val="none"/>
          <w:shd w:val="clear" w:color="auto" w:fill="FFFFFF"/>
        </w:rPr>
        <w:t xml:space="preserve"> Л.М. була відряджена до Баранівського </w:t>
      </w:r>
      <w:r>
        <w:rPr>
          <w:b w:val="0"/>
          <w:bCs w:val="0"/>
          <w:sz w:val="28"/>
          <w:szCs w:val="28"/>
          <w:u w:val="none"/>
          <w:shd w:val="clear" w:color="auto" w:fill="FFFFFF"/>
        </w:rPr>
        <w:t xml:space="preserve">районного суду Житомирської області із </w:t>
      </w:r>
      <w:proofErr w:type="spellStart"/>
      <w:r>
        <w:rPr>
          <w:b w:val="0"/>
          <w:bCs w:val="0"/>
          <w:sz w:val="28"/>
          <w:szCs w:val="28"/>
          <w:u w:val="none"/>
          <w:shd w:val="clear" w:color="auto" w:fill="FFFFFF"/>
        </w:rPr>
        <w:t>Семенівського</w:t>
      </w:r>
      <w:proofErr w:type="spellEnd"/>
      <w:r>
        <w:rPr>
          <w:b w:val="0"/>
          <w:bCs w:val="0"/>
          <w:sz w:val="28"/>
          <w:szCs w:val="28"/>
          <w:u w:val="none"/>
          <w:shd w:val="clear" w:color="auto" w:fill="FFFFFF"/>
        </w:rPr>
        <w:t xml:space="preserve"> районного суду Полтавської області терміном на один рік (з 04.12.2023 по 03.12.2024 р.). Суддя Бєлкіна Д.С. Указом Президента України</w:t>
      </w:r>
      <w:r>
        <w:rPr>
          <w:rFonts w:eastAsia="Times New Roman"/>
          <w:b w:val="0"/>
          <w:bCs w:val="0"/>
          <w:kern w:val="2"/>
          <w:sz w:val="28"/>
          <w:szCs w:val="28"/>
          <w:u w:val="none"/>
          <w:lang w:eastAsia="uk-UA"/>
        </w:rPr>
        <w:t xml:space="preserve"> № 718/2024 </w:t>
      </w:r>
      <w:r>
        <w:rPr>
          <w:b w:val="0"/>
          <w:bCs w:val="0"/>
          <w:sz w:val="28"/>
          <w:szCs w:val="28"/>
          <w:u w:val="none"/>
          <w:shd w:val="clear" w:color="auto" w:fill="FFFFFF"/>
        </w:rPr>
        <w:t>від 16.10.2024 року призначена на посаду судді Баранівсько</w:t>
      </w:r>
      <w:r>
        <w:rPr>
          <w:b w:val="0"/>
          <w:bCs w:val="0"/>
          <w:sz w:val="28"/>
          <w:szCs w:val="28"/>
          <w:u w:val="none"/>
          <w:shd w:val="clear" w:color="auto" w:fill="FFFFFF"/>
        </w:rPr>
        <w:t>го районного суду Житомирської області.</w:t>
      </w:r>
    </w:p>
    <w:p w:rsidR="005578FF" w:rsidRDefault="008253B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Упродовж 2024 року судді </w:t>
      </w:r>
      <w:proofErr w:type="spellStart"/>
      <w:r>
        <w:rPr>
          <w:sz w:val="28"/>
          <w:szCs w:val="28"/>
          <w:shd w:val="clear" w:color="auto" w:fill="FFFFFF"/>
        </w:rPr>
        <w:t>Самойлено</w:t>
      </w:r>
      <w:proofErr w:type="spellEnd"/>
      <w:r>
        <w:rPr>
          <w:sz w:val="28"/>
          <w:szCs w:val="28"/>
          <w:shd w:val="clear" w:color="auto" w:fill="FFFFFF"/>
        </w:rPr>
        <w:t xml:space="preserve"> Л.М. та суддя Бєлкіна Д.С. </w:t>
      </w:r>
      <w:r>
        <w:rPr>
          <w:sz w:val="28"/>
          <w:szCs w:val="28"/>
        </w:rPr>
        <w:t>розглядали справи різних категорій.</w:t>
      </w:r>
    </w:p>
    <w:p w:rsidR="005578FF" w:rsidRDefault="005578FF">
      <w:pPr>
        <w:ind w:firstLine="708"/>
        <w:jc w:val="center"/>
        <w:rPr>
          <w:b/>
          <w:bCs/>
          <w:sz w:val="28"/>
          <w:szCs w:val="28"/>
        </w:rPr>
      </w:pPr>
    </w:p>
    <w:p w:rsidR="005578FF" w:rsidRDefault="005578FF">
      <w:pPr>
        <w:ind w:firstLine="708"/>
        <w:jc w:val="center"/>
        <w:rPr>
          <w:b/>
          <w:bCs/>
          <w:sz w:val="28"/>
          <w:szCs w:val="28"/>
        </w:rPr>
      </w:pPr>
    </w:p>
    <w:p w:rsidR="005578FF" w:rsidRDefault="008253B1">
      <w:pPr>
        <w:ind w:firstLine="708"/>
        <w:jc w:val="center"/>
        <w:rPr>
          <w:rFonts w:eastAsia="Lucida Sans Unicode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Справи та матеріали, які перебували в провадженні суду протягом </w:t>
      </w:r>
      <w:r>
        <w:rPr>
          <w:rFonts w:eastAsia="Lucida Sans Unicode"/>
          <w:b/>
          <w:bCs/>
          <w:sz w:val="28"/>
          <w:szCs w:val="28"/>
        </w:rPr>
        <w:t>2024 року в порівнянні з 2023 роком</w:t>
      </w:r>
    </w:p>
    <w:p w:rsidR="005578FF" w:rsidRDefault="005578FF">
      <w:pPr>
        <w:ind w:firstLine="630"/>
        <w:jc w:val="center"/>
        <w:rPr>
          <w:rFonts w:eastAsia="Lucida Sans Unicode"/>
          <w:b/>
          <w:bCs/>
          <w:sz w:val="28"/>
          <w:szCs w:val="28"/>
        </w:rPr>
      </w:pPr>
    </w:p>
    <w:tbl>
      <w:tblPr>
        <w:tblW w:w="9525" w:type="dxa"/>
        <w:tblInd w:w="-26" w:type="dxa"/>
        <w:tblCellMar>
          <w:left w:w="1" w:type="dxa"/>
          <w:right w:w="0" w:type="dxa"/>
        </w:tblCellMar>
        <w:tblLook w:val="0000" w:firstRow="0" w:lastRow="0" w:firstColumn="0" w:lastColumn="0" w:noHBand="0" w:noVBand="0"/>
      </w:tblPr>
      <w:tblGrid>
        <w:gridCol w:w="775"/>
        <w:gridCol w:w="3248"/>
        <w:gridCol w:w="2557"/>
        <w:gridCol w:w="2945"/>
      </w:tblGrid>
      <w:tr w:rsidR="005578FF">
        <w:trPr>
          <w:tblHeader/>
        </w:trPr>
        <w:tc>
          <w:tcPr>
            <w:tcW w:w="3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8FF" w:rsidRDefault="005578FF">
            <w:pPr>
              <w:pStyle w:val="WW-"/>
              <w:snapToGrid w:val="0"/>
              <w:spacing w:after="0"/>
              <w:ind w:firstLine="630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8FF" w:rsidRDefault="005578FF">
            <w:pPr>
              <w:pStyle w:val="WW-"/>
              <w:snapToGrid w:val="0"/>
              <w:spacing w:after="0"/>
              <w:ind w:firstLine="630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pStyle w:val="WW-"/>
              <w:snapToGrid w:val="0"/>
              <w:spacing w:after="0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2024 рік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pStyle w:val="WW-"/>
              <w:snapToGrid w:val="0"/>
              <w:spacing w:after="0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2023</w:t>
            </w: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 xml:space="preserve"> рік</w:t>
            </w:r>
          </w:p>
        </w:tc>
      </w:tr>
      <w:tr w:rsidR="005578FF"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8FF" w:rsidRPr="001E0E3F" w:rsidRDefault="001E0E3F">
            <w:pPr>
              <w:pStyle w:val="WW-"/>
              <w:snapToGrid w:val="0"/>
              <w:spacing w:after="0"/>
              <w:ind w:firstLine="630"/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  <w:t>1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pStyle w:val="WW-"/>
              <w:snapToGrid w:val="0"/>
              <w:spacing w:after="0"/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  <w:t>Справи та матеріали кримінального судочинства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pStyle w:val="WW-"/>
              <w:snapToGrid w:val="0"/>
              <w:spacing w:after="0"/>
              <w:ind w:firstLine="630"/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  <w:t>192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pStyle w:val="WW-"/>
              <w:snapToGrid w:val="0"/>
              <w:spacing w:after="0"/>
              <w:ind w:firstLine="630"/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  <w:t>79</w:t>
            </w:r>
          </w:p>
        </w:tc>
      </w:tr>
      <w:tr w:rsidR="005578FF"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pStyle w:val="WW-0"/>
              <w:snapToGrid w:val="0"/>
              <w:spacing w:after="0"/>
              <w:ind w:firstLine="63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pStyle w:val="WW-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uk-UA"/>
              </w:rPr>
              <w:t>Справи та матеріали цивільного судочинства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pStyle w:val="WW-0"/>
              <w:snapToGrid w:val="0"/>
              <w:spacing w:after="0"/>
              <w:ind w:firstLine="63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1284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pStyle w:val="WW-0"/>
              <w:snapToGrid w:val="0"/>
              <w:spacing w:after="0"/>
              <w:ind w:firstLine="63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994</w:t>
            </w:r>
          </w:p>
        </w:tc>
      </w:tr>
      <w:tr w:rsidR="005578FF"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pStyle w:val="WW-0"/>
              <w:snapToGrid w:val="0"/>
              <w:spacing w:after="0"/>
              <w:ind w:firstLine="63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pStyle w:val="WW-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uk-UA"/>
              </w:rPr>
              <w:t>Справи та матеріали адміністративного судочинства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pStyle w:val="WW-0"/>
              <w:snapToGrid w:val="0"/>
              <w:spacing w:after="0"/>
              <w:ind w:firstLine="63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37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pStyle w:val="WW-0"/>
              <w:snapToGrid w:val="0"/>
              <w:spacing w:after="0"/>
              <w:ind w:firstLine="63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33</w:t>
            </w:r>
          </w:p>
        </w:tc>
      </w:tr>
      <w:tr w:rsidR="005578FF"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pStyle w:val="WW-0"/>
              <w:snapToGrid w:val="0"/>
              <w:spacing w:after="0"/>
              <w:ind w:firstLine="63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pStyle w:val="WW-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bCs/>
                <w:sz w:val="28"/>
                <w:szCs w:val="28"/>
                <w:lang w:val="uk-UA"/>
              </w:rPr>
              <w:t>Справи та матеріали про адміністративні правопорушення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pStyle w:val="WW-0"/>
              <w:snapToGrid w:val="0"/>
              <w:spacing w:after="0"/>
              <w:ind w:firstLine="63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1439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pStyle w:val="WW-0"/>
              <w:snapToGrid w:val="0"/>
              <w:spacing w:after="0"/>
              <w:ind w:firstLine="63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906</w:t>
            </w:r>
          </w:p>
        </w:tc>
      </w:tr>
      <w:tr w:rsidR="005578FF">
        <w:tc>
          <w:tcPr>
            <w:tcW w:w="36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pStyle w:val="WW-0"/>
              <w:snapToGrid w:val="0"/>
              <w:spacing w:after="0"/>
              <w:ind w:firstLine="63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352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pStyle w:val="WW-0"/>
              <w:snapToGrid w:val="0"/>
              <w:spacing w:after="0"/>
              <w:jc w:val="center"/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sz w:val="28"/>
                <w:szCs w:val="28"/>
                <w:lang w:val="uk-UA"/>
              </w:rPr>
              <w:t>Всього</w:t>
            </w:r>
          </w:p>
        </w:tc>
        <w:tc>
          <w:tcPr>
            <w:tcW w:w="269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pStyle w:val="WW-"/>
              <w:snapToGrid w:val="0"/>
              <w:spacing w:after="0"/>
              <w:ind w:firstLine="630"/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  <w:t>2952</w:t>
            </w:r>
          </w:p>
        </w:tc>
        <w:tc>
          <w:tcPr>
            <w:tcW w:w="3119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pStyle w:val="WW-"/>
              <w:snapToGrid w:val="0"/>
              <w:spacing w:after="0"/>
              <w:ind w:firstLine="630"/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</w:pPr>
            <w:r>
              <w:rPr>
                <w:rFonts w:ascii="Times New Roman" w:eastAsia="Lucida Sans Unicode" w:hAnsi="Times New Roman" w:cs="Times New Roman"/>
                <w:b w:val="0"/>
                <w:bCs/>
                <w:i w:val="0"/>
                <w:sz w:val="28"/>
                <w:szCs w:val="28"/>
                <w:lang w:val="uk-UA"/>
              </w:rPr>
              <w:t>2012</w:t>
            </w:r>
          </w:p>
        </w:tc>
      </w:tr>
    </w:tbl>
    <w:p w:rsidR="005578FF" w:rsidRDefault="005578FF">
      <w:pPr>
        <w:ind w:firstLine="630"/>
        <w:rPr>
          <w:sz w:val="28"/>
          <w:szCs w:val="28"/>
        </w:rPr>
      </w:pPr>
    </w:p>
    <w:p w:rsidR="005578FF" w:rsidRDefault="008253B1">
      <w:pPr>
        <w:ind w:firstLine="630"/>
        <w:jc w:val="both"/>
        <w:rPr>
          <w:rFonts w:eastAsia="Lucida Sans Unicode"/>
          <w:bCs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5578FF" w:rsidRDefault="005578FF">
      <w:pPr>
        <w:ind w:firstLine="630"/>
        <w:jc w:val="both"/>
        <w:rPr>
          <w:rFonts w:eastAsia="Lucida Sans Unicode"/>
          <w:bCs/>
          <w:sz w:val="28"/>
          <w:szCs w:val="28"/>
        </w:rPr>
      </w:pPr>
    </w:p>
    <w:p w:rsidR="005578FF" w:rsidRDefault="005578FF">
      <w:pPr>
        <w:ind w:firstLine="630"/>
        <w:jc w:val="both"/>
        <w:rPr>
          <w:rFonts w:eastAsia="Lucida Sans Unicode"/>
          <w:bCs/>
          <w:sz w:val="28"/>
          <w:szCs w:val="28"/>
        </w:rPr>
      </w:pPr>
    </w:p>
    <w:p w:rsidR="005578FF" w:rsidRDefault="008253B1">
      <w:pPr>
        <w:ind w:firstLine="630"/>
        <w:jc w:val="both"/>
        <w:rPr>
          <w:rFonts w:eastAsia="Lucida Sans Unicode"/>
          <w:bCs/>
          <w:sz w:val="28"/>
          <w:szCs w:val="28"/>
        </w:rPr>
      </w:pPr>
      <w:r>
        <w:rPr>
          <w:rFonts w:eastAsia="Lucida Sans Unicode"/>
          <w:bCs/>
          <w:sz w:val="28"/>
          <w:szCs w:val="28"/>
        </w:rPr>
        <w:t xml:space="preserve">Отже, кількість справ та матеріалів, що перебувала на розгляді в 2024 році збільшилася порівняно з 2023 роком за рахунок всіх категорій справ, а найбільше за рахунок справ та матеріалів кримінального, цивільного, адміністративного судочинства та справ про </w:t>
      </w:r>
      <w:r>
        <w:rPr>
          <w:rFonts w:eastAsia="Lucida Sans Unicode"/>
          <w:bCs/>
          <w:sz w:val="28"/>
          <w:szCs w:val="28"/>
        </w:rPr>
        <w:t xml:space="preserve">адміністративне правопорушення на 960 справ та матеріалів. </w:t>
      </w:r>
    </w:p>
    <w:p w:rsidR="005578FF" w:rsidRDefault="005578FF">
      <w:pPr>
        <w:jc w:val="center"/>
        <w:rPr>
          <w:rFonts w:eastAsia="Lucida Sans Unicode"/>
          <w:bCs/>
          <w:sz w:val="28"/>
          <w:szCs w:val="28"/>
        </w:rPr>
      </w:pPr>
    </w:p>
    <w:p w:rsidR="005578FF" w:rsidRDefault="005578FF">
      <w:pPr>
        <w:jc w:val="center"/>
        <w:rPr>
          <w:rFonts w:eastAsia="Lucida Sans Unicode"/>
          <w:bCs/>
          <w:sz w:val="28"/>
          <w:szCs w:val="28"/>
        </w:rPr>
      </w:pPr>
    </w:p>
    <w:p w:rsidR="005578FF" w:rsidRDefault="005578FF">
      <w:pPr>
        <w:jc w:val="center"/>
        <w:rPr>
          <w:rFonts w:eastAsia="Lucida Sans Unicode"/>
          <w:bCs/>
          <w:sz w:val="28"/>
          <w:szCs w:val="28"/>
        </w:rPr>
      </w:pPr>
    </w:p>
    <w:p w:rsidR="005578FF" w:rsidRDefault="005578FF">
      <w:pPr>
        <w:jc w:val="center"/>
        <w:rPr>
          <w:rFonts w:eastAsia="Lucida Sans Unicode"/>
          <w:bCs/>
          <w:sz w:val="28"/>
          <w:szCs w:val="28"/>
        </w:rPr>
      </w:pPr>
    </w:p>
    <w:p w:rsidR="005578FF" w:rsidRDefault="005578FF">
      <w:pPr>
        <w:jc w:val="center"/>
        <w:rPr>
          <w:rFonts w:eastAsia="Lucida Sans Unicode"/>
          <w:bCs/>
          <w:sz w:val="28"/>
          <w:szCs w:val="28"/>
        </w:rPr>
      </w:pPr>
    </w:p>
    <w:p w:rsidR="00533B20" w:rsidRDefault="00533B20">
      <w:pPr>
        <w:jc w:val="center"/>
        <w:rPr>
          <w:rFonts w:eastAsia="Lucida Sans Unicode"/>
          <w:bCs/>
          <w:sz w:val="28"/>
          <w:szCs w:val="28"/>
        </w:rPr>
      </w:pPr>
    </w:p>
    <w:p w:rsidR="005578FF" w:rsidRDefault="005578FF">
      <w:pPr>
        <w:jc w:val="center"/>
        <w:rPr>
          <w:b/>
          <w:bCs/>
          <w:sz w:val="28"/>
          <w:szCs w:val="28"/>
          <w:u w:val="single"/>
        </w:rPr>
      </w:pPr>
    </w:p>
    <w:p w:rsidR="005578FF" w:rsidRDefault="008253B1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lastRenderedPageBreak/>
        <w:t>Розгляд судом кримінальних проваджень та матеріалів у 2024 році</w:t>
      </w:r>
    </w:p>
    <w:p w:rsidR="005578FF" w:rsidRDefault="005578FF">
      <w:pPr>
        <w:pStyle w:val="30"/>
        <w:widowControl/>
        <w:suppressAutoHyphens w:val="0"/>
        <w:rPr>
          <w:rFonts w:cs="Times New Roman"/>
          <w:kern w:val="0"/>
          <w:sz w:val="28"/>
          <w:szCs w:val="28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2069"/>
        <w:gridCol w:w="1655"/>
        <w:gridCol w:w="1372"/>
        <w:gridCol w:w="1090"/>
        <w:gridCol w:w="1634"/>
        <w:gridCol w:w="1819"/>
      </w:tblGrid>
      <w:tr w:rsidR="005578FF" w:rsidTr="007411D1">
        <w:trPr>
          <w:trHeight w:val="754"/>
        </w:trPr>
        <w:tc>
          <w:tcPr>
            <w:tcW w:w="206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Найменування показника</w:t>
            </w:r>
          </w:p>
        </w:tc>
        <w:tc>
          <w:tcPr>
            <w:tcW w:w="302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Перебувало в провадженні справ та матеріалів</w:t>
            </w:r>
          </w:p>
        </w:tc>
        <w:tc>
          <w:tcPr>
            <w:tcW w:w="2724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Розглянуто справ та матеріалів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Залишок</w:t>
            </w:r>
          </w:p>
          <w:p w:rsidR="005578FF" w:rsidRDefault="00825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нерозглянутих на</w:t>
            </w:r>
          </w:p>
          <w:p w:rsidR="005578FF" w:rsidRDefault="00825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кінець звітного періоду</w:t>
            </w:r>
          </w:p>
        </w:tc>
      </w:tr>
      <w:tr w:rsidR="005578FF" w:rsidTr="007411D1">
        <w:trPr>
          <w:trHeight w:val="1398"/>
        </w:trPr>
        <w:tc>
          <w:tcPr>
            <w:tcW w:w="206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5578FF">
            <w:pPr>
              <w:jc w:val="center"/>
              <w:rPr>
                <w:b/>
                <w:bCs/>
              </w:rPr>
            </w:pPr>
          </w:p>
        </w:tc>
        <w:tc>
          <w:tcPr>
            <w:tcW w:w="1655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b/>
              </w:rPr>
            </w:pPr>
            <w:r>
              <w:rPr>
                <w:b/>
              </w:rPr>
              <w:t>усього справ</w:t>
            </w:r>
          </w:p>
        </w:tc>
        <w:tc>
          <w:tcPr>
            <w:tcW w:w="1372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у тому числі надійшло у звітному періоді</w:t>
            </w:r>
          </w:p>
        </w:tc>
        <w:tc>
          <w:tcPr>
            <w:tcW w:w="109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усього</w:t>
            </w:r>
          </w:p>
        </w:tc>
        <w:tc>
          <w:tcPr>
            <w:tcW w:w="1634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у тому числі задоволено</w:t>
            </w:r>
          </w:p>
        </w:tc>
        <w:tc>
          <w:tcPr>
            <w:tcW w:w="181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5578FF">
            <w:pPr>
              <w:jc w:val="center"/>
              <w:rPr>
                <w:b/>
                <w:bCs/>
              </w:rPr>
            </w:pPr>
          </w:p>
        </w:tc>
      </w:tr>
      <w:tr w:rsidR="005578FF" w:rsidTr="007411D1">
        <w:trPr>
          <w:trHeight w:val="255"/>
        </w:trPr>
        <w:tc>
          <w:tcPr>
            <w:tcW w:w="20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5578FF">
            <w:pPr>
              <w:jc w:val="center"/>
            </w:pPr>
          </w:p>
        </w:tc>
        <w:tc>
          <w:tcPr>
            <w:tcW w:w="16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5578FF">
            <w:pPr>
              <w:jc w:val="center"/>
            </w:pPr>
          </w:p>
        </w:tc>
        <w:tc>
          <w:tcPr>
            <w:tcW w:w="137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5578FF">
            <w:pPr>
              <w:jc w:val="center"/>
            </w:pPr>
          </w:p>
        </w:tc>
        <w:tc>
          <w:tcPr>
            <w:tcW w:w="10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5578FF">
            <w:pPr>
              <w:jc w:val="center"/>
            </w:pP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5578FF">
            <w:pPr>
              <w:jc w:val="center"/>
            </w:pPr>
          </w:p>
        </w:tc>
        <w:tc>
          <w:tcPr>
            <w:tcW w:w="18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5578FF">
            <w:pPr>
              <w:jc w:val="center"/>
            </w:pPr>
          </w:p>
        </w:tc>
      </w:tr>
      <w:tr w:rsidR="005578FF" w:rsidTr="007411D1">
        <w:trPr>
          <w:trHeight w:val="255"/>
        </w:trPr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Б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1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2</w:t>
            </w:r>
          </w:p>
        </w:tc>
        <w:tc>
          <w:tcPr>
            <w:tcW w:w="10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3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4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5</w:t>
            </w:r>
          </w:p>
        </w:tc>
      </w:tr>
      <w:tr w:rsidR="005578FF" w:rsidTr="007411D1">
        <w:trPr>
          <w:trHeight w:val="454"/>
        </w:trPr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r>
              <w:t>Справи кримінального провадження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130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111</w:t>
            </w:r>
          </w:p>
        </w:tc>
        <w:tc>
          <w:tcPr>
            <w:tcW w:w="10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45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0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85</w:t>
            </w:r>
          </w:p>
        </w:tc>
      </w:tr>
      <w:tr w:rsidR="005578FF" w:rsidTr="007411D1">
        <w:trPr>
          <w:trHeight w:val="454"/>
        </w:trPr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r>
              <w:t>Справи в порядку виконання судових рішень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48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45</w:t>
            </w:r>
          </w:p>
        </w:tc>
        <w:tc>
          <w:tcPr>
            <w:tcW w:w="10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30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27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18</w:t>
            </w:r>
          </w:p>
        </w:tc>
      </w:tr>
      <w:tr w:rsidR="005578FF" w:rsidTr="007411D1">
        <w:trPr>
          <w:trHeight w:val="754"/>
        </w:trPr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r>
              <w:t>Клопотання прокурора  про закриття кримінального провадження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9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9</w:t>
            </w:r>
          </w:p>
        </w:tc>
        <w:tc>
          <w:tcPr>
            <w:tcW w:w="10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7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7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2</w:t>
            </w:r>
          </w:p>
        </w:tc>
      </w:tr>
      <w:tr w:rsidR="005578FF" w:rsidTr="007411D1">
        <w:trPr>
          <w:trHeight w:val="754"/>
        </w:trPr>
        <w:tc>
          <w:tcPr>
            <w:tcW w:w="20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r>
              <w:t>Усього</w:t>
            </w:r>
          </w:p>
        </w:tc>
        <w:tc>
          <w:tcPr>
            <w:tcW w:w="165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7411D1">
            <w:pPr>
              <w:jc w:val="center"/>
            </w:pPr>
            <w:r>
              <w:t>187</w:t>
            </w:r>
          </w:p>
        </w:tc>
        <w:tc>
          <w:tcPr>
            <w:tcW w:w="13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7411D1">
            <w:pPr>
              <w:jc w:val="center"/>
            </w:pPr>
            <w:r>
              <w:t>165</w:t>
            </w:r>
          </w:p>
        </w:tc>
        <w:tc>
          <w:tcPr>
            <w:tcW w:w="109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82</w:t>
            </w:r>
          </w:p>
        </w:tc>
        <w:tc>
          <w:tcPr>
            <w:tcW w:w="1634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</w:pPr>
            <w:r>
              <w:t>34</w:t>
            </w:r>
          </w:p>
        </w:tc>
        <w:tc>
          <w:tcPr>
            <w:tcW w:w="18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7411D1">
            <w:pPr>
              <w:jc w:val="center"/>
            </w:pPr>
            <w:r>
              <w:t>105</w:t>
            </w:r>
          </w:p>
        </w:tc>
      </w:tr>
    </w:tbl>
    <w:p w:rsidR="005578FF" w:rsidRDefault="005578FF">
      <w:pPr>
        <w:pStyle w:val="30"/>
        <w:widowControl/>
        <w:suppressAutoHyphens w:val="0"/>
        <w:rPr>
          <w:rFonts w:cs="Times New Roman"/>
          <w:kern w:val="0"/>
          <w:sz w:val="28"/>
          <w:szCs w:val="28"/>
        </w:rPr>
      </w:pPr>
    </w:p>
    <w:p w:rsidR="005578FF" w:rsidRDefault="005578FF">
      <w:pPr>
        <w:pStyle w:val="30"/>
        <w:widowControl/>
        <w:suppressAutoHyphens w:val="0"/>
        <w:rPr>
          <w:rFonts w:cs="Times New Roman"/>
          <w:kern w:val="0"/>
          <w:sz w:val="28"/>
          <w:szCs w:val="28"/>
        </w:rPr>
      </w:pPr>
    </w:p>
    <w:p w:rsidR="005578FF" w:rsidRDefault="008253B1">
      <w:pPr>
        <w:pStyle w:val="30"/>
        <w:widowControl/>
        <w:suppressAutoHyphens w:val="0"/>
        <w:rPr>
          <w:rFonts w:cs="Times New Roman"/>
          <w:kern w:val="0"/>
          <w:sz w:val="28"/>
          <w:szCs w:val="28"/>
        </w:rPr>
      </w:pPr>
      <w:r>
        <w:rPr>
          <w:rFonts w:cs="Times New Roman"/>
          <w:kern w:val="0"/>
          <w:sz w:val="28"/>
          <w:szCs w:val="28"/>
        </w:rPr>
        <w:t xml:space="preserve">У провадженні Баранівського районного суду Житомирської області упродовж 2024 року знаходилась 130 справ кримінального провадження, з них 111 які  надійшли в звітному періоді, що на 75 справ більше у порівнянні з 2023 роком. </w:t>
      </w:r>
    </w:p>
    <w:p w:rsidR="005578FF" w:rsidRDefault="008253B1">
      <w:pPr>
        <w:pStyle w:val="30"/>
        <w:widowControl/>
        <w:suppressAutoHyphens w:val="0"/>
        <w:rPr>
          <w:rFonts w:cs="Times New Roman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486400" cy="233934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578FF" w:rsidRDefault="008253B1">
      <w:pPr>
        <w:pStyle w:val="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Закінчено провадження по 45 </w:t>
      </w:r>
      <w:r>
        <w:rPr>
          <w:rFonts w:cs="Times New Roman"/>
          <w:sz w:val="28"/>
          <w:szCs w:val="28"/>
        </w:rPr>
        <w:t xml:space="preserve">справам кримінального провадження або 29 % до числа усіх </w:t>
      </w:r>
      <w:r>
        <w:rPr>
          <w:rFonts w:cs="Times New Roman"/>
          <w:kern w:val="0"/>
          <w:sz w:val="28"/>
          <w:szCs w:val="28"/>
        </w:rPr>
        <w:t>кримінальних проваджень</w:t>
      </w:r>
      <w:r>
        <w:rPr>
          <w:rFonts w:cs="Times New Roman"/>
          <w:sz w:val="28"/>
          <w:szCs w:val="28"/>
        </w:rPr>
        <w:t xml:space="preserve">, що перебували у провадженні. </w:t>
      </w:r>
    </w:p>
    <w:p w:rsidR="005578FF" w:rsidRDefault="008253B1">
      <w:pPr>
        <w:ind w:firstLine="630"/>
        <w:jc w:val="both"/>
        <w:rPr>
          <w:sz w:val="28"/>
          <w:szCs w:val="28"/>
        </w:rPr>
      </w:pPr>
      <w:r>
        <w:rPr>
          <w:sz w:val="28"/>
          <w:szCs w:val="28"/>
        </w:rPr>
        <w:t>Закінчено пр</w:t>
      </w:r>
      <w:r w:rsidR="00BF2F47">
        <w:rPr>
          <w:sz w:val="28"/>
          <w:szCs w:val="28"/>
        </w:rPr>
        <w:t xml:space="preserve">овадження з постановленням </w:t>
      </w:r>
      <w:proofErr w:type="spellStart"/>
      <w:r w:rsidR="00BF2F47">
        <w:rPr>
          <w:sz w:val="28"/>
          <w:szCs w:val="28"/>
        </w:rPr>
        <w:t>вироків</w:t>
      </w:r>
      <w:proofErr w:type="spellEnd"/>
      <w:r>
        <w:rPr>
          <w:sz w:val="28"/>
          <w:szCs w:val="28"/>
        </w:rPr>
        <w:t xml:space="preserve"> по 37 кримінальним провадженням, з них із затвердженням угоди 3 справ.</w:t>
      </w:r>
    </w:p>
    <w:p w:rsidR="005578FF" w:rsidRDefault="008253B1">
      <w:pPr>
        <w:pStyle w:val="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Закрито провадження по 8 </w:t>
      </w:r>
      <w:r>
        <w:rPr>
          <w:rFonts w:cs="Times New Roman"/>
          <w:kern w:val="0"/>
          <w:sz w:val="28"/>
          <w:szCs w:val="28"/>
        </w:rPr>
        <w:t>кр</w:t>
      </w:r>
      <w:r>
        <w:rPr>
          <w:rFonts w:cs="Times New Roman"/>
          <w:kern w:val="0"/>
          <w:sz w:val="28"/>
          <w:szCs w:val="28"/>
        </w:rPr>
        <w:t>имінальному провадженні</w:t>
      </w:r>
      <w:r>
        <w:rPr>
          <w:rFonts w:cs="Times New Roman"/>
          <w:sz w:val="28"/>
          <w:szCs w:val="28"/>
        </w:rPr>
        <w:t xml:space="preserve">. </w:t>
      </w:r>
    </w:p>
    <w:p w:rsidR="005578FF" w:rsidRDefault="008253B1">
      <w:pPr>
        <w:ind w:firstLine="630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lastRenderedPageBreak/>
        <w:t xml:space="preserve">Упродовж 2024 року засуджено 37 осіб, а у 2023 році – 23 осіб, тобто на 14 особи більше у 2024  порівняно з 2023 роком. </w:t>
      </w:r>
    </w:p>
    <w:p w:rsidR="005578FF" w:rsidRDefault="008253B1">
      <w:pPr>
        <w:pStyle w:val="20"/>
        <w:rPr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Залишилися не розглянутими на кінець звітного періоду 85 кримінальних проваджень. </w:t>
      </w:r>
    </w:p>
    <w:p w:rsidR="005578FF" w:rsidRDefault="005578FF">
      <w:pPr>
        <w:jc w:val="center"/>
        <w:rPr>
          <w:rFonts w:eastAsia="Lucida Sans Unicode"/>
          <w:b/>
          <w:bCs/>
          <w:sz w:val="28"/>
          <w:szCs w:val="28"/>
          <w:u w:val="single"/>
        </w:rPr>
      </w:pPr>
    </w:p>
    <w:p w:rsidR="005578FF" w:rsidRDefault="008253B1">
      <w:pPr>
        <w:jc w:val="center"/>
        <w:rPr>
          <w:rFonts w:eastAsia="Lucida Sans Unicode"/>
          <w:b/>
          <w:sz w:val="28"/>
          <w:szCs w:val="28"/>
        </w:rPr>
      </w:pPr>
      <w:r>
        <w:rPr>
          <w:rFonts w:eastAsia="Lucida Sans Unicode"/>
          <w:b/>
          <w:bCs/>
          <w:sz w:val="28"/>
          <w:szCs w:val="28"/>
          <w:u w:val="single"/>
        </w:rPr>
        <w:t xml:space="preserve">Розгляд судом цивільних </w:t>
      </w:r>
      <w:r>
        <w:rPr>
          <w:rFonts w:eastAsia="Lucida Sans Unicode"/>
          <w:b/>
          <w:bCs/>
          <w:sz w:val="28"/>
          <w:szCs w:val="28"/>
          <w:u w:val="single"/>
        </w:rPr>
        <w:t>справ</w:t>
      </w:r>
    </w:p>
    <w:p w:rsidR="005578FF" w:rsidRDefault="005578FF">
      <w:pPr>
        <w:pStyle w:val="20"/>
        <w:rPr>
          <w:rFonts w:cs="Times New Roman"/>
          <w:sz w:val="28"/>
          <w:szCs w:val="28"/>
        </w:rPr>
      </w:pPr>
    </w:p>
    <w:p w:rsidR="005578FF" w:rsidRDefault="008253B1">
      <w:pPr>
        <w:pStyle w:val="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 порядку цивільного судочинства в провадженні суду упродовж 2024 року перебувало на розгляді 1284 справ та матеріалів (протягом 2023 року перебувало 994 справ та матеріалів), з яких 911 справ – надійшло у звітному періоді, 690 справ та матеріалів р</w:t>
      </w:r>
      <w:r>
        <w:rPr>
          <w:rFonts w:cs="Times New Roman"/>
          <w:sz w:val="28"/>
          <w:szCs w:val="28"/>
        </w:rPr>
        <w:t xml:space="preserve">озглянуто, 594 –  залишок нерозглянутих на кінець звітного періоду. </w:t>
      </w:r>
    </w:p>
    <w:p w:rsidR="005578FF" w:rsidRDefault="005578FF">
      <w:pPr>
        <w:pStyle w:val="20"/>
        <w:rPr>
          <w:rFonts w:cs="Times New Roman"/>
          <w:sz w:val="28"/>
          <w:szCs w:val="28"/>
        </w:rPr>
      </w:pPr>
    </w:p>
    <w:tbl>
      <w:tblPr>
        <w:tblW w:w="9653" w:type="dxa"/>
        <w:tblInd w:w="94" w:type="dxa"/>
        <w:tblLook w:val="04A0" w:firstRow="1" w:lastRow="0" w:firstColumn="1" w:lastColumn="0" w:noHBand="0" w:noVBand="1"/>
      </w:tblPr>
      <w:tblGrid>
        <w:gridCol w:w="3534"/>
        <w:gridCol w:w="963"/>
        <w:gridCol w:w="1363"/>
        <w:gridCol w:w="1083"/>
        <w:gridCol w:w="1158"/>
        <w:gridCol w:w="1552"/>
      </w:tblGrid>
      <w:tr w:rsidR="005578FF">
        <w:trPr>
          <w:trHeight w:val="600"/>
        </w:trPr>
        <w:tc>
          <w:tcPr>
            <w:tcW w:w="3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Цивільне судочинство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Перебувало в провадженні  справ і матеріалів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Розглянуто справ і матеріалів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Залишок нерозглянутих справ і матеріалів на кінець звітного періоду</w:t>
            </w:r>
          </w:p>
        </w:tc>
      </w:tr>
      <w:tr w:rsidR="005578FF">
        <w:trPr>
          <w:trHeight w:val="230"/>
        </w:trPr>
        <w:tc>
          <w:tcPr>
            <w:tcW w:w="3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5578FF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 xml:space="preserve">усього 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b/>
                <w:bCs/>
                <w:i/>
                <w:iCs/>
                <w:sz w:val="20"/>
                <w:szCs w:val="20"/>
                <w:lang w:eastAsia="uk-UA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eastAsia="uk-UA"/>
              </w:rPr>
              <w:t xml:space="preserve">В т. ч. </w:t>
            </w:r>
            <w:r>
              <w:rPr>
                <w:b/>
                <w:bCs/>
                <w:i/>
                <w:iCs/>
                <w:sz w:val="20"/>
                <w:szCs w:val="20"/>
                <w:lang w:eastAsia="uk-UA"/>
              </w:rPr>
              <w:t>надійшло у звітному періоді</w:t>
            </w:r>
          </w:p>
        </w:tc>
        <w:tc>
          <w:tcPr>
            <w:tcW w:w="21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5578FF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5578FF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</w:tr>
      <w:tr w:rsidR="005578FF">
        <w:trPr>
          <w:trHeight w:val="832"/>
        </w:trPr>
        <w:tc>
          <w:tcPr>
            <w:tcW w:w="3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5578FF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5578FF">
            <w:pPr>
              <w:rPr>
                <w:b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1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5578FF">
            <w:pPr>
              <w:jc w:val="center"/>
              <w:rPr>
                <w:i/>
                <w:iCs/>
                <w:sz w:val="18"/>
                <w:szCs w:val="18"/>
                <w:lang w:eastAsia="uk-UA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 xml:space="preserve">усього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i/>
                <w:iCs/>
                <w:sz w:val="20"/>
                <w:szCs w:val="20"/>
                <w:lang w:eastAsia="uk-UA"/>
              </w:rPr>
            </w:pPr>
            <w:r>
              <w:rPr>
                <w:i/>
                <w:iCs/>
                <w:sz w:val="20"/>
                <w:szCs w:val="20"/>
                <w:lang w:eastAsia="uk-UA"/>
              </w:rPr>
              <w:t xml:space="preserve"> у </w:t>
            </w:r>
            <w:proofErr w:type="spellStart"/>
            <w:r>
              <w:rPr>
                <w:i/>
                <w:iCs/>
                <w:sz w:val="20"/>
                <w:szCs w:val="20"/>
                <w:lang w:eastAsia="uk-UA"/>
              </w:rPr>
              <w:t>т.ч</w:t>
            </w:r>
            <w:proofErr w:type="spellEnd"/>
            <w:r>
              <w:rPr>
                <w:i/>
                <w:iCs/>
                <w:sz w:val="20"/>
                <w:szCs w:val="20"/>
                <w:lang w:eastAsia="uk-UA"/>
              </w:rPr>
              <w:t>. задоволено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5578FF">
            <w:pPr>
              <w:jc w:val="center"/>
              <w:rPr>
                <w:i/>
                <w:iCs/>
                <w:sz w:val="20"/>
                <w:szCs w:val="20"/>
                <w:lang w:eastAsia="uk-UA"/>
              </w:rPr>
            </w:pPr>
          </w:p>
        </w:tc>
      </w:tr>
      <w:tr w:rsidR="005578FF">
        <w:trPr>
          <w:trHeight w:val="315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Заяви про видачу/скасування судового наказу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177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142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166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111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11</w:t>
            </w:r>
          </w:p>
        </w:tc>
      </w:tr>
      <w:tr w:rsidR="005578FF">
        <w:trPr>
          <w:trHeight w:val="315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Заяви про забезпечення (скасування забезпечення доказів, позову до подання позовної заяви)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</w:tr>
      <w:tr w:rsidR="005578FF">
        <w:trPr>
          <w:trHeight w:val="315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Позовні заяви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643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528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413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388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230</w:t>
            </w:r>
          </w:p>
        </w:tc>
      </w:tr>
      <w:tr w:rsidR="005578FF">
        <w:trPr>
          <w:trHeight w:val="285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rPr>
                <w:iCs/>
                <w:sz w:val="20"/>
                <w:szCs w:val="20"/>
                <w:lang w:eastAsia="uk-UA"/>
              </w:rPr>
            </w:pPr>
            <w:r>
              <w:rPr>
                <w:iCs/>
                <w:sz w:val="20"/>
                <w:szCs w:val="20"/>
                <w:lang w:eastAsia="uk-UA"/>
              </w:rPr>
              <w:t>Справи позовного провадження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652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390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378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259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274</w:t>
            </w:r>
          </w:p>
        </w:tc>
      </w:tr>
      <w:tr w:rsidR="005578FF">
        <w:trPr>
          <w:trHeight w:val="315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Заяви окремого провадження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92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86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67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25</w:t>
            </w:r>
          </w:p>
        </w:tc>
      </w:tr>
      <w:tr w:rsidR="005578FF">
        <w:trPr>
          <w:trHeight w:val="315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rPr>
                <w:iCs/>
                <w:sz w:val="20"/>
                <w:szCs w:val="20"/>
                <w:lang w:eastAsia="uk-UA"/>
              </w:rPr>
            </w:pPr>
            <w:r>
              <w:rPr>
                <w:iCs/>
                <w:sz w:val="20"/>
                <w:szCs w:val="20"/>
                <w:lang w:eastAsia="uk-UA"/>
              </w:rPr>
              <w:t>Справи окремого провадження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99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60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62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50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37</w:t>
            </w:r>
          </w:p>
        </w:tc>
      </w:tr>
      <w:tr w:rsidR="005578FF">
        <w:trPr>
          <w:trHeight w:val="315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rPr>
                <w:iCs/>
                <w:sz w:val="20"/>
                <w:szCs w:val="20"/>
                <w:lang w:eastAsia="uk-UA"/>
              </w:rPr>
            </w:pPr>
            <w:r>
              <w:rPr>
                <w:iCs/>
                <w:sz w:val="20"/>
                <w:szCs w:val="20"/>
                <w:lang w:eastAsia="uk-UA"/>
              </w:rPr>
              <w:t>Заяви про перегляд заочного рішення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</w:t>
            </w:r>
          </w:p>
        </w:tc>
      </w:tr>
      <w:tr w:rsidR="005578FF">
        <w:trPr>
          <w:trHeight w:val="480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Клопотання, заяви, подання у порядку виконання судових рішень </w:t>
            </w:r>
            <w:r>
              <w:rPr>
                <w:sz w:val="20"/>
                <w:szCs w:val="20"/>
                <w:lang w:eastAsia="uk-UA"/>
              </w:rPr>
              <w:t>та рішень інших органів (посадових осіб)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59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44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23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 xml:space="preserve">15 </w:t>
            </w:r>
          </w:p>
        </w:tc>
      </w:tr>
      <w:tr w:rsidR="005578FF">
        <w:trPr>
          <w:trHeight w:val="480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Скарги на дії або бездіяльність виконавчої служби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3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</w:t>
            </w:r>
          </w:p>
        </w:tc>
      </w:tr>
      <w:tr w:rsidR="005578FF">
        <w:trPr>
          <w:trHeight w:val="315"/>
        </w:trPr>
        <w:tc>
          <w:tcPr>
            <w:tcW w:w="3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rPr>
                <w:b/>
                <w:bCs/>
                <w:sz w:val="20"/>
                <w:szCs w:val="20"/>
                <w:lang w:eastAsia="uk-UA"/>
              </w:rPr>
            </w:pPr>
            <w:r>
              <w:rPr>
                <w:b/>
                <w:bCs/>
                <w:sz w:val="20"/>
                <w:szCs w:val="20"/>
                <w:lang w:eastAsia="uk-UA"/>
              </w:rPr>
              <w:t>ВСЬОГО 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1284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911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690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448</w:t>
            </w: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8FF" w:rsidRDefault="008253B1">
            <w:pPr>
              <w:jc w:val="center"/>
              <w:rPr>
                <w:sz w:val="20"/>
                <w:szCs w:val="20"/>
                <w:lang w:eastAsia="uk-UA"/>
              </w:rPr>
            </w:pPr>
            <w:r>
              <w:rPr>
                <w:sz w:val="20"/>
                <w:szCs w:val="20"/>
                <w:lang w:eastAsia="uk-UA"/>
              </w:rPr>
              <w:t>594</w:t>
            </w:r>
          </w:p>
        </w:tc>
      </w:tr>
    </w:tbl>
    <w:p w:rsidR="005578FF" w:rsidRDefault="005578FF"/>
    <w:p w:rsidR="005578FF" w:rsidRDefault="008253B1">
      <w:pPr>
        <w:pStyle w:val="20"/>
        <w:rPr>
          <w:rFonts w:cs="Times New Roman"/>
          <w:sz w:val="28"/>
          <w:szCs w:val="28"/>
        </w:rPr>
      </w:pPr>
      <w:r>
        <w:rPr>
          <w:noProof/>
          <w:lang w:eastAsia="uk-UA"/>
        </w:rPr>
        <w:lastRenderedPageBreak/>
        <w:drawing>
          <wp:inline distT="0" distB="0" distL="0" distR="0">
            <wp:extent cx="54864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5578FF" w:rsidRDefault="005578FF">
      <w:pPr>
        <w:pStyle w:val="20"/>
        <w:rPr>
          <w:rFonts w:cs="Times New Roman"/>
          <w:sz w:val="28"/>
          <w:szCs w:val="28"/>
        </w:rPr>
      </w:pPr>
    </w:p>
    <w:p w:rsidR="005578FF" w:rsidRDefault="008253B1">
      <w:pPr>
        <w:pStyle w:val="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провадженні суду упродовж 2024 році перебувало на розгляді 652 справ позовного провадження (2023 року</w:t>
      </w:r>
      <w:r>
        <w:rPr>
          <w:rFonts w:cs="Times New Roman"/>
          <w:sz w:val="28"/>
          <w:szCs w:val="28"/>
        </w:rPr>
        <w:t xml:space="preserve"> перебувало на розгляді 516), з яких 390 справ – надійшли у звітному періоді, 378 справ розглянуто, з яких 259 – із задоволенням позову. Не розглянутими на кінець звітного періоду залишилось 274 цивільних справ позовного провадження та 56  позовних заяв.</w:t>
      </w:r>
    </w:p>
    <w:p w:rsidR="005578FF" w:rsidRDefault="008253B1">
      <w:pPr>
        <w:pStyle w:val="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</w:t>
      </w:r>
      <w:r>
        <w:rPr>
          <w:rFonts w:cs="Times New Roman"/>
          <w:sz w:val="28"/>
          <w:szCs w:val="28"/>
        </w:rPr>
        <w:t>озглянуто з ухваленням заочного рішення 150 цивільних справ, у спрощеному провадженні розглянуто 199 справ.</w:t>
      </w:r>
    </w:p>
    <w:p w:rsidR="005578FF" w:rsidRDefault="008253B1">
      <w:pPr>
        <w:pStyle w:val="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2024 року в провадженні суду перебувало 177 заяв про видачу судового наказу (2023 році – 174 заяв про видачу судового наказу), заяви надійшли у зв</w:t>
      </w:r>
      <w:r>
        <w:rPr>
          <w:rFonts w:cs="Times New Roman"/>
          <w:sz w:val="28"/>
          <w:szCs w:val="28"/>
        </w:rPr>
        <w:t>ітному періоді, розглянуті 166 заяв про видачу судового наказу, залишок 11 заяв про видачу судового наказу.</w:t>
      </w:r>
    </w:p>
    <w:p w:rsidR="005578FF" w:rsidRDefault="008253B1">
      <w:pPr>
        <w:pStyle w:val="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З них 105 заяв задоволено та видано судові накази, 52 заяв відмовлено у видачі судового наказу. </w:t>
      </w:r>
    </w:p>
    <w:p w:rsidR="005578FF" w:rsidRDefault="008253B1">
      <w:pPr>
        <w:pStyle w:val="2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Розглянуто шість заяв про скасування судового нака</w:t>
      </w:r>
      <w:r>
        <w:rPr>
          <w:rFonts w:cs="Times New Roman"/>
          <w:sz w:val="28"/>
          <w:szCs w:val="28"/>
        </w:rPr>
        <w:t>зу, шість судових наказів скасовано.</w:t>
      </w:r>
    </w:p>
    <w:p w:rsidR="005578FF" w:rsidRDefault="008253B1">
      <w:pPr>
        <w:ind w:firstLine="63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В 2024 році в провадженні суду знаходилось 92 заяви окремого провадження (в 2023 році – 60) та 99 справ окремого провадження, з яких розглянуто 62 справ, в т. ч. із задоволенням розглянуто 59 справ. На кінець звітного п</w:t>
      </w:r>
      <w:r>
        <w:rPr>
          <w:rFonts w:eastAsia="Lucida Sans Unicode"/>
          <w:sz w:val="28"/>
          <w:szCs w:val="28"/>
        </w:rPr>
        <w:t xml:space="preserve">еріоду не розглянуто 37 справи окремого провадження. </w:t>
      </w:r>
    </w:p>
    <w:p w:rsidR="005578FF" w:rsidRDefault="008253B1">
      <w:pPr>
        <w:ind w:firstLine="63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В провадженні суду упродовж звітного періоду також перебували:</w:t>
      </w:r>
    </w:p>
    <w:p w:rsidR="005578FF" w:rsidRDefault="008253B1">
      <w:pPr>
        <w:ind w:firstLine="63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1 заява про забезпечення (скасування забезпечення) доказів, позову до подання позовної заяви, яка розглянута.</w:t>
      </w:r>
    </w:p>
    <w:p w:rsidR="005578FF" w:rsidRDefault="008253B1">
      <w:pPr>
        <w:ind w:firstLine="63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59 клопотань, заяв, подань у </w:t>
      </w:r>
      <w:r>
        <w:rPr>
          <w:rFonts w:eastAsia="Lucida Sans Unicode"/>
          <w:sz w:val="28"/>
          <w:szCs w:val="28"/>
        </w:rPr>
        <w:t>порядку виконання судових рішень та рішень інших органів, 44 справ  розглянуті, в т. ч. 23 справи розглянуті із задоволенням, залишок 15 справи на кінець звітного періоду залишилися не розглянутими.</w:t>
      </w:r>
    </w:p>
    <w:p w:rsidR="005578FF" w:rsidRDefault="008253B1">
      <w:pPr>
        <w:ind w:firstLine="630"/>
        <w:jc w:val="both"/>
        <w:rPr>
          <w:iCs/>
          <w:sz w:val="28"/>
          <w:szCs w:val="28"/>
          <w:lang w:eastAsia="uk-UA"/>
        </w:rPr>
      </w:pPr>
      <w:r>
        <w:rPr>
          <w:rFonts w:eastAsia="Lucida Sans Unicode"/>
          <w:sz w:val="28"/>
          <w:szCs w:val="28"/>
        </w:rPr>
        <w:t>4 з</w:t>
      </w:r>
      <w:r>
        <w:rPr>
          <w:iCs/>
          <w:sz w:val="28"/>
          <w:szCs w:val="28"/>
          <w:lang w:eastAsia="uk-UA"/>
        </w:rPr>
        <w:t>аяви про перегляд заочного рішення, які надійшли у зві</w:t>
      </w:r>
      <w:r>
        <w:rPr>
          <w:iCs/>
          <w:sz w:val="28"/>
          <w:szCs w:val="28"/>
          <w:lang w:eastAsia="uk-UA"/>
        </w:rPr>
        <w:t>тному періоді, 3 розглянуті, 1 на кінець звітного періоду.</w:t>
      </w:r>
    </w:p>
    <w:p w:rsidR="005578FF" w:rsidRDefault="008253B1">
      <w:pPr>
        <w:ind w:firstLine="63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 xml:space="preserve">Заяв про перегляд рішень, ухвал суду чи судових наказів у зв'язку з нововиявленими або виключними обставинами до суду не надходили.  </w:t>
      </w:r>
    </w:p>
    <w:p w:rsidR="005578FF" w:rsidRDefault="008253B1">
      <w:pPr>
        <w:ind w:firstLine="630"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lastRenderedPageBreak/>
        <w:t xml:space="preserve">Причинами неодноразового відкладення розгляду справ є неявка в </w:t>
      </w:r>
      <w:r>
        <w:rPr>
          <w:rFonts w:eastAsia="Lucida Sans Unicode"/>
          <w:sz w:val="28"/>
          <w:szCs w:val="28"/>
        </w:rPr>
        <w:t xml:space="preserve">судове засідання сторін по справі та відсутність в матеріалах справи повідомлень про вручення повістки, що приводить до порушення строків розгляду справ. </w:t>
      </w:r>
    </w:p>
    <w:p w:rsidR="005578FF" w:rsidRDefault="005578FF">
      <w:pPr>
        <w:pStyle w:val="1"/>
        <w:ind w:firstLine="0"/>
        <w:rPr>
          <w:sz w:val="28"/>
          <w:szCs w:val="28"/>
        </w:rPr>
      </w:pPr>
    </w:p>
    <w:p w:rsidR="005578FF" w:rsidRDefault="008253B1">
      <w:pPr>
        <w:pStyle w:val="1"/>
        <w:ind w:firstLine="0"/>
        <w:rPr>
          <w:sz w:val="28"/>
          <w:szCs w:val="28"/>
        </w:rPr>
      </w:pPr>
      <w:r>
        <w:rPr>
          <w:sz w:val="28"/>
          <w:szCs w:val="28"/>
        </w:rPr>
        <w:t>Розгляд справ в порядку адміністративного судочинства</w:t>
      </w:r>
    </w:p>
    <w:p w:rsidR="005578FF" w:rsidRDefault="005578FF">
      <w:pPr>
        <w:tabs>
          <w:tab w:val="left" w:pos="0"/>
        </w:tabs>
        <w:ind w:firstLine="630"/>
        <w:jc w:val="both"/>
        <w:rPr>
          <w:rFonts w:eastAsia="Lucida Sans Unicode"/>
          <w:sz w:val="28"/>
          <w:szCs w:val="28"/>
        </w:rPr>
      </w:pPr>
    </w:p>
    <w:p w:rsidR="005578FF" w:rsidRDefault="008253B1">
      <w:pPr>
        <w:tabs>
          <w:tab w:val="left" w:pos="0"/>
        </w:tabs>
        <w:ind w:firstLine="63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Упродовж 2024 року в провадженні суду перебувало 37 позовних заяв, заяв, подань, клопотань (24 надійшло у звітному періоді), з яких 22 розглянуто, в т. ч. 10 розглянуто із задоволенням. </w:t>
      </w:r>
    </w:p>
    <w:p w:rsidR="005578FF" w:rsidRDefault="008253B1">
      <w:pPr>
        <w:tabs>
          <w:tab w:val="left" w:pos="0"/>
        </w:tabs>
        <w:ind w:firstLine="63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Разом з тим, у 2023 році в провадженні суду перебувало 33 позовних за</w:t>
      </w:r>
      <w:r>
        <w:rPr>
          <w:rFonts w:eastAsia="Lucida Sans Unicode"/>
          <w:sz w:val="28"/>
          <w:szCs w:val="28"/>
        </w:rPr>
        <w:t>яв, заяв, подань, клопотань (23 надійшло у звітному періоді), з яких 15 розглянуто, в т. ч. 5 розглянуто із задоволенням, 18 – не розглянуто на кінець звітного періоду.</w:t>
      </w:r>
    </w:p>
    <w:p w:rsidR="005578FF" w:rsidRDefault="005578FF">
      <w:pPr>
        <w:tabs>
          <w:tab w:val="left" w:pos="0"/>
        </w:tabs>
        <w:ind w:firstLine="630"/>
        <w:jc w:val="both"/>
        <w:rPr>
          <w:rFonts w:eastAsia="Lucida Sans Unicode"/>
          <w:sz w:val="28"/>
          <w:szCs w:val="28"/>
        </w:rPr>
      </w:pPr>
    </w:p>
    <w:p w:rsidR="005578FF" w:rsidRDefault="008253B1">
      <w:pPr>
        <w:tabs>
          <w:tab w:val="left" w:pos="0"/>
        </w:tabs>
        <w:ind w:firstLine="630"/>
        <w:jc w:val="both"/>
        <w:rPr>
          <w:rFonts w:eastAsia="Lucida Sans Unicode"/>
          <w:sz w:val="28"/>
          <w:szCs w:val="28"/>
        </w:rPr>
      </w:pPr>
      <w:r>
        <w:rPr>
          <w:noProof/>
          <w:lang w:eastAsia="uk-UA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578FF" w:rsidRDefault="005578FF">
      <w:pPr>
        <w:jc w:val="both"/>
        <w:rPr>
          <w:rFonts w:eastAsia="Lucida Sans Unicode"/>
          <w:sz w:val="28"/>
          <w:szCs w:val="28"/>
        </w:rPr>
      </w:pPr>
    </w:p>
    <w:p w:rsidR="005578FF" w:rsidRDefault="008253B1">
      <w:pPr>
        <w:tabs>
          <w:tab w:val="left" w:pos="0"/>
        </w:tabs>
        <w:ind w:firstLine="63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За позовними заявами упродовж 2024 року в провадженні суду перебувало 22 справи адм</w:t>
      </w:r>
      <w:r>
        <w:rPr>
          <w:rFonts w:eastAsia="Lucida Sans Unicode"/>
          <w:sz w:val="28"/>
          <w:szCs w:val="28"/>
        </w:rPr>
        <w:t>іністративного судочинства, 11 із яких надійшли у звітному періоді, з них розглянуто 19 справи із прийняттям постанови, а упродовж 2023 року в провадженні суду перебувало 21 справи, 13 із яких надійшли у звітному періоді, з них розглянуто 12 справи із прий</w:t>
      </w:r>
      <w:r>
        <w:rPr>
          <w:rFonts w:eastAsia="Lucida Sans Unicode"/>
          <w:sz w:val="28"/>
          <w:szCs w:val="28"/>
        </w:rPr>
        <w:t xml:space="preserve">няттям постанови.    </w:t>
      </w:r>
    </w:p>
    <w:p w:rsidR="005578FF" w:rsidRDefault="008253B1">
      <w:pPr>
        <w:tabs>
          <w:tab w:val="left" w:pos="0"/>
        </w:tabs>
        <w:ind w:firstLine="630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Залишок нерозглянутих справ і матеріалів на кінець звітного періоду становить 9 справ.</w:t>
      </w:r>
    </w:p>
    <w:p w:rsidR="005578FF" w:rsidRDefault="005578FF">
      <w:pPr>
        <w:ind w:firstLine="15"/>
        <w:rPr>
          <w:sz w:val="28"/>
          <w:szCs w:val="28"/>
          <w:u w:val="single"/>
        </w:rPr>
      </w:pPr>
    </w:p>
    <w:p w:rsidR="005578FF" w:rsidRDefault="008253B1">
      <w:pPr>
        <w:spacing w:line="100" w:lineRule="atLeast"/>
        <w:ind w:firstLine="15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Розгляд судом справ про адміністративні правопорушення</w:t>
      </w:r>
    </w:p>
    <w:p w:rsidR="005578FF" w:rsidRDefault="005578FF">
      <w:pPr>
        <w:pStyle w:val="a7"/>
        <w:spacing w:after="0" w:line="100" w:lineRule="atLeast"/>
        <w:ind w:firstLine="845"/>
        <w:rPr>
          <w:rFonts w:ascii="Times New Roman" w:eastAsia="Lucida Sans Unicode" w:hAnsi="Times New Roman" w:cs="Times New Roman"/>
          <w:sz w:val="28"/>
          <w:szCs w:val="28"/>
          <w:lang w:val="uk-UA"/>
        </w:rPr>
      </w:pPr>
    </w:p>
    <w:p w:rsidR="005578FF" w:rsidRDefault="008253B1">
      <w:pPr>
        <w:pStyle w:val="a7"/>
        <w:spacing w:after="0" w:line="10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В провадженні суду упродовж 2024 року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перебувало 1438 справ про адміністративні правопоруш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ення (в т. ч. 1185 справ надійшло у звітному періоді), що на 536 справ </w:t>
      </w:r>
      <w:r>
        <w:rPr>
          <w:rFonts w:ascii="Times New Roman" w:eastAsia="Lucida Sans Unicode" w:hAnsi="Times New Roman" w:cs="Times New Roman"/>
          <w:sz w:val="28"/>
          <w:szCs w:val="28"/>
          <w:lang w:val="uk-UA"/>
        </w:rPr>
        <w:t>менше в порівнянні з 2023 роком (902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справи). Залишок на кінець звітного періоду – 483 справ.</w:t>
      </w:r>
    </w:p>
    <w:p w:rsidR="005578FF" w:rsidRDefault="005578FF">
      <w:pPr>
        <w:pStyle w:val="a7"/>
        <w:spacing w:after="0" w:line="10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578FF" w:rsidRDefault="008253B1">
      <w:pPr>
        <w:pStyle w:val="a7"/>
        <w:spacing w:after="0" w:line="10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noProof/>
          <w:lang w:val="uk-UA" w:eastAsia="uk-UA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5578FF" w:rsidRDefault="005578FF">
      <w:pPr>
        <w:pStyle w:val="a7"/>
        <w:spacing w:after="0" w:line="10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5578FF" w:rsidRDefault="008253B1">
      <w:pPr>
        <w:pStyle w:val="a7"/>
        <w:spacing w:after="0" w:line="100" w:lineRule="atLeast"/>
        <w:ind w:firstLine="708"/>
        <w:jc w:val="both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Розглянуто упродовж звітного періоду 956 справ про адміністративні правопорушення та 30 повернуто для належного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дооформлення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. </w:t>
      </w:r>
    </w:p>
    <w:p w:rsidR="005578FF" w:rsidRDefault="008253B1">
      <w:pPr>
        <w:pStyle w:val="a7"/>
        <w:spacing w:after="0" w:line="100" w:lineRule="atLeast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У провадженні Баранівського районного суду Житомирської області упродовж 2024 року перебувало 7 справ про адміністративне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правопорушення щодо корупційних діянь, які надійшли у звітному періоді 6 справ розглянуто, 1 справа перейшла у залишок на кінець звітного періоду.</w:t>
      </w:r>
    </w:p>
    <w:p w:rsidR="005578FF" w:rsidRDefault="008253B1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 порядку виконання постанов у справах про адміністративні правопорушення в провадженні Баранівського районно</w:t>
      </w:r>
      <w:r>
        <w:rPr>
          <w:color w:val="000000"/>
          <w:sz w:val="28"/>
          <w:szCs w:val="28"/>
        </w:rPr>
        <w:t>го суду Житомирської області упродовж  2024 року надійшла 1 справа, яка була розглянута.</w:t>
      </w:r>
    </w:p>
    <w:p w:rsidR="005578FF" w:rsidRDefault="008253B1">
      <w:pPr>
        <w:ind w:firstLine="708"/>
        <w:jc w:val="both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Постанови по адміністративним справам звертаються до виконання протягом трьох днів після закінчення строку на добровільну сплату штрафу. Не звернених до виконання пост</w:t>
      </w:r>
      <w:r>
        <w:rPr>
          <w:rFonts w:eastAsia="Lucida Sans Unicode"/>
          <w:sz w:val="28"/>
          <w:szCs w:val="28"/>
        </w:rPr>
        <w:t>анов, по яких пройшов строк пред’явлення до виконання немає.</w:t>
      </w:r>
    </w:p>
    <w:p w:rsidR="005578FF" w:rsidRDefault="005578FF">
      <w:pPr>
        <w:ind w:firstLine="708"/>
        <w:jc w:val="both"/>
        <w:rPr>
          <w:rFonts w:eastAsia="Lucida Sans Unicode"/>
          <w:sz w:val="28"/>
          <w:szCs w:val="28"/>
        </w:rPr>
      </w:pPr>
    </w:p>
    <w:p w:rsidR="005578FF" w:rsidRDefault="005578FF">
      <w:pPr>
        <w:ind w:firstLine="708"/>
        <w:jc w:val="both"/>
        <w:rPr>
          <w:rFonts w:eastAsia="Lucida Sans Unicode"/>
          <w:sz w:val="28"/>
          <w:szCs w:val="28"/>
        </w:rPr>
      </w:pPr>
    </w:p>
    <w:p w:rsidR="005578FF" w:rsidRDefault="005578FF">
      <w:pPr>
        <w:ind w:firstLine="708"/>
        <w:jc w:val="both"/>
        <w:rPr>
          <w:rFonts w:eastAsia="Lucida Sans Unicode"/>
          <w:sz w:val="28"/>
          <w:szCs w:val="28"/>
        </w:rPr>
      </w:pPr>
    </w:p>
    <w:p w:rsidR="005578FF" w:rsidRDefault="005578FF">
      <w:pPr>
        <w:ind w:firstLine="708"/>
        <w:jc w:val="both"/>
        <w:rPr>
          <w:rFonts w:eastAsia="Lucida Sans Unicode"/>
          <w:sz w:val="28"/>
          <w:szCs w:val="28"/>
        </w:rPr>
      </w:pPr>
    </w:p>
    <w:p w:rsidR="005578FF" w:rsidRDefault="008253B1">
      <w:pPr>
        <w:ind w:firstLine="690"/>
        <w:rPr>
          <w:rFonts w:eastAsia="Lucida Sans Unicode"/>
          <w:sz w:val="28"/>
          <w:szCs w:val="28"/>
        </w:rPr>
      </w:pPr>
      <w:r>
        <w:rPr>
          <w:rFonts w:eastAsia="Lucida Sans Unicode"/>
          <w:sz w:val="28"/>
          <w:szCs w:val="28"/>
        </w:rPr>
        <w:t>Старший секретар суду                                       О.А. Муравський</w:t>
      </w:r>
      <w:bookmarkStart w:id="0" w:name="_GoBack"/>
      <w:bookmarkEnd w:id="0"/>
    </w:p>
    <w:p w:rsidR="005578FF" w:rsidRDefault="005578FF"/>
    <w:p w:rsidR="005578FF" w:rsidRDefault="005578FF"/>
    <w:p w:rsidR="005578FF" w:rsidRDefault="005578FF"/>
    <w:sectPr w:rsidR="005578FF">
      <w:pgSz w:w="11906" w:h="16838"/>
      <w:pgMar w:top="85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7F746B"/>
    <w:multiLevelType w:val="multilevel"/>
    <w:tmpl w:val="02DC354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F6979C4"/>
    <w:multiLevelType w:val="multilevel"/>
    <w:tmpl w:val="4BCA1380"/>
    <w:lvl w:ilvl="0">
      <w:start w:val="1"/>
      <w:numFmt w:val="bullet"/>
      <w:lvlText w:val="-"/>
      <w:lvlJc w:val="left"/>
      <w:pPr>
        <w:tabs>
          <w:tab w:val="num" w:pos="990"/>
        </w:tabs>
        <w:ind w:left="99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FF"/>
    <w:rsid w:val="001E0E3F"/>
    <w:rsid w:val="00215269"/>
    <w:rsid w:val="00533B20"/>
    <w:rsid w:val="005578FF"/>
    <w:rsid w:val="007411D1"/>
    <w:rsid w:val="008253B1"/>
    <w:rsid w:val="00BF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948FAEE-DC07-4CEF-ADA2-DB9191D72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53F8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9F53F8"/>
    <w:pPr>
      <w:keepNext/>
      <w:ind w:firstLine="630"/>
      <w:jc w:val="center"/>
      <w:outlineLvl w:val="0"/>
    </w:pPr>
    <w:rPr>
      <w:rFonts w:eastAsia="Lucida Sans Unicode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9F53F8"/>
    <w:rPr>
      <w:rFonts w:ascii="Times New Roman" w:eastAsia="Lucida Sans Unicode" w:hAnsi="Times New Roman" w:cs="Times New Roman"/>
      <w:b/>
      <w:bCs/>
      <w:sz w:val="24"/>
      <w:szCs w:val="24"/>
      <w:u w:val="single"/>
      <w:lang w:val="uk-UA" w:eastAsia="ru-RU"/>
    </w:rPr>
  </w:style>
  <w:style w:type="character" w:customStyle="1" w:styleId="a3">
    <w:name w:val="Основний текст з відступом Знак"/>
    <w:basedOn w:val="a0"/>
    <w:semiHidden/>
    <w:qFormat/>
    <w:rsid w:val="009F53F8"/>
    <w:rPr>
      <w:rFonts w:ascii="Times New Roman" w:eastAsia="Lucida Sans Unicode" w:hAnsi="Times New Roman" w:cs="Tahoma"/>
      <w:kern w:val="2"/>
      <w:lang w:val="uk-UA" w:eastAsia="ru-RU"/>
    </w:rPr>
  </w:style>
  <w:style w:type="character" w:customStyle="1" w:styleId="a4">
    <w:name w:val="Основний текст Знак"/>
    <w:basedOn w:val="a0"/>
    <w:semiHidden/>
    <w:qFormat/>
    <w:rsid w:val="009F53F8"/>
    <w:rPr>
      <w:rFonts w:ascii="Arial" w:eastAsia="Arial Unicode MS" w:hAnsi="Arial" w:cs="Tahoma"/>
      <w:kern w:val="2"/>
      <w:sz w:val="20"/>
      <w:szCs w:val="24"/>
      <w:lang w:eastAsia="ru-RU"/>
    </w:rPr>
  </w:style>
  <w:style w:type="character" w:customStyle="1" w:styleId="3">
    <w:name w:val="Основний текст з відступом 3 Знак"/>
    <w:basedOn w:val="a0"/>
    <w:link w:val="3"/>
    <w:semiHidden/>
    <w:qFormat/>
    <w:rsid w:val="009F53F8"/>
    <w:rPr>
      <w:rFonts w:ascii="Times New Roman" w:eastAsia="Lucida Sans Unicode" w:hAnsi="Times New Roman" w:cs="Tahoma"/>
      <w:kern w:val="2"/>
      <w:sz w:val="24"/>
      <w:szCs w:val="24"/>
      <w:lang w:val="uk-UA" w:eastAsia="ru-RU"/>
    </w:rPr>
  </w:style>
  <w:style w:type="character" w:customStyle="1" w:styleId="2">
    <w:name w:val="Основний текст з відступом 2 Знак"/>
    <w:basedOn w:val="a0"/>
    <w:link w:val="2"/>
    <w:semiHidden/>
    <w:qFormat/>
    <w:rsid w:val="009F53F8"/>
    <w:rPr>
      <w:rFonts w:ascii="Times New Roman" w:eastAsia="Lucida Sans Unicode" w:hAnsi="Times New Roman" w:cs="Tahoma"/>
      <w:kern w:val="2"/>
      <w:lang w:val="uk-UA" w:eastAsia="ru-RU"/>
    </w:rPr>
  </w:style>
  <w:style w:type="character" w:customStyle="1" w:styleId="a5">
    <w:name w:val="Текст у виносці Знак"/>
    <w:basedOn w:val="a0"/>
    <w:uiPriority w:val="99"/>
    <w:semiHidden/>
    <w:qFormat/>
    <w:rsid w:val="009F53F8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ListLabel1">
    <w:name w:val="ListLabel 1"/>
    <w:qFormat/>
    <w:rPr>
      <w:rFonts w:eastAsia="Lucida Sans Unicode" w:cs="Times New Roman"/>
      <w:b/>
      <w:sz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7">
    <w:name w:val="Body Text"/>
    <w:basedOn w:val="a"/>
    <w:semiHidden/>
    <w:rsid w:val="009F53F8"/>
    <w:pPr>
      <w:widowControl w:val="0"/>
      <w:suppressAutoHyphens/>
      <w:spacing w:after="120"/>
    </w:pPr>
    <w:rPr>
      <w:rFonts w:ascii="Arial" w:eastAsia="Arial Unicode MS" w:hAnsi="Arial" w:cs="Tahoma"/>
      <w:kern w:val="2"/>
      <w:sz w:val="20"/>
      <w:lang w:val="ru-RU"/>
    </w:rPr>
  </w:style>
  <w:style w:type="paragraph" w:styleId="a8">
    <w:name w:val="List"/>
    <w:basedOn w:val="a7"/>
    <w:rPr>
      <w:rFonts w:cs="Lucida Sans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Lucida Sans"/>
    </w:rPr>
  </w:style>
  <w:style w:type="paragraph" w:styleId="ab">
    <w:name w:val="Body Text Indent"/>
    <w:basedOn w:val="a"/>
    <w:semiHidden/>
    <w:rsid w:val="009F53F8"/>
    <w:pPr>
      <w:widowControl w:val="0"/>
      <w:suppressAutoHyphens/>
      <w:ind w:firstLine="630"/>
    </w:pPr>
    <w:rPr>
      <w:rFonts w:eastAsia="Lucida Sans Unicode" w:cs="Tahoma"/>
      <w:kern w:val="2"/>
      <w:sz w:val="22"/>
      <w:szCs w:val="22"/>
    </w:rPr>
  </w:style>
  <w:style w:type="paragraph" w:customStyle="1" w:styleId="WW-">
    <w:name w:val="WW-Заголовок таблицы"/>
    <w:basedOn w:val="WW-0"/>
    <w:qFormat/>
    <w:rsid w:val="009F53F8"/>
    <w:pPr>
      <w:suppressLineNumbers/>
      <w:jc w:val="center"/>
    </w:pPr>
    <w:rPr>
      <w:b/>
      <w:i/>
    </w:rPr>
  </w:style>
  <w:style w:type="paragraph" w:customStyle="1" w:styleId="WW-0">
    <w:name w:val="WW-Содержимое таблицы"/>
    <w:basedOn w:val="a7"/>
    <w:qFormat/>
    <w:rsid w:val="009F53F8"/>
  </w:style>
  <w:style w:type="paragraph" w:styleId="30">
    <w:name w:val="Body Text Indent 3"/>
    <w:basedOn w:val="a"/>
    <w:semiHidden/>
    <w:qFormat/>
    <w:rsid w:val="009F53F8"/>
    <w:pPr>
      <w:widowControl w:val="0"/>
      <w:suppressAutoHyphens/>
      <w:ind w:firstLine="630"/>
      <w:jc w:val="both"/>
    </w:pPr>
    <w:rPr>
      <w:rFonts w:eastAsia="Lucida Sans Unicode" w:cs="Tahoma"/>
      <w:kern w:val="2"/>
    </w:rPr>
  </w:style>
  <w:style w:type="paragraph" w:styleId="20">
    <w:name w:val="Body Text Indent 2"/>
    <w:basedOn w:val="a"/>
    <w:semiHidden/>
    <w:qFormat/>
    <w:rsid w:val="009F53F8"/>
    <w:pPr>
      <w:widowControl w:val="0"/>
      <w:suppressAutoHyphens/>
      <w:ind w:firstLine="630"/>
      <w:jc w:val="both"/>
    </w:pPr>
    <w:rPr>
      <w:rFonts w:eastAsia="Lucida Sans Unicode" w:cs="Tahoma"/>
      <w:kern w:val="2"/>
      <w:sz w:val="22"/>
      <w:szCs w:val="22"/>
    </w:rPr>
  </w:style>
  <w:style w:type="paragraph" w:styleId="ac">
    <w:name w:val="List Paragraph"/>
    <w:basedOn w:val="a"/>
    <w:uiPriority w:val="34"/>
    <w:qFormat/>
    <w:rsid w:val="009F53F8"/>
    <w:pPr>
      <w:ind w:left="720"/>
      <w:contextualSpacing/>
    </w:pPr>
  </w:style>
  <w:style w:type="paragraph" w:styleId="ad">
    <w:name w:val="Balloon Text"/>
    <w:basedOn w:val="a"/>
    <w:uiPriority w:val="99"/>
    <w:semiHidden/>
    <w:unhideWhenUsed/>
    <w:qFormat/>
    <w:rsid w:val="009F53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sz="1600" b="1" strike="noStrike" spc="-1">
                <a:solidFill>
                  <a:srgbClr val="1F497D"/>
                </a:solidFill>
                <a:latin typeface="Calibri"/>
              </a:defRPr>
            </a:pPr>
            <a:r>
              <a:rPr lang="uk-UA" sz="1600" b="1" strike="noStrike" spc="-1">
                <a:solidFill>
                  <a:srgbClr val="1F497D"/>
                </a:solidFill>
                <a:latin typeface="Calibri"/>
              </a:rPr>
              <a:t>Справи та матеріали, які перебували в провадженні суду протягом 2024 року в порівнянні з 2023 роком  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7.4249999999999997E-2"/>
          <c:y val="0.215"/>
          <c:w val="0.89793750000000006"/>
          <c:h val="0.471444444444444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2024</c:v>
                </c:pt>
              </c:strCache>
            </c:strRef>
          </c:tx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Справи та матеріали кримінального судочинства</c:v>
                </c:pt>
                <c:pt idx="1">
                  <c:v>Справи та матеріали цивільного судочинства</c:v>
                </c:pt>
                <c:pt idx="2">
                  <c:v>Справи та матеріали адміністративного судочинства</c:v>
                </c:pt>
                <c:pt idx="3">
                  <c:v>Справи та матеріали про адміністративні правопорушення</c:v>
                </c:pt>
                <c:pt idx="4">
                  <c:v>Всього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5"/>
                <c:pt idx="0">
                  <c:v>192</c:v>
                </c:pt>
                <c:pt idx="1">
                  <c:v>1284</c:v>
                </c:pt>
                <c:pt idx="2">
                  <c:v>37</c:v>
                </c:pt>
                <c:pt idx="3">
                  <c:v>1439</c:v>
                </c:pt>
                <c:pt idx="4">
                  <c:v>2952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2023</c:v>
                </c:pt>
              </c:strCache>
            </c:strRef>
          </c:tx>
          <c:spPr>
            <a:gradFill>
              <a:gsLst>
                <a:gs pos="0">
                  <a:srgbClr val="9C2F2C"/>
                </a:gs>
                <a:gs pos="100000">
                  <a:srgbClr val="CB3D39"/>
                </a:gs>
              </a:gsLst>
              <a:lin ang="16200000"/>
            </a:gra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5"/>
                <c:pt idx="0">
                  <c:v>Справи та матеріали кримінального судочинства</c:v>
                </c:pt>
                <c:pt idx="1">
                  <c:v>Справи та матеріали цивільного судочинства</c:v>
                </c:pt>
                <c:pt idx="2">
                  <c:v>Справи та матеріали адміністративного судочинства</c:v>
                </c:pt>
                <c:pt idx="3">
                  <c:v>Справи та матеріали про адміністративні правопорушення</c:v>
                </c:pt>
                <c:pt idx="4">
                  <c:v>Всього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5"/>
                <c:pt idx="0">
                  <c:v>79</c:v>
                </c:pt>
                <c:pt idx="1">
                  <c:v>994</c:v>
                </c:pt>
                <c:pt idx="2">
                  <c:v>33</c:v>
                </c:pt>
                <c:pt idx="3">
                  <c:v>906</c:v>
                </c:pt>
                <c:pt idx="4">
                  <c:v>818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overlap val="-24"/>
        <c:axId val="485722504"/>
        <c:axId val="485719368"/>
      </c:barChart>
      <c:catAx>
        <c:axId val="485722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360">
            <a:solidFill>
              <a:srgbClr val="D4E3F4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1F497D"/>
                </a:solidFill>
                <a:latin typeface="Calibri"/>
              </a:defRPr>
            </a:pPr>
            <a:endParaRPr lang="uk-UA"/>
          </a:p>
        </c:txPr>
        <c:crossAx val="485719368"/>
        <c:crosses val="autoZero"/>
        <c:auto val="1"/>
        <c:lblAlgn val="ctr"/>
        <c:lblOffset val="100"/>
        <c:noMultiLvlLbl val="1"/>
      </c:catAx>
      <c:valAx>
        <c:axId val="485719368"/>
        <c:scaling>
          <c:orientation val="minMax"/>
        </c:scaling>
        <c:delete val="0"/>
        <c:axPos val="l"/>
        <c:majorGridlines>
          <c:spPr>
            <a:ln w="9360">
              <a:solidFill>
                <a:srgbClr val="D4E3F4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1F497D"/>
                </a:solidFill>
                <a:latin typeface="Calibri"/>
              </a:defRPr>
            </a:pPr>
            <a:endParaRPr lang="uk-UA"/>
          </a:p>
        </c:txPr>
        <c:crossAx val="485722504"/>
        <c:crosses val="autoZero"/>
        <c:crossBetween val="between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sz="900" b="0" strike="noStrike" spc="-1">
              <a:solidFill>
                <a:srgbClr val="1F497D"/>
              </a:solidFill>
              <a:latin typeface="Calibri"/>
            </a:defRPr>
          </a:pPr>
          <a:endParaRPr lang="uk-UA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4E3F4"/>
      </a:solidFill>
      <a:round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c:style val="2"/>
  <c:chart>
    <c:title>
      <c:tx>
        <c:rich>
          <a:bodyPr rot="0"/>
          <a:lstStyle/>
          <a:p>
            <a:pPr>
              <a:defRPr sz="1600" b="1" strike="noStrike" spc="-1">
                <a:solidFill>
                  <a:srgbClr val="1F497D"/>
                </a:solidFill>
                <a:latin typeface="Calibri"/>
              </a:defRPr>
            </a:pPr>
            <a:r>
              <a:rPr lang="uk-UA" sz="1600" b="1" strike="noStrike" spc="-1">
                <a:solidFill>
                  <a:srgbClr val="1F497D"/>
                </a:solidFill>
                <a:latin typeface="Calibri"/>
              </a:rPr>
              <a:t>Кримінальне судочинство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rgbClr val="2E5F99"/>
                </a:gs>
                <a:gs pos="100000">
                  <a:srgbClr val="3C7AC7"/>
                </a:gs>
              </a:gsLst>
              <a:lin ang="16200000"/>
            </a:gra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0</c:f>
              <c:numCache>
                <c:formatCode>General</c:formatCode>
                <c:ptCount val="6"/>
                <c:pt idx="0">
                  <c:v>130</c:v>
                </c:pt>
                <c:pt idx="1">
                  <c:v>5</c:v>
                </c:pt>
                <c:pt idx="2">
                  <c:v>48</c:v>
                </c:pt>
                <c:pt idx="3">
                  <c:v>0</c:v>
                </c:pt>
                <c:pt idx="4">
                  <c:v>9</c:v>
                </c:pt>
                <c:pt idx="5">
                  <c:v>192</c:v>
                </c:pt>
              </c:numCache>
            </c:numRef>
          </c:val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label 0</c15:sqref>
                        </c15:formulaRef>
                      </c:ext>
                    </c:extLst>
                    <c:strCache>
                      <c:ptCount val="1"/>
                      <c:pt idx="0">
                        <c:v>2024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categories</c15:sqref>
                        </c15:formulaRef>
                      </c:ext>
                    </c:extLst>
                    <c:strCache>
                      <c:ptCount val="6"/>
                      <c:pt idx="0">
                        <c:v>Справи кримінального провадження</c:v>
                      </c:pt>
                      <c:pt idx="1">
                        <c:v>Клопотання, скарги, заяви під час досудового розслідування (слідчі судді)</c:v>
                      </c:pt>
                      <c:pt idx="2">
                        <c:v>Справи в порядку виконання судових рішень</c:v>
                      </c:pt>
                      <c:pt idx="3">
                        <c:v>Заяви про відвід судді (слідчого судді)</c:v>
                      </c:pt>
                      <c:pt idx="4">
                        <c:v>Клопотання прокурора про закриття кримінального провадження</c:v>
                      </c:pt>
                      <c:pt idx="5">
                        <c:v>Усього</c:v>
                      </c:pt>
                    </c:strCache>
                  </c:str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69"/>
        <c:axId val="485720152"/>
        <c:axId val="485720544"/>
      </c:barChart>
      <c:lineChart>
        <c:grouping val="standard"/>
        <c:varyColors val="0"/>
        <c:ser>
          <c:idx val="1"/>
          <c:order val="1"/>
          <c:spPr>
            <a:ln w="31680">
              <a:solidFill>
                <a:srgbClr val="C0504D"/>
              </a:solidFill>
              <a:round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uk-UA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val>
            <c:numRef>
              <c:f>1</c:f>
              <c:numCache>
                <c:formatCode>General</c:formatCode>
                <c:ptCount val="6"/>
                <c:pt idx="0">
                  <c:v>55</c:v>
                </c:pt>
                <c:pt idx="1">
                  <c:v>0</c:v>
                </c:pt>
                <c:pt idx="2">
                  <c:v>19</c:v>
                </c:pt>
                <c:pt idx="3">
                  <c:v>0</c:v>
                </c:pt>
                <c:pt idx="4">
                  <c:v>4</c:v>
                </c:pt>
                <c:pt idx="5">
                  <c:v>79</c:v>
                </c:pt>
              </c:numCache>
            </c:numRef>
          </c:val>
          <c:smooth val="0"/>
          <c:extLst>
            <c:ext xmlns:c15="http://schemas.microsoft.com/office/drawing/2012/chart" uri="{02D57815-91ED-43cb-92C2-25804820EDAC}">
              <c15:filteredSeriesTitle>
                <c15:tx>
                  <c:strRef>
                    <c:extLst>
                      <c:ext uri="{02D57815-91ED-43cb-92C2-25804820EDAC}">
                        <c15:formulaRef>
                          <c15:sqref>label 1</c15:sqref>
                        </c15:formulaRef>
                      </c:ext>
                    </c:extLst>
                    <c:strCache>
                      <c:ptCount val="1"/>
                      <c:pt idx="0">
                        <c:v>2023</c:v>
                      </c:pt>
                    </c:strCache>
                  </c:strRef>
                </c15:tx>
              </c15:filteredSeriesTitle>
            </c:ext>
            <c:ext xmlns:c15="http://schemas.microsoft.com/office/drawing/2012/chart" uri="{02D57815-91ED-43cb-92C2-25804820EDAC}">
              <c15:filteredCategoryTitle>
                <c15:cat>
                  <c:strRef>
                    <c:extLst>
                      <c:ext uri="{02D57815-91ED-43cb-92C2-25804820EDAC}">
                        <c15:formulaRef>
                          <c15:sqref>categories</c15:sqref>
                        </c15:formulaRef>
                      </c:ext>
                    </c:extLst>
                    <c:strCache>
                      <c:ptCount val="6"/>
                      <c:pt idx="0">
                        <c:v>Справи кримінального провадження</c:v>
                      </c:pt>
                      <c:pt idx="1">
                        <c:v>Клопотання, скарги, заяви під час досудового розслідування (слідчі судді)</c:v>
                      </c:pt>
                      <c:pt idx="2">
                        <c:v>Справи в порядку виконання судових рішень</c:v>
                      </c:pt>
                      <c:pt idx="3">
                        <c:v>Заяви про відвід судді (слідчого судді)</c:v>
                      </c:pt>
                      <c:pt idx="4">
                        <c:v>Клопотання прокурора про закриття кримінального провадження</c:v>
                      </c:pt>
                      <c:pt idx="5">
                        <c:v>Усього</c:v>
                      </c:pt>
                    </c:strCache>
                  </c:strRef>
                </c15:cat>
              </c15:filteredCategoryTitle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>
              <a:noFill/>
            </a:ln>
          </c:spPr>
        </c:hiLowLines>
        <c:marker val="1"/>
        <c:smooth val="0"/>
        <c:axId val="485720152"/>
        <c:axId val="485720544"/>
      </c:lineChart>
      <c:catAx>
        <c:axId val="485720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360">
            <a:solidFill>
              <a:srgbClr val="D4E3F4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1F497D"/>
                </a:solidFill>
                <a:latin typeface="Calibri"/>
              </a:defRPr>
            </a:pPr>
            <a:endParaRPr lang="uk-UA"/>
          </a:p>
        </c:txPr>
        <c:crossAx val="485720544"/>
        <c:crosses val="autoZero"/>
        <c:auto val="1"/>
        <c:lblAlgn val="ctr"/>
        <c:lblOffset val="100"/>
        <c:noMultiLvlLbl val="1"/>
      </c:catAx>
      <c:valAx>
        <c:axId val="485720544"/>
        <c:scaling>
          <c:orientation val="minMax"/>
        </c:scaling>
        <c:delete val="0"/>
        <c:axPos val="l"/>
        <c:majorGridlines>
          <c:spPr>
            <a:ln w="9360">
              <a:solidFill>
                <a:srgbClr val="D4E3F4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1F497D"/>
                </a:solidFill>
                <a:latin typeface="Calibri"/>
              </a:defRPr>
            </a:pPr>
            <a:endParaRPr lang="uk-UA"/>
          </a:p>
        </c:txPr>
        <c:crossAx val="485720152"/>
        <c:crosses val="autoZero"/>
        <c:crossBetween val="between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sz="900" b="0" strike="noStrike" spc="-1">
              <a:solidFill>
                <a:srgbClr val="1F497D"/>
              </a:solidFill>
              <a:latin typeface="Calibri"/>
            </a:defRPr>
          </a:pPr>
          <a:endParaRPr lang="uk-UA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4E3F4"/>
      </a:solidFill>
      <a:round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uk-UA" sz="1400" b="0" strike="noStrike" spc="-1">
                <a:solidFill>
                  <a:srgbClr val="595959"/>
                </a:solidFill>
                <a:latin typeface="Calibri"/>
              </a:rPr>
              <a:t>Розгляд судом цивільних справ 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1"/>
                <c:pt idx="0">
                  <c:v>Заяви про видачу/скасування судового наказу</c:v>
                </c:pt>
                <c:pt idx="1">
                  <c:v>Заяви про забезпечення (скасування забезпечення доказів, позову до подання позовної заяви)</c:v>
                </c:pt>
                <c:pt idx="2">
                  <c:v>Позовні заяви</c:v>
                </c:pt>
                <c:pt idx="3">
                  <c:v>Справи позовного провадження</c:v>
                </c:pt>
                <c:pt idx="4">
                  <c:v>Заяви окремого провадження</c:v>
                </c:pt>
                <c:pt idx="5">
                  <c:v>Справи окремого провадження</c:v>
                </c:pt>
                <c:pt idx="6">
                  <c:v>Заяви про перегляд заочного рішення</c:v>
                </c:pt>
                <c:pt idx="7">
                  <c:v>Заяви про перегляд рішень, ухвал суду чи судових наказів у зв'язку з нововиявленими або виключними обставинами</c:v>
                </c:pt>
                <c:pt idx="8">
                  <c:v>Клопотання, заяви, подання у порядку виконання судових рішень та рішень інших органів (посадових осіб)</c:v>
                </c:pt>
                <c:pt idx="9">
                  <c:v>Скарги на дії або бездіяльність виконавчої служби</c:v>
                </c:pt>
                <c:pt idx="10">
                  <c:v>Усього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11"/>
                <c:pt idx="0">
                  <c:v>177</c:v>
                </c:pt>
                <c:pt idx="1">
                  <c:v>1</c:v>
                </c:pt>
                <c:pt idx="2">
                  <c:v>643</c:v>
                </c:pt>
                <c:pt idx="3">
                  <c:v>652</c:v>
                </c:pt>
                <c:pt idx="4">
                  <c:v>92</c:v>
                </c:pt>
                <c:pt idx="5">
                  <c:v>99</c:v>
                </c:pt>
                <c:pt idx="6">
                  <c:v>4</c:v>
                </c:pt>
                <c:pt idx="7">
                  <c:v>0</c:v>
                </c:pt>
                <c:pt idx="8">
                  <c:v>59</c:v>
                </c:pt>
                <c:pt idx="9">
                  <c:v>4</c:v>
                </c:pt>
                <c:pt idx="10">
                  <c:v>1284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axId val="485721328"/>
        <c:axId val="487690696"/>
      </c:barChart>
      <c:lineChart>
        <c:grouping val="standard"/>
        <c:varyColors val="0"/>
        <c:ser>
          <c:idx val="1"/>
          <c:order val="1"/>
          <c:tx>
            <c:strRef>
              <c:f>label 1</c:f>
              <c:strCache>
                <c:ptCount val="1"/>
                <c:pt idx="0">
                  <c:v>2023</c:v>
                </c:pt>
              </c:strCache>
            </c:strRef>
          </c:tx>
          <c:spPr>
            <a:ln w="28440">
              <a:solidFill>
                <a:srgbClr val="C0504D"/>
              </a:solidFill>
              <a:round/>
            </a:ln>
          </c:spPr>
          <c:marker>
            <c:symbol val="none"/>
          </c:marke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uk-UA"/>
              </a:p>
            </c:txPr>
            <c:dLblPos val="r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11"/>
                <c:pt idx="0">
                  <c:v>Заяви про видачу/скасування судового наказу</c:v>
                </c:pt>
                <c:pt idx="1">
                  <c:v>Заяви про забезпечення (скасування забезпечення доказів, позову до подання позовної заяви)</c:v>
                </c:pt>
                <c:pt idx="2">
                  <c:v>Позовні заяви</c:v>
                </c:pt>
                <c:pt idx="3">
                  <c:v>Справи позовного провадження</c:v>
                </c:pt>
                <c:pt idx="4">
                  <c:v>Заяви окремого провадження</c:v>
                </c:pt>
                <c:pt idx="5">
                  <c:v>Справи окремого провадження</c:v>
                </c:pt>
                <c:pt idx="6">
                  <c:v>Заяви про перегляд заочного рішення</c:v>
                </c:pt>
                <c:pt idx="7">
                  <c:v>Заяви про перегляд рішень, ухвал суду чи судових наказів у зв'язку з нововиявленими або виключними обставинами</c:v>
                </c:pt>
                <c:pt idx="8">
                  <c:v>Клопотання, заяви, подання у порядку виконання судових рішень та рішень інших органів (посадових осіб)</c:v>
                </c:pt>
                <c:pt idx="9">
                  <c:v>Скарги на дії або бездіяльність виконавчої служби</c:v>
                </c:pt>
                <c:pt idx="10">
                  <c:v>Усього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11"/>
                <c:pt idx="0">
                  <c:v>174</c:v>
                </c:pt>
                <c:pt idx="1">
                  <c:v>0</c:v>
                </c:pt>
                <c:pt idx="2">
                  <c:v>473</c:v>
                </c:pt>
                <c:pt idx="3">
                  <c:v>516</c:v>
                </c:pt>
                <c:pt idx="4">
                  <c:v>60</c:v>
                </c:pt>
                <c:pt idx="5">
                  <c:v>65</c:v>
                </c:pt>
                <c:pt idx="6">
                  <c:v>3</c:v>
                </c:pt>
                <c:pt idx="7">
                  <c:v>0</c:v>
                </c:pt>
                <c:pt idx="8">
                  <c:v>35</c:v>
                </c:pt>
                <c:pt idx="9">
                  <c:v>0</c:v>
                </c:pt>
                <c:pt idx="10">
                  <c:v>994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>
          <c:spPr>
            <a:ln>
              <a:noFill/>
            </a:ln>
          </c:spPr>
        </c:hiLowLines>
        <c:marker val="1"/>
        <c:smooth val="0"/>
        <c:axId val="485721328"/>
        <c:axId val="487690696"/>
      </c:lineChart>
      <c:catAx>
        <c:axId val="4857213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487690696"/>
        <c:crosses val="autoZero"/>
        <c:auto val="1"/>
        <c:lblAlgn val="ctr"/>
        <c:lblOffset val="100"/>
        <c:noMultiLvlLbl val="1"/>
      </c:catAx>
      <c:valAx>
        <c:axId val="487690696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485721328"/>
        <c:crosses val="autoZero"/>
        <c:crossBetween val="between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uk-UA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uk-UA" sz="1400" b="0" strike="noStrike" spc="-1">
                <a:solidFill>
                  <a:srgbClr val="595959"/>
                </a:solidFill>
                <a:latin typeface="Calibri"/>
              </a:rPr>
              <a:t>Розгляд справи в порядку адміністративного судочинства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Позовні заяви</c:v>
                </c:pt>
                <c:pt idx="1">
                  <c:v>Справи</c:v>
                </c:pt>
                <c:pt idx="2">
                  <c:v>Усього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3"/>
                <c:pt idx="0">
                  <c:v>26</c:v>
                </c:pt>
                <c:pt idx="1">
                  <c:v>22</c:v>
                </c:pt>
                <c:pt idx="2">
                  <c:v>37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3"/>
                <c:pt idx="0">
                  <c:v>Позовні заяви</c:v>
                </c:pt>
                <c:pt idx="1">
                  <c:v>Справи</c:v>
                </c:pt>
                <c:pt idx="2">
                  <c:v>Усього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3"/>
                <c:pt idx="0">
                  <c:v>24</c:v>
                </c:pt>
                <c:pt idx="1">
                  <c:v>22</c:v>
                </c:pt>
                <c:pt idx="2">
                  <c:v>62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7691088"/>
        <c:axId val="487691872"/>
      </c:barChart>
      <c:catAx>
        <c:axId val="4876910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487691872"/>
        <c:crosses val="autoZero"/>
        <c:auto val="1"/>
        <c:lblAlgn val="ctr"/>
        <c:lblOffset val="100"/>
        <c:noMultiLvlLbl val="1"/>
      </c:catAx>
      <c:valAx>
        <c:axId val="487691872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487691088"/>
        <c:crosses val="autoZero"/>
        <c:crossBetween val="between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uk-UA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roundedCorners val="0"/>
  <c:style val="2"/>
  <c:chart>
    <c:title>
      <c:tx>
        <c:rich>
          <a:bodyPr rot="0"/>
          <a:lstStyle/>
          <a:p>
            <a:pPr>
              <a:defRPr sz="1400" b="0" strike="noStrike" spc="-1">
                <a:solidFill>
                  <a:srgbClr val="595959"/>
                </a:solidFill>
                <a:latin typeface="Calibri"/>
              </a:defRPr>
            </a:pPr>
            <a:r>
              <a:rPr lang="uk-UA" sz="1400" b="0" strike="noStrike" spc="-1">
                <a:solidFill>
                  <a:srgbClr val="595959"/>
                </a:solidFill>
                <a:latin typeface="Calibri"/>
              </a:rPr>
              <a:t>Розгляд судом справ про адміністративні правопорушення </a:t>
            </a:r>
          </a:p>
        </c:rich>
      </c:tx>
      <c:overlay val="0"/>
      <c:spPr>
        <a:noFill/>
        <a:ln>
          <a:noFill/>
        </a:ln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label 0</c:f>
              <c:strCache>
                <c:ptCount val="1"/>
                <c:pt idx="0">
                  <c:v>2024</c:v>
                </c:pt>
              </c:strCache>
            </c:strRef>
          </c:tx>
          <c:spPr>
            <a:solidFill>
              <a:srgbClr val="4F81BD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Справи про адміністративні правопорушення</c:v>
                </c:pt>
                <c:pt idx="1">
                  <c:v>у тому числі щодо корупційних правопрушень</c:v>
                </c:pt>
                <c:pt idx="2">
                  <c:v>Справи у порядку виконання постанов у справах про адміністративні правопорушення</c:v>
                </c:pt>
                <c:pt idx="3">
                  <c:v>Усього</c:v>
                </c:pt>
              </c:strCache>
            </c:strRef>
          </c:cat>
          <c:val>
            <c:numRef>
              <c:f>0</c:f>
              <c:numCache>
                <c:formatCode>General</c:formatCode>
                <c:ptCount val="4"/>
                <c:pt idx="0">
                  <c:v>1438</c:v>
                </c:pt>
                <c:pt idx="1">
                  <c:v>7</c:v>
                </c:pt>
                <c:pt idx="2">
                  <c:v>1</c:v>
                </c:pt>
                <c:pt idx="3">
                  <c:v>1439</c:v>
                </c:pt>
              </c:numCache>
            </c:numRef>
          </c:val>
        </c:ser>
        <c:ser>
          <c:idx val="1"/>
          <c:order val="1"/>
          <c:tx>
            <c:strRef>
              <c:f>label 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rgbClr val="C0504D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000" b="0" strike="noStrike" spc="-1">
                    <a:solidFill>
                      <a:srgbClr val="000000"/>
                    </a:solidFill>
                    <a:latin typeface="Calibri"/>
                  </a:defRPr>
                </a:pPr>
                <a:endParaRPr lang="uk-UA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1"/>
            <c:separator>; </c:separator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categories</c:f>
              <c:strCache>
                <c:ptCount val="4"/>
                <c:pt idx="0">
                  <c:v>Справи про адміністративні правопорушення</c:v>
                </c:pt>
                <c:pt idx="1">
                  <c:v>у тому числі щодо корупційних правопрушень</c:v>
                </c:pt>
                <c:pt idx="2">
                  <c:v>Справи у порядку виконання постанов у справах про адміністративні правопорушення</c:v>
                </c:pt>
                <c:pt idx="3">
                  <c:v>Усього</c:v>
                </c:pt>
              </c:strCache>
            </c:strRef>
          </c:cat>
          <c:val>
            <c:numRef>
              <c:f>1</c:f>
              <c:numCache>
                <c:formatCode>General</c:formatCode>
                <c:ptCount val="4"/>
                <c:pt idx="0">
                  <c:v>902</c:v>
                </c:pt>
                <c:pt idx="1">
                  <c:v>1</c:v>
                </c:pt>
                <c:pt idx="2">
                  <c:v>4</c:v>
                </c:pt>
                <c:pt idx="3">
                  <c:v>325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87691480"/>
        <c:axId val="487693048"/>
      </c:barChart>
      <c:catAx>
        <c:axId val="487691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ln w="9360">
            <a:solidFill>
              <a:srgbClr val="D9D9D9"/>
            </a:solidFill>
            <a:round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487693048"/>
        <c:crosses val="autoZero"/>
        <c:auto val="1"/>
        <c:lblAlgn val="ctr"/>
        <c:lblOffset val="100"/>
        <c:noMultiLvlLbl val="1"/>
      </c:catAx>
      <c:valAx>
        <c:axId val="487693048"/>
        <c:scaling>
          <c:orientation val="minMax"/>
        </c:scaling>
        <c:delete val="0"/>
        <c:axPos val="l"/>
        <c:majorGridlines>
          <c:spPr>
            <a:ln w="9360">
              <a:solidFill>
                <a:srgbClr val="D9D9D9"/>
              </a:solidFill>
              <a:round/>
            </a:ln>
          </c:spPr>
        </c:majorGridlines>
        <c:numFmt formatCode="General" sourceLinked="0"/>
        <c:majorTickMark val="none"/>
        <c:minorTickMark val="none"/>
        <c:tickLblPos val="nextTo"/>
        <c:spPr>
          <a:ln w="9360">
            <a:noFill/>
          </a:ln>
        </c:spPr>
        <c:txPr>
          <a:bodyPr/>
          <a:lstStyle/>
          <a:p>
            <a:pPr>
              <a:defRPr sz="900" b="0" strike="noStrike" spc="-1">
                <a:solidFill>
                  <a:srgbClr val="595959"/>
                </a:solidFill>
                <a:latin typeface="Calibri"/>
              </a:defRPr>
            </a:pPr>
            <a:endParaRPr lang="uk-UA"/>
          </a:p>
        </c:txPr>
        <c:crossAx val="487691480"/>
        <c:crosses val="autoZero"/>
        <c:crossBetween val="between"/>
      </c:valAx>
      <c:spPr>
        <a:noFill/>
        <a:ln>
          <a:noFill/>
        </a:ln>
      </c:spPr>
    </c:plotArea>
    <c:legend>
      <c:legendPos val="b"/>
      <c:overlay val="0"/>
      <c:spPr>
        <a:noFill/>
        <a:ln>
          <a:noFill/>
        </a:ln>
      </c:spPr>
      <c:txPr>
        <a:bodyPr/>
        <a:lstStyle/>
        <a:p>
          <a:pPr>
            <a:defRPr sz="900" b="0" strike="noStrike" spc="-1">
              <a:solidFill>
                <a:srgbClr val="595959"/>
              </a:solidFill>
              <a:latin typeface="Calibri"/>
            </a:defRPr>
          </a:pPr>
          <a:endParaRPr lang="uk-UA"/>
        </a:p>
      </c:txPr>
    </c:legend>
    <c:plotVisOnly val="1"/>
    <c:dispBlanksAs val="gap"/>
    <c:showDLblsOverMax val="1"/>
  </c:chart>
  <c:spPr>
    <a:solidFill>
      <a:srgbClr val="FFFFFF"/>
    </a:solidFill>
    <a:ln w="9360">
      <a:solidFill>
        <a:srgbClr val="D9D9D9"/>
      </a:solidFill>
      <a:round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64EC3-3869-4017-BCDB-A4962C3C62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</Pages>
  <Words>6256</Words>
  <Characters>3567</Characters>
  <Application>Microsoft Office Word</Application>
  <DocSecurity>0</DocSecurity>
  <Lines>29</Lines>
  <Paragraphs>19</Paragraphs>
  <ScaleCrop>false</ScaleCrop>
  <Company/>
  <LinksUpToDate>false</LinksUpToDate>
  <CharactersWithSpaces>9804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Старжинська</cp:lastModifiedBy>
  <cp:revision>9</cp:revision>
  <cp:lastPrinted>2025-01-31T05:41:00Z</cp:lastPrinted>
  <dcterms:created xsi:type="dcterms:W3CDTF">2025-02-19T13:14:00Z</dcterms:created>
  <dcterms:modified xsi:type="dcterms:W3CDTF">2025-02-19T13:37:00Z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