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_rels/chart4.xml.rels" ContentType="application/vnd.openxmlformats-package.relationships+xml"/>
  <Override PartName="/word/charts/_rels/chart5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embeddings/Microsoft_Excel_Worksheet2.xlsx" ContentType="application/vnd.openxmlformats-officedocument.spreadsheetml.sheet"/>
  <Override PartName="/word/embeddings/Microsoft_Excel_Worksheet1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.xlsx" ContentType="application/vnd.openxmlformats-officedocument.spreadsheetml.sheet"/>
  <Override PartName="/word/embeddings/Microsoft_Excel_Worksheet4.xlsx" ContentType="application/vnd.openxmlformats-officedocument.spreadsheetml.sheet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Огляд даних судової</w:t>
      </w:r>
    </w:p>
    <w:p>
      <w:pPr>
        <w:pStyle w:val="Normal"/>
        <w:jc w:val="center"/>
        <w:rPr>
          <w:rFonts w:eastAsia="Lucida Sans Unicode"/>
          <w:b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статистики про стан здійснення правосуддя Баранівським районним судом Житомирської області за </w:t>
      </w:r>
      <w:r>
        <w:rPr>
          <w:rFonts w:eastAsia="Lucida Sans Unicode"/>
          <w:b/>
          <w:sz w:val="32"/>
          <w:szCs w:val="32"/>
        </w:rPr>
        <w:t>2025 рік (в порівнянні з 2024 роком)</w:t>
      </w:r>
    </w:p>
    <w:p>
      <w:pPr>
        <w:pStyle w:val="Style21"/>
        <w:widowControl/>
        <w:suppressAutoHyphens w:val="false"/>
        <w:rPr>
          <w:rFonts w:cs="Times New Roman"/>
          <w:bCs/>
          <w:kern w:val="0"/>
          <w:sz w:val="28"/>
          <w:szCs w:val="28"/>
        </w:rPr>
      </w:pPr>
      <w:r>
        <w:rPr>
          <w:rFonts w:cs="Times New Roman"/>
          <w:bCs/>
          <w:kern w:val="0"/>
          <w:sz w:val="28"/>
          <w:szCs w:val="28"/>
        </w:rPr>
      </w:r>
    </w:p>
    <w:p>
      <w:pPr>
        <w:pStyle w:val="Normal"/>
        <w:ind w:right="-16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Баранівським районним судом Житомирської області відповідно до Закону України «Про судоустрій і статус суддів», на виконання плану роботи проаналізовано стан ведення обліково-статистичної роботи суду за 2025 рік.</w:t>
      </w:r>
    </w:p>
    <w:p>
      <w:pPr>
        <w:pStyle w:val="Style21"/>
        <w:widowControl/>
        <w:suppressAutoHyphens w:val="false"/>
        <w:jc w:val="both"/>
        <w:rPr>
          <w:rFonts w:cs="Times New Roman"/>
          <w:bCs/>
          <w:kern w:val="0"/>
          <w:sz w:val="28"/>
          <w:szCs w:val="28"/>
        </w:rPr>
      </w:pPr>
      <w:r>
        <w:rPr>
          <w:rFonts w:cs="Times New Roman"/>
          <w:bCs/>
          <w:kern w:val="0"/>
          <w:sz w:val="28"/>
          <w:szCs w:val="28"/>
        </w:rPr>
      </w:r>
    </w:p>
    <w:p>
      <w:pPr>
        <w:pStyle w:val="Style21"/>
        <w:widowControl/>
        <w:suppressAutoHyphens w:val="false"/>
        <w:jc w:val="both"/>
        <w:rPr>
          <w:rFonts w:cs="Times New Roman"/>
          <w:bCs/>
          <w:kern w:val="0"/>
          <w:sz w:val="28"/>
          <w:szCs w:val="28"/>
        </w:rPr>
      </w:pPr>
      <w:r>
        <w:rPr>
          <w:rFonts w:cs="Times New Roman"/>
          <w:bCs/>
          <w:kern w:val="0"/>
          <w:sz w:val="28"/>
          <w:szCs w:val="28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показників.</w:t>
      </w:r>
    </w:p>
    <w:p>
      <w:pPr>
        <w:pStyle w:val="Normal"/>
        <w:ind w:firstLine="709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Головним аспектом проведення даного аналізу виступають: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кількість справ, розглянутих за видами судочинства (кримінальне, цивільне, адміністративне, справи про адміністративні правопорушення) та за окремими категоріями (видами);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кількість засуджених за вироками, які набрали та не набрали законної сили у даному звітному періоді;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призначені до правопорушників покарання (основні та додаткові);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загальна кількість осіб, притягнутих до адміністративної відповідальності за КУпАП (за видами скоєних правопорушень та накладених на них адміністративних стягнень) тощо.</w:t>
      </w:r>
    </w:p>
    <w:p>
      <w:pPr>
        <w:pStyle w:val="Normal"/>
        <w:ind w:right="-16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Обліково-статистична робота у Баранівському районному суді Житомирської області ведеться відповідно до </w:t>
      </w:r>
      <w:r>
        <w:rPr>
          <w:sz w:val="28"/>
          <w:szCs w:val="28"/>
          <w:shd w:fill="FFFFFF" w:val="clear"/>
        </w:rPr>
        <w:t>Інструкції з діловодства в місцевих та апеляційних судах України</w:t>
      </w:r>
      <w:r>
        <w:rPr>
          <w:sz w:val="28"/>
          <w:szCs w:val="28"/>
          <w:lang w:eastAsia="uk-UA"/>
        </w:rPr>
        <w:t>, Положення про автоматизовану систему документообігу суду, Інструкції щодо заповнення і подання та заповнення форм звітності про розгляд апеляційними та місцевими судами судових справ та матеріалів,  Інструкції щодо формування картки на особу, тощо.</w:t>
      </w:r>
    </w:p>
    <w:p>
      <w:pPr>
        <w:pStyle w:val="Normal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Відповідно до п. 3 ст. 15 Закону України «Про судоустрій і статус суддів» діловодство у місцевих загальних судах здійснюється в автоматизованій системі документообігу суду.</w:t>
      </w:r>
    </w:p>
    <w:p>
      <w:pPr>
        <w:pStyle w:val="Normal"/>
        <w:spacing w:before="0" w:after="60"/>
        <w:ind w:firstLine="57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 штатним </w:t>
      </w:r>
      <w:r>
        <w:rPr>
          <w:sz w:val="28"/>
          <w:szCs w:val="28"/>
        </w:rPr>
        <w:t xml:space="preserve">розписом </w:t>
      </w:r>
      <w:r>
        <w:rPr>
          <w:sz w:val="28"/>
          <w:szCs w:val="28"/>
        </w:rPr>
        <w:t>у суді передбачено 4 посади суддів, однак здійснювал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правосуддя у звітному періоді </w:t>
      </w:r>
      <w:r>
        <w:rPr>
          <w:sz w:val="28"/>
          <w:szCs w:val="28"/>
        </w:rPr>
        <w:t xml:space="preserve">одна </w:t>
      </w:r>
      <w:r>
        <w:rPr>
          <w:sz w:val="28"/>
          <w:szCs w:val="28"/>
        </w:rPr>
        <w:t>судд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fill="FFFFFF" w:val="clear"/>
        </w:rPr>
        <w:t xml:space="preserve">У судді Новицького Є.А. у вересні 2023 року </w:t>
      </w:r>
      <w:r>
        <w:rPr>
          <w:sz w:val="28"/>
          <w:szCs w:val="28"/>
        </w:rPr>
        <w:t>закінчивсь п</w:t>
      </w:r>
      <w:r>
        <w:rPr>
          <w:rFonts w:cs="Arial" w:ascii="Arial" w:hAnsi="Arial"/>
          <w:sz w:val="28"/>
          <w:szCs w:val="28"/>
        </w:rPr>
        <w:t>'</w:t>
      </w:r>
      <w:r>
        <w:rPr>
          <w:sz w:val="28"/>
          <w:szCs w:val="28"/>
        </w:rPr>
        <w:t>ятирічний строк повноважень судді</w:t>
      </w:r>
      <w:r>
        <w:rPr>
          <w:sz w:val="28"/>
          <w:szCs w:val="28"/>
          <w:shd w:fill="FFFFFF" w:val="clear"/>
        </w:rPr>
        <w:t>. Одна посада вакантна.</w:t>
      </w:r>
    </w:p>
    <w:p>
      <w:pPr>
        <w:pStyle w:val="1"/>
        <w:jc w:val="both"/>
        <w:rPr>
          <w:rFonts w:eastAsia="Times New Roman"/>
          <w:b w:val="false"/>
          <w:b w:val="false"/>
          <w:bCs w:val="false"/>
          <w:kern w:val="2"/>
          <w:sz w:val="28"/>
          <w:szCs w:val="28"/>
          <w:u w:val="none"/>
          <w:lang w:eastAsia="uk-UA"/>
        </w:rPr>
      </w:pPr>
      <w:r>
        <w:rPr>
          <w:b w:val="false"/>
          <w:bCs w:val="false"/>
          <w:sz w:val="28"/>
          <w:szCs w:val="28"/>
          <w:u w:val="none"/>
          <w:shd w:fill="FFFFFF" w:val="clear"/>
        </w:rPr>
        <w:t>Протягом 2025 року судочинство у суді здійснювала суддя Бєлкіна Д.С.. Суддя Бєлкіна Д.С. Указом Президента України</w:t>
      </w:r>
      <w:r>
        <w:rPr>
          <w:rFonts w:eastAsia="Times New Roman"/>
          <w:b w:val="false"/>
          <w:bCs w:val="false"/>
          <w:kern w:val="2"/>
          <w:sz w:val="28"/>
          <w:szCs w:val="28"/>
          <w:u w:val="none"/>
          <w:lang w:eastAsia="uk-UA"/>
        </w:rPr>
        <w:t xml:space="preserve"> № 718/2024 </w:t>
      </w:r>
      <w:r>
        <w:rPr>
          <w:b w:val="false"/>
          <w:bCs w:val="false"/>
          <w:sz w:val="28"/>
          <w:szCs w:val="28"/>
          <w:u w:val="none"/>
          <w:shd w:fill="FFFFFF" w:val="clear"/>
        </w:rPr>
        <w:t>від 16.10.2024 року призначена на посаду судді Баранівського районного суду Житомирської області.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Упродовж 2025 року </w:t>
      </w:r>
      <w:r>
        <w:rPr>
          <w:sz w:val="28"/>
          <w:szCs w:val="28"/>
          <w:shd w:fill="FFFFFF" w:val="clear"/>
        </w:rPr>
        <w:t xml:space="preserve">суддя Бєлкіна Д.С. </w:t>
      </w:r>
      <w:r>
        <w:rPr>
          <w:sz w:val="28"/>
          <w:szCs w:val="28"/>
        </w:rPr>
        <w:t>розглядал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справи різних категорій.</w:t>
      </w:r>
    </w:p>
    <w:p>
      <w:pPr>
        <w:pStyle w:val="Normal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rFonts w:eastAsia="Lucida Sans Unicode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Справи та матеріали, які перебували в провадженні суду протягом </w:t>
      </w:r>
      <w:r>
        <w:rPr>
          <w:rFonts w:eastAsia="Lucida Sans Unicode"/>
          <w:b/>
          <w:bCs/>
          <w:sz w:val="28"/>
          <w:szCs w:val="28"/>
        </w:rPr>
        <w:t>2025 року в порівнянні з 2024 роком</w:t>
      </w:r>
    </w:p>
    <w:p>
      <w:pPr>
        <w:pStyle w:val="Normal"/>
        <w:ind w:firstLine="630"/>
        <w:jc w:val="center"/>
        <w:rPr>
          <w:rFonts w:eastAsia="Lucida Sans Unicode"/>
          <w:b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</w:r>
    </w:p>
    <w:tbl>
      <w:tblPr>
        <w:tblW w:w="9525" w:type="dxa"/>
        <w:jc w:val="left"/>
        <w:tblInd w:w="-26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74"/>
        <w:gridCol w:w="3259"/>
        <w:gridCol w:w="2574"/>
        <w:gridCol w:w="2917"/>
      </w:tblGrid>
      <w:tr>
        <w:trPr>
          <w:tblHeader w:val="true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2024 рік</w:t>
            </w:r>
          </w:p>
        </w:tc>
      </w:tr>
      <w:tr>
        <w:trPr/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Справи та матеріали кримінального судочинства</w:t>
            </w: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321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192</w:t>
            </w:r>
          </w:p>
        </w:tc>
      </w:tr>
      <w:tr>
        <w:trPr/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Cs/>
                <w:sz w:val="28"/>
                <w:szCs w:val="28"/>
                <w:lang w:val="uk-UA"/>
              </w:rPr>
              <w:t>Справи та матеріали цивільного судочинства</w:t>
            </w: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1692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1284</w:t>
            </w:r>
          </w:p>
        </w:tc>
      </w:tr>
      <w:tr>
        <w:trPr/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Cs/>
                <w:sz w:val="28"/>
                <w:szCs w:val="28"/>
                <w:lang w:val="uk-UA"/>
              </w:rPr>
              <w:t>Справи та матеріали адміністративного судочинства</w:t>
            </w: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37</w:t>
            </w:r>
          </w:p>
        </w:tc>
      </w:tr>
      <w:tr>
        <w:trPr/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Cs/>
                <w:sz w:val="28"/>
                <w:szCs w:val="28"/>
                <w:lang w:val="uk-UA"/>
              </w:rPr>
              <w:t>Справи та матеріали про адміністративні правопорушення</w:t>
            </w: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1107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1439</w:t>
            </w:r>
          </w:p>
        </w:tc>
      </w:tr>
      <w:tr>
        <w:trPr/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ind w:firstLine="63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1"/>
              <w:snapToGrid w:val="false"/>
              <w:spacing w:before="0" w:after="0"/>
              <w:jc w:val="center"/>
              <w:rPr>
                <w:rFonts w:ascii="Times New Roman" w:hAnsi="Times New Roman" w:eastAsia="Lucida Sans Unicode" w:cs="Times New Roman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3159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"/>
              <w:snapToGrid w:val="false"/>
              <w:spacing w:before="0" w:after="0"/>
              <w:ind w:firstLine="630"/>
              <w:rPr>
                <w:rFonts w:ascii="Times New Roman" w:hAnsi="Times New Roman" w:eastAsia="Lucida Sans Unicode" w:cs="Times New Roman"/>
                <w:b w:val="false"/>
                <w:b w:val="false"/>
                <w:bCs/>
                <w:i w:val="false"/>
                <w:i w:val="false"/>
                <w:sz w:val="28"/>
                <w:szCs w:val="28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/>
                <w:i w:val="false"/>
                <w:sz w:val="28"/>
                <w:szCs w:val="28"/>
                <w:lang w:val="uk-UA"/>
              </w:rPr>
              <w:t>2952</w:t>
            </w:r>
          </w:p>
        </w:tc>
      </w:tr>
    </w:tbl>
    <w:p>
      <w:pPr>
        <w:pStyle w:val="Normal"/>
        <w:ind w:firstLine="63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30"/>
        <w:jc w:val="both"/>
        <w:rPr>
          <w:rFonts w:eastAsia="Lucida Sans Unicode"/>
          <w:bCs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ind w:firstLine="630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ind w:firstLine="630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ind w:firstLine="630"/>
        <w:jc w:val="both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 xml:space="preserve">Отже, кількість справ та матеріалів, що перебувала на розгляді в 2025 році збільшилася порівняно з 2024 роком за рахунок всіх категорій справ, а найбільше за рахунок справ та матеріалів кримінального, цивільного, адміністративного судочинства та справ про адміністративне правопорушення на 207 справ та матеріалів. </w:t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Розгляд судом кримінальних проваджень та матеріалів у 2025 році</w:t>
      </w:r>
    </w:p>
    <w:p>
      <w:pPr>
        <w:pStyle w:val="BodyTextIndent3"/>
        <w:widowControl/>
        <w:suppressAutoHyphens w:val="false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</w:r>
    </w:p>
    <w:tbl>
      <w:tblPr>
        <w:tblW w:w="963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8"/>
        <w:gridCol w:w="1654"/>
        <w:gridCol w:w="1372"/>
        <w:gridCol w:w="1"/>
        <w:gridCol w:w="1089"/>
        <w:gridCol w:w="1634"/>
        <w:gridCol w:w="1"/>
        <w:gridCol w:w="1819"/>
      </w:tblGrid>
      <w:tr>
        <w:trPr>
          <w:trHeight w:val="754" w:hRule="atLeast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Найменування показника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Перебувало в провадженні справ та матеріалів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Розглянуто справ та матеріалів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Залишок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нерозглянутих на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кінець звітного періоду</w:t>
            </w:r>
          </w:p>
        </w:tc>
      </w:tr>
      <w:tr>
        <w:trPr>
          <w:trHeight w:val="1398" w:hRule="atLeast"/>
        </w:trPr>
        <w:tc>
          <w:tcPr>
            <w:tcW w:w="20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усього справ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 тому числі надійшло у звітному періоді</w:t>
            </w:r>
          </w:p>
        </w:tc>
        <w:tc>
          <w:tcPr>
            <w:tcW w:w="10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усього</w:t>
            </w:r>
          </w:p>
        </w:tc>
        <w:tc>
          <w:tcPr>
            <w:tcW w:w="163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 тому числі задоволено</w:t>
            </w:r>
          </w:p>
        </w:tc>
        <w:tc>
          <w:tcPr>
            <w:tcW w:w="182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55" w:hRule="atLeast"/>
        </w:trPr>
        <w:tc>
          <w:tcPr>
            <w:tcW w:w="20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454" w:hRule="atLeast"/>
        </w:trPr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Справи кримінального провадження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168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</w:tr>
      <w:tr>
        <w:trPr>
          <w:trHeight w:val="454" w:hRule="atLeast"/>
        </w:trPr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Справи в порядку виконання судових рішень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1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>
          <w:trHeight w:val="754" w:hRule="atLeast"/>
        </w:trPr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Клопотання прокурора  про закриття кримінального провадження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1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754" w:hRule="atLeast"/>
        </w:trPr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Усього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225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125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166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18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</w:t>
            </w:r>
          </w:p>
        </w:tc>
      </w:tr>
    </w:tbl>
    <w:p>
      <w:pPr>
        <w:pStyle w:val="BodyTextIndent3"/>
        <w:widowControl/>
        <w:suppressAutoHyphens w:val="false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</w:r>
    </w:p>
    <w:p>
      <w:pPr>
        <w:pStyle w:val="BodyTextIndent3"/>
        <w:widowControl/>
        <w:suppressAutoHyphens w:val="false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</w:r>
    </w:p>
    <w:p>
      <w:pPr>
        <w:pStyle w:val="BodyTextIndent3"/>
        <w:widowControl/>
        <w:suppressAutoHyphens w:val="false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 xml:space="preserve">У провадженні Баранівського районного суду Житомирської області упродовж 2025 року знаходилась 168 справ кримінального провадження, з них 88 які  надійшли в звітному періоді, що на 38 справ більше у порівнянні з 2024 роком. </w:t>
      </w:r>
    </w:p>
    <w:p>
      <w:pPr>
        <w:pStyle w:val="BodyTextIndent3"/>
        <w:widowControl/>
        <w:suppressAutoHyphens w:val="false"/>
        <w:rPr>
          <w:rFonts w:cs="Times New Roman"/>
          <w:sz w:val="28"/>
          <w:szCs w:val="28"/>
        </w:rPr>
      </w:pPr>
      <w:r>
        <w:rPr/>
        <w:drawing>
          <wp:inline distT="0" distB="0" distL="0" distR="0">
            <wp:extent cx="5486400" cy="233934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Закінчено провадження по 110 справам кримінального провадження або 65 % до числа усіх </w:t>
      </w:r>
      <w:r>
        <w:rPr>
          <w:rFonts w:cs="Times New Roman"/>
          <w:kern w:val="0"/>
          <w:sz w:val="28"/>
          <w:szCs w:val="28"/>
        </w:rPr>
        <w:t>кримінальних проваджень</w:t>
      </w:r>
      <w:r>
        <w:rPr>
          <w:rFonts w:cs="Times New Roman"/>
          <w:sz w:val="28"/>
          <w:szCs w:val="28"/>
        </w:rPr>
        <w:t xml:space="preserve">, що перебували у провадженні. </w:t>
      </w:r>
    </w:p>
    <w:p>
      <w:pPr>
        <w:pStyle w:val="Normal"/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Закінчено провадження з постановленням вироків по 76 кримінальним провадженням..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Закрито провадження по 15 </w:t>
      </w:r>
      <w:r>
        <w:rPr>
          <w:rFonts w:cs="Times New Roman"/>
          <w:kern w:val="0"/>
          <w:sz w:val="28"/>
          <w:szCs w:val="28"/>
        </w:rPr>
        <w:t>кримінальному провадженні</w:t>
      </w:r>
      <w:r>
        <w:rPr>
          <w:rFonts w:cs="Times New Roman"/>
          <w:sz w:val="28"/>
          <w:szCs w:val="28"/>
        </w:rPr>
        <w:t xml:space="preserve">. </w:t>
      </w:r>
    </w:p>
    <w:p>
      <w:pPr>
        <w:pStyle w:val="Normal"/>
        <w:ind w:firstLine="630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Упродовж 2025 року засуджено 80 осіб, а у 2024 році – 37 осіб, тобто на 43 особи більше у 2025  порівняно з 2024 роком. </w:t>
      </w:r>
    </w:p>
    <w:p>
      <w:pPr>
        <w:pStyle w:val="BodyTextIndent2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Залишилися не розглянутими на кінець звітного періоду 58 кримінальних проваджень. </w:t>
      </w:r>
    </w:p>
    <w:p>
      <w:pPr>
        <w:pStyle w:val="Normal"/>
        <w:jc w:val="center"/>
        <w:rPr>
          <w:rFonts w:eastAsia="Lucida Sans Unicode"/>
          <w:b/>
          <w:b/>
          <w:bCs/>
          <w:sz w:val="28"/>
          <w:szCs w:val="28"/>
          <w:u w:val="single"/>
        </w:rPr>
      </w:pPr>
      <w:r>
        <w:rPr>
          <w:rFonts w:eastAsia="Lucida Sans Unicode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eastAsia="Lucida Sans Unicode"/>
          <w:b/>
          <w:b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  <w:u w:val="single"/>
        </w:rPr>
        <w:t>Розгляд судом цивільних справ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порядку цивільного судочинства в провадженні суду упродовж 2025 року перебувало на розгляді 1692 справ та матеріалів (протягом 2024 року перебувало 1284 справ та матеріалів), з яких 1313 справ – надійшло у звітному періоді, 837 справ та матеріалів розглянуто, 855 –  залишок нерозглянутих на кінець звітного періоду. 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53" w:type="dxa"/>
        <w:jc w:val="left"/>
        <w:tblInd w:w="9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3"/>
        <w:gridCol w:w="963"/>
        <w:gridCol w:w="1362"/>
        <w:gridCol w:w="1"/>
        <w:gridCol w:w="1081"/>
        <w:gridCol w:w="1157"/>
        <w:gridCol w:w="1"/>
        <w:gridCol w:w="1"/>
        <w:gridCol w:w="1553"/>
      </w:tblGrid>
      <w:tr>
        <w:trPr>
          <w:trHeight w:val="600" w:hRule="atLeast"/>
        </w:trPr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Цивільне судочинство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Перебувало в провадженні  справ і матеріалів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Розглянуто справ і матеріалів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Залишок нерозглянутих справ і матеріалів на кінець звітного періоду</w:t>
            </w:r>
          </w:p>
        </w:tc>
      </w:tr>
      <w:tr>
        <w:trPr>
          <w:trHeight w:val="230" w:hRule="atLeast"/>
        </w:trPr>
        <w:tc>
          <w:tcPr>
            <w:tcW w:w="3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усього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uk-UA"/>
              </w:rPr>
              <w:t>В т. ч. надійшло у звітному періоді</w:t>
            </w:r>
          </w:p>
        </w:tc>
        <w:tc>
          <w:tcPr>
            <w:tcW w:w="22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</w:r>
          </w:p>
        </w:tc>
        <w:tc>
          <w:tcPr>
            <w:tcW w:w="15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</w:r>
          </w:p>
        </w:tc>
      </w:tr>
      <w:tr>
        <w:trPr>
          <w:trHeight w:val="832" w:hRule="atLeast"/>
        </w:trPr>
        <w:tc>
          <w:tcPr>
            <w:tcW w:w="3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sz w:val="18"/>
                <w:szCs w:val="18"/>
                <w:lang w:eastAsia="uk-UA"/>
              </w:rPr>
            </w:pPr>
            <w:r>
              <w:rPr>
                <w:i/>
                <w:iCs/>
                <w:sz w:val="18"/>
                <w:szCs w:val="18"/>
                <w:lang w:eastAsia="uk-UA"/>
              </w:rPr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усього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i/>
                <w:iCs/>
                <w:sz w:val="20"/>
                <w:szCs w:val="20"/>
                <w:lang w:eastAsia="uk-UA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uk-UA"/>
              </w:rPr>
              <w:t>у т.ч. задоволено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i/>
                <w:iCs/>
                <w:sz w:val="20"/>
                <w:szCs w:val="20"/>
                <w:lang w:eastAsia="uk-UA"/>
              </w:rPr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Заяви про видачу/скасування судового наказу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Заяви про забезпечення (скасування забезпечення доказів, позову до подання позовної заяви)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Позовні заяви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1127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904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1087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967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Cs/>
                <w:sz w:val="20"/>
                <w:szCs w:val="20"/>
                <w:lang w:eastAsia="uk-UA"/>
              </w:rPr>
            </w:pPr>
            <w:r>
              <w:rPr>
                <w:iCs/>
                <w:sz w:val="20"/>
                <w:szCs w:val="20"/>
                <w:lang w:eastAsia="uk-UA"/>
              </w:rPr>
              <w:t>Справи позовного провадження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1250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968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497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401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753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Заяви окремого провадження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Cs/>
                <w:sz w:val="20"/>
                <w:szCs w:val="20"/>
                <w:lang w:eastAsia="uk-UA"/>
              </w:rPr>
            </w:pPr>
            <w:r>
              <w:rPr>
                <w:iCs/>
                <w:sz w:val="20"/>
                <w:szCs w:val="20"/>
                <w:lang w:eastAsia="uk-UA"/>
              </w:rPr>
              <w:t>Справи окремого провадження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Cs/>
                <w:sz w:val="20"/>
                <w:szCs w:val="20"/>
                <w:lang w:eastAsia="uk-UA"/>
              </w:rPr>
            </w:pPr>
            <w:r>
              <w:rPr>
                <w:iCs/>
                <w:sz w:val="20"/>
                <w:szCs w:val="20"/>
                <w:lang w:eastAsia="uk-UA"/>
              </w:rPr>
              <w:t>Заяви про перегляд заочного рішення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7 </w:t>
            </w:r>
          </w:p>
        </w:tc>
      </w:tr>
      <w:tr>
        <w:trPr>
          <w:trHeight w:val="480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Скарги на дії або бездіяльність виконавчої служби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ВСЬОГО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1692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1313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837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531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855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Indent2"/>
        <w:rPr>
          <w:rFonts w:cs="Times New Roman"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провадженні суду упродовж 2025 році перебувало на розгляді 1250 справ позовного провадження (2024 року перебувало на розгляді 652), з яких 968 справ – надійшли у звітному періоді, 497 справ розглянуто, з яких 401 – із задоволенням позову. Не розглянутими на кінець звітного періоду залишилось 753 цивільних справ позовного провадження та 81 позовних заяв.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з ухваленням заочного рішення 142 цивільних справ.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2025 року в провадженні суду перебувало 121 заяв про видачу судового наказу (2024 році – 177 заяв про видачу судового наказу), заяви надійшли у звітному періоді, розглянуті 121 заяв про видачу судового наказу.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 них 71 заяв задоволено та видано судові накази, 50 заяв відмовлено у видачі судового наказу. </w:t>
      </w:r>
    </w:p>
    <w:p>
      <w:pPr>
        <w:pStyle w:val="BodyTextIndent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11 заяв про скасування судового наказу, шість судових наказів скасовано.</w:t>
      </w:r>
    </w:p>
    <w:p>
      <w:pPr>
        <w:pStyle w:val="Normal"/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В 2025 році в провадженні суду знаходилось 77 заяви окремого провадження (в 2024 році – 92) та 107 справ окремого провадження, з яких розглянуто 57 справ, в т. ч. із задоволенням розглянуто 38 справ. На кінець звітного періоду не розглянуто 50 справ окремого провадження. </w:t>
      </w:r>
    </w:p>
    <w:p>
      <w:pPr>
        <w:pStyle w:val="Normal"/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В провадженні суду упродовж звітного періоду також перебували:</w:t>
      </w:r>
    </w:p>
    <w:p>
      <w:pPr>
        <w:pStyle w:val="Normal"/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 заява про забезпечення (скасування забезпечення) доказів, позову до подання позовної заяви, яка розглянута.</w:t>
      </w:r>
    </w:p>
    <w:p>
      <w:pPr>
        <w:pStyle w:val="Normal"/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38 клопотань, заяв, подань у порядку виконання судових рішень та рішень інших органів, 31 справ  розглянуті, в т. ч. 21 справи розглянуті із задоволенням, залишок 7 справи на кінець звітного періоду залишилися не розглянутими.</w:t>
      </w:r>
    </w:p>
    <w:p>
      <w:pPr>
        <w:pStyle w:val="Normal"/>
        <w:ind w:firstLine="630"/>
        <w:jc w:val="both"/>
        <w:rPr/>
      </w:pPr>
      <w:r>
        <w:rPr>
          <w:rFonts w:eastAsia="Lucida Sans Unicode"/>
          <w:sz w:val="28"/>
          <w:szCs w:val="28"/>
        </w:rPr>
        <w:t>3 з</w:t>
      </w:r>
      <w:r>
        <w:rPr>
          <w:iCs/>
          <w:sz w:val="28"/>
          <w:szCs w:val="28"/>
          <w:lang w:eastAsia="uk-UA"/>
        </w:rPr>
        <w:t xml:space="preserve">аяви про перегляд заочного рішення, </w:t>
      </w:r>
      <w:r>
        <w:rPr>
          <w:iCs/>
          <w:sz w:val="28"/>
          <w:szCs w:val="28"/>
          <w:lang w:eastAsia="uk-UA"/>
        </w:rPr>
        <w:t xml:space="preserve">2 </w:t>
      </w:r>
      <w:r>
        <w:rPr>
          <w:iCs/>
          <w:sz w:val="28"/>
          <w:szCs w:val="28"/>
          <w:lang w:eastAsia="uk-UA"/>
        </w:rPr>
        <w:t xml:space="preserve">надійшли у звітному періоді, </w:t>
      </w:r>
      <w:r>
        <w:rPr>
          <w:iCs/>
          <w:sz w:val="28"/>
          <w:szCs w:val="28"/>
          <w:lang w:eastAsia="uk-UA"/>
        </w:rPr>
        <w:t>1</w:t>
      </w:r>
      <w:r>
        <w:rPr>
          <w:iCs/>
          <w:sz w:val="28"/>
          <w:szCs w:val="28"/>
          <w:lang w:eastAsia="uk-UA"/>
        </w:rPr>
        <w:t xml:space="preserve"> розглянут</w:t>
      </w:r>
      <w:r>
        <w:rPr>
          <w:iCs/>
          <w:sz w:val="28"/>
          <w:szCs w:val="28"/>
          <w:lang w:eastAsia="uk-UA"/>
        </w:rPr>
        <w:t>а</w:t>
      </w:r>
      <w:r>
        <w:rPr>
          <w:iCs/>
          <w:sz w:val="28"/>
          <w:szCs w:val="28"/>
          <w:lang w:eastAsia="uk-UA"/>
        </w:rPr>
        <w:t xml:space="preserve">, </w:t>
      </w:r>
      <w:r>
        <w:rPr>
          <w:iCs/>
          <w:sz w:val="28"/>
          <w:szCs w:val="28"/>
          <w:lang w:eastAsia="uk-UA"/>
        </w:rPr>
        <w:t xml:space="preserve">2 не розглянуті </w:t>
      </w:r>
      <w:r>
        <w:rPr>
          <w:iCs/>
          <w:sz w:val="28"/>
          <w:szCs w:val="28"/>
          <w:lang w:eastAsia="uk-UA"/>
        </w:rPr>
        <w:t>на кінець звітного періоду.</w:t>
      </w:r>
    </w:p>
    <w:p>
      <w:pPr>
        <w:pStyle w:val="Normal"/>
        <w:ind w:firstLine="63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 заява про перегляд рішень, ухвал суду чи судових наказів у зв'язку з нововиявленими або виключними обставинами не розглянута. </w:t>
      </w:r>
    </w:p>
    <w:p>
      <w:pPr>
        <w:pStyle w:val="Normal"/>
        <w:ind w:firstLine="630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Причинами неодноразового відкладення розгляду справ є неявка в судове засідання сторін по справі та відсутність в матеріалах справи повідомлень про вручення повістки, що приводить до порушення строків розгляду справ. </w:t>
      </w:r>
    </w:p>
    <w:p>
      <w:pPr>
        <w:pStyle w:val="1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ind w:hanging="0"/>
        <w:rPr>
          <w:sz w:val="28"/>
          <w:szCs w:val="28"/>
        </w:rPr>
      </w:pPr>
      <w:r>
        <w:rPr>
          <w:sz w:val="28"/>
          <w:szCs w:val="28"/>
        </w:rPr>
        <w:t>Розгляд справ в порядку адміністративного судочинства</w:t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Упродовж 2025 року в провадженні суду перебувало 39 позовних заяв, заяв, подань, клопотань (27 надійшло у звітному періоді), з яких 30 розглянуто, в т. ч. 15 розглянуто із задоволенням. </w:t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Разом з тим, у 2024 році в провадженні суду перебувало 37 позовних заяв, заяв, подань, клопотань (24 надійшло у звітному періоді), з яких 22 розглянуто, в т. ч. 10 розглянуто із задоволенням, 15 – не розглянуто на кінець звітного періоду.</w:t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За позовними заявами упродовж 2025 року в провадженні суду перебувало 32 справи адміністративного судочинства, 23 із яких надійшли у звітному періоді, з них розглянуто 23 справи із прийняттям постанови, а упродовж 2024 року в провадженні суду перебувало 22 справи, 11 із яких надійшли у звітному періоді, з них розглянуто 19 справи із прийняттям постанови.    </w:t>
      </w:r>
    </w:p>
    <w:p>
      <w:pPr>
        <w:pStyle w:val="Normal"/>
        <w:tabs>
          <w:tab w:val="clear" w:pos="708"/>
          <w:tab w:val="left" w:pos="0" w:leader="none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Залишок нерозглянутих справ і матеріалів на кінець звітного періоду становить 9 справ.</w:t>
      </w:r>
    </w:p>
    <w:p>
      <w:pPr>
        <w:pStyle w:val="Normal"/>
        <w:ind w:firstLine="1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lineRule="atLeast" w:line="100"/>
        <w:ind w:firstLine="15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Розгляд судом справ про адміністративні правопорушення</w:t>
      </w:r>
    </w:p>
    <w:p>
      <w:pPr>
        <w:pStyle w:val="Style17"/>
        <w:spacing w:lineRule="atLeast" w:line="100" w:before="0" w:after="0"/>
        <w:ind w:firstLine="845"/>
        <w:rPr>
          <w:rFonts w:ascii="Times New Roman" w:hAnsi="Times New Roman" w:eastAsia="Lucida Sans Unicode" w:cs="Times New Roman"/>
          <w:sz w:val="28"/>
          <w:szCs w:val="28"/>
          <w:lang w:val="uk-UA"/>
        </w:rPr>
      </w:pPr>
      <w:r>
        <w:rPr>
          <w:rFonts w:eastAsia="Lucida Sans Unicode" w:cs="Times New Roman" w:ascii="Times New Roman" w:hAnsi="Times New Roman"/>
          <w:sz w:val="28"/>
          <w:szCs w:val="28"/>
          <w:lang w:val="uk-UA"/>
        </w:rPr>
      </w:r>
    </w:p>
    <w:p>
      <w:pPr>
        <w:pStyle w:val="Style17"/>
        <w:spacing w:lineRule="atLeast" w:line="100" w:before="0"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eastAsia="Lucida Sans Unicode" w:cs="Times New Roman" w:ascii="Times New Roman" w:hAnsi="Times New Roman"/>
          <w:sz w:val="28"/>
          <w:szCs w:val="28"/>
          <w:lang w:val="uk-UA"/>
        </w:rPr>
        <w:t>В провадженні суду упродовж 2025 року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перебувало 1107 справ про адміністративні правопорушення (в т. ч. 680 справ надійшло у звітному періоді), що на 331 справ </w:t>
      </w:r>
      <w:r>
        <w:rPr>
          <w:rFonts w:eastAsia="Lucida Sans Unicode" w:cs="Times New Roman" w:ascii="Times New Roman" w:hAnsi="Times New Roman"/>
          <w:sz w:val="28"/>
          <w:szCs w:val="28"/>
          <w:lang w:val="uk-UA"/>
        </w:rPr>
        <w:t xml:space="preserve">менше в порівнянні з 2024 роком (1438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справи). Залишок на кінець звітного періоду – 72 справ.</w:t>
      </w:r>
    </w:p>
    <w:p>
      <w:pPr>
        <w:pStyle w:val="Style17"/>
        <w:spacing w:lineRule="atLeast" w:line="100" w:before="0"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17"/>
        <w:spacing w:lineRule="atLeast" w:line="100" w:before="0"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/>
        <w:drawing>
          <wp:inline distT="0" distB="0" distL="0" distR="0">
            <wp:extent cx="5486400" cy="320040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Style17"/>
        <w:spacing w:lineRule="atLeast" w:line="100" w:before="0"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17"/>
        <w:spacing w:lineRule="atLeast" w:line="10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Розглянуто упродовж звітного періоду 1035 справ про адміністративні правопорушення та 10 повернуто для належного до оформлення. </w:t>
      </w:r>
    </w:p>
    <w:p>
      <w:pPr>
        <w:pStyle w:val="Style17"/>
        <w:spacing w:lineRule="atLeast" w:line="100" w:before="0"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У провадженні Баранівського районного суду Житомирської області упродовж 2025 року перебувало 16 справ про адміністративне правопорушення щодо корупційних діянь, які у звітному періоді розглянуто.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У порядку виконання постанов у справах про адміністративні правопорушення в провадженні Баранівського районного суду Житомирської області упродовж  2025 року надійш</w:t>
      </w:r>
      <w:r>
        <w:rPr>
          <w:color w:val="000000"/>
          <w:sz w:val="28"/>
          <w:szCs w:val="28"/>
        </w:rPr>
        <w:t>ло</w:t>
      </w:r>
      <w:r>
        <w:rPr>
          <w:color w:val="000000"/>
          <w:sz w:val="28"/>
          <w:szCs w:val="28"/>
        </w:rPr>
        <w:t xml:space="preserve"> 2 спр</w:t>
      </w:r>
      <w:r>
        <w:rPr>
          <w:color w:val="000000"/>
          <w:sz w:val="28"/>
          <w:szCs w:val="28"/>
        </w:rPr>
        <w:t>ави</w:t>
      </w:r>
      <w:r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бул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розглянут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Постанови по адміністративним справам звертаються до виконання після закінчення строку на добровільну сплату штрафу. Не звернених до виконання постанов, по яких пройшов строк пред’явлення до виконання немає.</w:t>
      </w:r>
    </w:p>
    <w:p>
      <w:pPr>
        <w:pStyle w:val="Normal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</w:r>
    </w:p>
    <w:p>
      <w:pPr>
        <w:pStyle w:val="Normal"/>
        <w:ind w:firstLine="690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Старший секретар суду                                       О.А. Муравський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8"/>
        <w:b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53f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qFormat/>
    <w:rsid w:val="009f53f8"/>
    <w:pPr>
      <w:keepNext w:val="true"/>
      <w:ind w:firstLine="630"/>
      <w:jc w:val="center"/>
      <w:outlineLvl w:val="0"/>
    </w:pPr>
    <w:rPr>
      <w:rFonts w:eastAsia="Lucida Sans Unicode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f53f8"/>
    <w:rPr>
      <w:rFonts w:ascii="Times New Roman" w:hAnsi="Times New Roman" w:eastAsia="Lucida Sans Unicode" w:cs="Times New Roman"/>
      <w:b/>
      <w:bCs/>
      <w:sz w:val="24"/>
      <w:szCs w:val="24"/>
      <w:u w:val="single"/>
      <w:lang w:val="uk-UA" w:eastAsia="ru-RU"/>
    </w:rPr>
  </w:style>
  <w:style w:type="character" w:styleId="Style13" w:customStyle="1">
    <w:name w:val="Основний текст з відступом Знак"/>
    <w:basedOn w:val="DefaultParagraphFont"/>
    <w:semiHidden/>
    <w:qFormat/>
    <w:rsid w:val="009f53f8"/>
    <w:rPr>
      <w:rFonts w:ascii="Times New Roman" w:hAnsi="Times New Roman" w:eastAsia="Lucida Sans Unicode" w:cs="Tahoma"/>
      <w:kern w:val="2"/>
      <w:lang w:val="uk-UA" w:eastAsia="ru-RU"/>
    </w:rPr>
  </w:style>
  <w:style w:type="character" w:styleId="Style14" w:customStyle="1">
    <w:name w:val="Основний текст Знак"/>
    <w:basedOn w:val="DefaultParagraphFont"/>
    <w:semiHidden/>
    <w:qFormat/>
    <w:rsid w:val="009f53f8"/>
    <w:rPr>
      <w:rFonts w:ascii="Arial" w:hAnsi="Arial" w:eastAsia="Arial Unicode MS" w:cs="Tahoma"/>
      <w:kern w:val="2"/>
      <w:sz w:val="20"/>
      <w:szCs w:val="24"/>
      <w:lang w:eastAsia="ru-RU"/>
    </w:rPr>
  </w:style>
  <w:style w:type="character" w:styleId="3" w:customStyle="1">
    <w:name w:val="Основний текст з відступом 3 Знак"/>
    <w:basedOn w:val="DefaultParagraphFont"/>
    <w:semiHidden/>
    <w:qFormat/>
    <w:rsid w:val="009f53f8"/>
    <w:rPr>
      <w:rFonts w:ascii="Times New Roman" w:hAnsi="Times New Roman" w:eastAsia="Lucida Sans Unicode" w:cs="Tahoma"/>
      <w:kern w:val="2"/>
      <w:sz w:val="24"/>
      <w:szCs w:val="24"/>
      <w:lang w:val="uk-UA" w:eastAsia="ru-RU"/>
    </w:rPr>
  </w:style>
  <w:style w:type="character" w:styleId="2" w:customStyle="1">
    <w:name w:val="Основний текст з відступом 2 Знак"/>
    <w:basedOn w:val="DefaultParagraphFont"/>
    <w:semiHidden/>
    <w:qFormat/>
    <w:rsid w:val="009f53f8"/>
    <w:rPr>
      <w:rFonts w:ascii="Times New Roman" w:hAnsi="Times New Roman" w:eastAsia="Lucida Sans Unicode" w:cs="Tahoma"/>
      <w:kern w:val="2"/>
      <w:lang w:val="uk-UA" w:eastAsia="ru-RU"/>
    </w:rPr>
  </w:style>
  <w:style w:type="character" w:styleId="Style15" w:customStyle="1">
    <w:name w:val="Текст у виносці Знак"/>
    <w:basedOn w:val="DefaultParagraphFont"/>
    <w:uiPriority w:val="99"/>
    <w:semiHidden/>
    <w:qFormat/>
    <w:rsid w:val="009f53f8"/>
    <w:rPr>
      <w:rFonts w:ascii="Tahoma" w:hAnsi="Tahoma" w:eastAsia="Times New Roman" w:cs="Tahoma"/>
      <w:sz w:val="16"/>
      <w:szCs w:val="16"/>
      <w:lang w:val="uk-UA" w:eastAsia="ru-RU"/>
    </w:rPr>
  </w:style>
  <w:style w:type="character" w:styleId="ListLabel1" w:customStyle="1">
    <w:name w:val="ListLabel 1"/>
    <w:qFormat/>
    <w:rPr>
      <w:rFonts w:eastAsia="Lucida Sans Unicode" w:cs="Times New Roman"/>
      <w:b/>
      <w:sz w:val="28"/>
    </w:rPr>
  </w:style>
  <w:style w:type="character" w:styleId="ListLabel2">
    <w:name w:val="ListLabel 2"/>
    <w:qFormat/>
    <w:rPr>
      <w:rFonts w:cs="Times New Roman"/>
      <w:b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semiHidden/>
    <w:rsid w:val="009f53f8"/>
    <w:pPr>
      <w:widowControl w:val="false"/>
      <w:suppressAutoHyphens w:val="true"/>
      <w:spacing w:before="0" w:after="120"/>
    </w:pPr>
    <w:rPr>
      <w:rFonts w:ascii="Arial" w:hAnsi="Arial" w:eastAsia="Arial Unicode MS" w:cs="Tahoma"/>
      <w:kern w:val="2"/>
      <w:sz w:val="20"/>
      <w:lang w:val="ru-RU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21">
    <w:name w:val="Body Text Indent"/>
    <w:basedOn w:val="Normal"/>
    <w:semiHidden/>
    <w:rsid w:val="009f53f8"/>
    <w:pPr>
      <w:widowControl w:val="false"/>
      <w:suppressAutoHyphens w:val="true"/>
      <w:ind w:firstLine="630"/>
    </w:pPr>
    <w:rPr>
      <w:rFonts w:eastAsia="Lucida Sans Unicode" w:cs="Tahoma"/>
      <w:kern w:val="2"/>
      <w:sz w:val="22"/>
      <w:szCs w:val="22"/>
    </w:rPr>
  </w:style>
  <w:style w:type="paragraph" w:styleId="WW" w:customStyle="1">
    <w:name w:val="WW-Заголовок таблицы"/>
    <w:basedOn w:val="WW1"/>
    <w:qFormat/>
    <w:rsid w:val="009f53f8"/>
    <w:pPr>
      <w:suppressLineNumbers/>
      <w:jc w:val="center"/>
    </w:pPr>
    <w:rPr>
      <w:b/>
      <w:i/>
    </w:rPr>
  </w:style>
  <w:style w:type="paragraph" w:styleId="WW1" w:customStyle="1">
    <w:name w:val="WW-Содержимое таблицы"/>
    <w:basedOn w:val="Style17"/>
    <w:qFormat/>
    <w:rsid w:val="009f53f8"/>
    <w:pPr/>
    <w:rPr/>
  </w:style>
  <w:style w:type="paragraph" w:styleId="BodyTextIndent3">
    <w:name w:val="Body Text Indent 3"/>
    <w:basedOn w:val="Normal"/>
    <w:semiHidden/>
    <w:qFormat/>
    <w:rsid w:val="009f53f8"/>
    <w:pPr>
      <w:widowControl w:val="false"/>
      <w:suppressAutoHyphens w:val="true"/>
      <w:ind w:firstLine="630"/>
      <w:jc w:val="both"/>
    </w:pPr>
    <w:rPr>
      <w:rFonts w:eastAsia="Lucida Sans Unicode" w:cs="Tahoma"/>
      <w:kern w:val="2"/>
    </w:rPr>
  </w:style>
  <w:style w:type="paragraph" w:styleId="BodyTextIndent2">
    <w:name w:val="Body Text Indent 2"/>
    <w:basedOn w:val="Normal"/>
    <w:semiHidden/>
    <w:qFormat/>
    <w:rsid w:val="009f53f8"/>
    <w:pPr>
      <w:widowControl w:val="false"/>
      <w:suppressAutoHyphens w:val="true"/>
      <w:ind w:firstLine="630"/>
      <w:jc w:val="both"/>
    </w:pPr>
    <w:rPr>
      <w:rFonts w:eastAsia="Lucida Sans Unicode" w:cs="Tahoma"/>
      <w:kern w:val="2"/>
      <w:sz w:val="22"/>
      <w:szCs w:val="22"/>
    </w:rPr>
  </w:style>
  <w:style w:type="paragraph" w:styleId="ListParagraph">
    <w:name w:val="List Paragraph"/>
    <w:basedOn w:val="Normal"/>
    <w:uiPriority w:val="34"/>
    <w:qFormat/>
    <w:rsid w:val="009f53f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9f53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4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600" spc="-1" strike="noStrike">
                <a:solidFill>
                  <a:srgbClr val="1f497d"/>
                </a:solidFill>
                <a:latin typeface="Calibri"/>
              </a:defRPr>
            </a:pPr>
            <a:r>
              <a:rPr b="1" sz="1600" spc="-1" strike="noStrike">
                <a:solidFill>
                  <a:srgbClr val="1f497d"/>
                </a:solidFill>
                <a:latin typeface="Calibri"/>
              </a:rPr>
              <a:t>Справи та матеріали, які перебували в провадженні суду протягом 2025 року в порівнянні з 2024 роком 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7425"/>
          <c:y val="0.215"/>
          <c:w val="0.8979375"/>
          <c:h val="0.4714444444444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rgbClr val="2e5f99"/>
                </a:gs>
                <a:gs pos="100000">
                  <a:srgbClr val="3c7ac7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192</c:v>
                </c:pt>
                <c:pt idx="1">
                  <c:v>1284</c:v>
                </c:pt>
                <c:pt idx="2">
                  <c:v>37</c:v>
                </c:pt>
                <c:pt idx="3">
                  <c:v>1439</c:v>
                </c:pt>
                <c:pt idx="4">
                  <c:v>2952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rgbClr val="9c2f2c"/>
                </a:gs>
                <a:gs pos="100000">
                  <a:srgbClr val="cb3d39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79</c:v>
                </c:pt>
                <c:pt idx="1">
                  <c:v>994</c:v>
                </c:pt>
                <c:pt idx="2">
                  <c:v>33</c:v>
                </c:pt>
                <c:pt idx="3">
                  <c:v>906</c:v>
                </c:pt>
                <c:pt idx="4">
                  <c:v>818</c:v>
                </c:pt>
              </c:numCache>
            </c:numRef>
          </c:val>
        </c:ser>
        <c:gapWidth val="100"/>
        <c:overlap val="-24"/>
        <c:axId val="27934893"/>
        <c:axId val="49335927"/>
      </c:barChart>
      <c:catAx>
        <c:axId val="27934893"/>
        <c:scaling>
          <c:orientation val="minMax"/>
        </c:scaling>
        <c:delete val="0"/>
        <c:axPos val="b"/>
        <c:numFmt formatCode="[$-422]DD/MM/YYYY" sourceLinked="1"/>
        <c:majorTickMark val="none"/>
        <c:minorTickMark val="none"/>
        <c:tickLblPos val="nextTo"/>
        <c:spPr>
          <a:ln w="9360">
            <a:solidFill>
              <a:srgbClr val="d4e3f4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49335927"/>
        <c:crosses val="autoZero"/>
        <c:auto val="1"/>
        <c:lblAlgn val="ctr"/>
        <c:lblOffset val="100"/>
      </c:catAx>
      <c:valAx>
        <c:axId val="49335927"/>
        <c:scaling>
          <c:orientation val="minMax"/>
        </c:scaling>
        <c:delete val="0"/>
        <c:axPos val="l"/>
        <c:majorGridlines>
          <c:spPr>
            <a:ln w="9360">
              <a:solidFill>
                <a:srgbClr val="d4e3f4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2793489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1f497d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4e3f4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600" spc="-1" strike="noStrike">
                <a:solidFill>
                  <a:srgbClr val="1f497d"/>
                </a:solidFill>
                <a:latin typeface="Calibri"/>
              </a:defRPr>
            </a:pPr>
            <a:r>
              <a:rPr b="1" sz="1600" spc="-1" strike="noStrike">
                <a:solidFill>
                  <a:srgbClr val="1f497d"/>
                </a:solidFill>
                <a:latin typeface="Calibri"/>
              </a:rPr>
              <a:t>Кримінальне судочинство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rgbClr val="2e5f99"/>
                </a:gs>
                <a:gs pos="100000">
                  <a:srgbClr val="3c7ac7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130</c:v>
                </c:pt>
                <c:pt idx="1">
                  <c:v>5</c:v>
                </c:pt>
                <c:pt idx="2">
                  <c:v>48</c:v>
                </c:pt>
                <c:pt idx="3">
                  <c:v>0</c:v>
                </c:pt>
                <c:pt idx="4">
                  <c:v>9</c:v>
                </c:pt>
                <c:pt idx="5">
                  <c:v>192</c:v>
                </c:pt>
              </c:numCache>
            </c:numRef>
          </c:val>
        </c:ser>
        <c:gapWidth val="269"/>
        <c:overlap val="0"/>
        <c:axId val="8282552"/>
        <c:axId val="99516522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 w="31680">
              <a:solidFill>
                <a:srgbClr val="c0504d"/>
              </a:solidFill>
              <a:round/>
            </a:ln>
          </c:spPr>
          <c:marker>
            <c:symbol val="none"/>
          </c:marker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55</c:v>
                </c:pt>
                <c:pt idx="1">
                  <c:v>0</c:v>
                </c:pt>
                <c:pt idx="2">
                  <c:v>19</c:v>
                </c:pt>
                <c:pt idx="3">
                  <c:v>0</c:v>
                </c:pt>
                <c:pt idx="4">
                  <c:v>4</c:v>
                </c:pt>
                <c:pt idx="5">
                  <c:v>79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8282552"/>
        <c:axId val="99516522"/>
      </c:lineChart>
      <c:catAx>
        <c:axId val="8282552"/>
        <c:scaling>
          <c:orientation val="minMax"/>
        </c:scaling>
        <c:delete val="0"/>
        <c:axPos val="b"/>
        <c:numFmt formatCode="[$-422]DD/MM/YYYY" sourceLinked="1"/>
        <c:majorTickMark val="none"/>
        <c:minorTickMark val="none"/>
        <c:tickLblPos val="nextTo"/>
        <c:spPr>
          <a:ln w="9360">
            <a:solidFill>
              <a:srgbClr val="d4e3f4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99516522"/>
        <c:crosses val="autoZero"/>
        <c:auto val="1"/>
        <c:lblAlgn val="ctr"/>
        <c:lblOffset val="100"/>
      </c:catAx>
      <c:valAx>
        <c:axId val="99516522"/>
        <c:scaling>
          <c:orientation val="minMax"/>
        </c:scaling>
        <c:delete val="0"/>
        <c:axPos val="l"/>
        <c:majorGridlines>
          <c:spPr>
            <a:ln w="9360">
              <a:solidFill>
                <a:srgbClr val="d4e3f4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828255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1f497d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4e3f4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Розгляд судом цивільних справ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177</c:v>
                </c:pt>
                <c:pt idx="1">
                  <c:v>1</c:v>
                </c:pt>
                <c:pt idx="2">
                  <c:v>643</c:v>
                </c:pt>
                <c:pt idx="3">
                  <c:v>652</c:v>
                </c:pt>
                <c:pt idx="4">
                  <c:v>92</c:v>
                </c:pt>
                <c:pt idx="5">
                  <c:v>99</c:v>
                </c:pt>
                <c:pt idx="6">
                  <c:v>4</c:v>
                </c:pt>
                <c:pt idx="7">
                  <c:v>0</c:v>
                </c:pt>
                <c:pt idx="8">
                  <c:v>59</c:v>
                </c:pt>
                <c:pt idx="9">
                  <c:v>4</c:v>
                </c:pt>
                <c:pt idx="10">
                  <c:v>1284</c:v>
                </c:pt>
              </c:numCache>
            </c:numRef>
          </c:val>
        </c:ser>
        <c:gapWidth val="219"/>
        <c:overlap val="0"/>
        <c:axId val="46976586"/>
        <c:axId val="37572820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 w="28440">
              <a:solidFill>
                <a:srgbClr val="c0504d"/>
              </a:solidFill>
              <a:round/>
            </a:ln>
          </c:spPr>
          <c:marker>
            <c:symbol val="none"/>
          </c:marker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1"/>
                <c:pt idx="0">
                  <c:v>174</c:v>
                </c:pt>
                <c:pt idx="1">
                  <c:v>0</c:v>
                </c:pt>
                <c:pt idx="2">
                  <c:v>473</c:v>
                </c:pt>
                <c:pt idx="3">
                  <c:v>516</c:v>
                </c:pt>
                <c:pt idx="4">
                  <c:v>60</c:v>
                </c:pt>
                <c:pt idx="5">
                  <c:v>65</c:v>
                </c:pt>
                <c:pt idx="6">
                  <c:v>3</c:v>
                </c:pt>
                <c:pt idx="7">
                  <c:v>0</c:v>
                </c:pt>
                <c:pt idx="8">
                  <c:v>35</c:v>
                </c:pt>
                <c:pt idx="9">
                  <c:v>0</c:v>
                </c:pt>
                <c:pt idx="10">
                  <c:v>994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46976586"/>
        <c:axId val="37572820"/>
      </c:lineChart>
      <c:catAx>
        <c:axId val="46976586"/>
        <c:scaling>
          <c:orientation val="minMax"/>
        </c:scaling>
        <c:delete val="0"/>
        <c:axPos val="b"/>
        <c:numFmt formatCode="[$-422]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7572820"/>
        <c:crosses val="autoZero"/>
        <c:auto val="1"/>
        <c:lblAlgn val="ctr"/>
        <c:lblOffset val="100"/>
      </c:catAx>
      <c:valAx>
        <c:axId val="3757282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6976586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Розгляд справи в порядку адміністративного судочинства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37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24</c:v>
                </c:pt>
                <c:pt idx="1">
                  <c:v>22</c:v>
                </c:pt>
                <c:pt idx="2">
                  <c:v>62</c:v>
                </c:pt>
              </c:numCache>
            </c:numRef>
          </c:val>
        </c:ser>
        <c:gapWidth val="219"/>
        <c:overlap val="-27"/>
        <c:axId val="99831283"/>
        <c:axId val="58112218"/>
      </c:barChart>
      <c:catAx>
        <c:axId val="99831283"/>
        <c:scaling>
          <c:orientation val="minMax"/>
        </c:scaling>
        <c:delete val="0"/>
        <c:axPos val="b"/>
        <c:numFmt formatCode="[$-422]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8112218"/>
        <c:crosses val="autoZero"/>
        <c:auto val="1"/>
        <c:lblAlgn val="ctr"/>
        <c:lblOffset val="100"/>
      </c:catAx>
      <c:valAx>
        <c:axId val="5811221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983128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Розгляд судом справ про адміністративні правопорушення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1438</c:v>
                </c:pt>
                <c:pt idx="1">
                  <c:v>7</c:v>
                </c:pt>
                <c:pt idx="2">
                  <c:v>1</c:v>
                </c:pt>
                <c:pt idx="3">
                  <c:v>1439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902</c:v>
                </c:pt>
                <c:pt idx="1">
                  <c:v>1</c:v>
                </c:pt>
                <c:pt idx="2">
                  <c:v>4</c:v>
                </c:pt>
                <c:pt idx="3">
                  <c:v>325</c:v>
                </c:pt>
              </c:numCache>
            </c:numRef>
          </c:val>
        </c:ser>
        <c:gapWidth val="219"/>
        <c:overlap val="-27"/>
        <c:axId val="9068544"/>
        <c:axId val="32177939"/>
      </c:barChart>
      <c:catAx>
        <c:axId val="9068544"/>
        <c:scaling>
          <c:orientation val="minMax"/>
        </c:scaling>
        <c:delete val="0"/>
        <c:axPos val="b"/>
        <c:numFmt formatCode="[$-422]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2177939"/>
        <c:crosses val="autoZero"/>
        <c:auto val="1"/>
        <c:lblAlgn val="ctr"/>
        <c:lblOffset val="100"/>
      </c:catAx>
      <c:valAx>
        <c:axId val="3217793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068544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4EC3-3869-4017-BCDB-A4962C3C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LibreOffice/6.2.8.2$Windows_X86_64 LibreOffice_project/f82ddfca21ebc1e222a662a32b25c0c9d20169ee</Application>
  <Pages>7</Pages>
  <Words>1322</Words>
  <Characters>7887</Characters>
  <CharactersWithSpaces>9107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2025-02-19T13:14:00Z</dcterms:created>
  <dc:creator>Пользователь Windows</dc:creator>
  <dc:description/>
  <dc:language>uk-UA</dc:language>
  <cp:lastModifiedBy/>
  <cp:lastPrinted>2026-02-04T09:08:00Z</cp:lastPrinted>
  <dcterms:modified xsi:type="dcterms:W3CDTF">2026-02-04T14:55:10Z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