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6163FC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6163FC" w:rsidRPr="00D06398" w:rsidRDefault="006163FC" w:rsidP="006163FC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надбавки, </w:t>
            </w:r>
            <w:r w:rsidRPr="00D06398">
              <w:rPr>
                <w:sz w:val="22"/>
                <w:szCs w:val="22"/>
                <w:lang w:val="uk-UA"/>
              </w:rPr>
              <w:t>премії та компенсації відповідно до статті 52 Закону України «Про державну службу»;</w:t>
            </w:r>
          </w:p>
          <w:p w:rsidR="00152F0A" w:rsidRPr="00D06398" w:rsidRDefault="006163FC" w:rsidP="006163FC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6163FC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6163FC">
              <w:rPr>
                <w:b/>
                <w:bCs/>
                <w:sz w:val="22"/>
                <w:szCs w:val="22"/>
                <w:u w:val="single"/>
                <w:lang w:val="uk-UA"/>
              </w:rPr>
              <w:t>31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</w:t>
            </w:r>
            <w:r w:rsidR="006163FC">
              <w:rPr>
                <w:b/>
                <w:bCs/>
                <w:sz w:val="22"/>
                <w:szCs w:val="22"/>
                <w:u w:val="single"/>
                <w:lang w:val="uk-UA"/>
              </w:rPr>
              <w:t>7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6163FC" w:rsidRPr="00CB4E0E" w:rsidRDefault="006163FC" w:rsidP="006163FC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195F2D">
              <w:rPr>
                <w:b/>
                <w:bCs/>
                <w:sz w:val="22"/>
                <w:szCs w:val="22"/>
                <w:lang w:val="uk-UA"/>
              </w:rPr>
              <w:t>.0</w:t>
            </w: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195F2D">
              <w:rPr>
                <w:b/>
                <w:bCs/>
                <w:sz w:val="22"/>
                <w:szCs w:val="22"/>
                <w:lang w:val="uk-UA"/>
              </w:rPr>
              <w:t>.2025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95F2D">
              <w:rPr>
                <w:b/>
                <w:sz w:val="22"/>
                <w:szCs w:val="22"/>
                <w:lang w:val="uk-UA"/>
              </w:rPr>
              <w:t>року</w:t>
            </w:r>
            <w:r w:rsidRPr="00CB4E0E">
              <w:rPr>
                <w:b/>
                <w:sz w:val="22"/>
                <w:szCs w:val="22"/>
                <w:lang w:val="uk-UA"/>
              </w:rPr>
              <w:t xml:space="preserve"> о </w:t>
            </w:r>
            <w:r>
              <w:rPr>
                <w:b/>
                <w:sz w:val="22"/>
                <w:szCs w:val="22"/>
                <w:lang w:val="uk-UA"/>
              </w:rPr>
              <w:t>11</w:t>
            </w:r>
            <w:r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6163FC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0B8F"/>
    <w:rsid w:val="003F101E"/>
    <w:rsid w:val="00401B0F"/>
    <w:rsid w:val="004039E0"/>
    <w:rsid w:val="00407930"/>
    <w:rsid w:val="00407E86"/>
    <w:rsid w:val="00416FB9"/>
    <w:rsid w:val="0044296D"/>
    <w:rsid w:val="00447418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D41"/>
    <w:rsid w:val="005B7E35"/>
    <w:rsid w:val="005C3187"/>
    <w:rsid w:val="005D2CD3"/>
    <w:rsid w:val="005E4B21"/>
    <w:rsid w:val="005F4ED1"/>
    <w:rsid w:val="0060719C"/>
    <w:rsid w:val="00610AA5"/>
    <w:rsid w:val="006138A6"/>
    <w:rsid w:val="006163FC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46A84"/>
    <w:rsid w:val="00963E75"/>
    <w:rsid w:val="00963EE1"/>
    <w:rsid w:val="00972E4C"/>
    <w:rsid w:val="009805B4"/>
    <w:rsid w:val="00992B46"/>
    <w:rsid w:val="0099477E"/>
    <w:rsid w:val="009A7B2F"/>
    <w:rsid w:val="009B25EC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76923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3FE1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257E1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DF7693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B2FD8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276B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033F-37F7-48B7-9D40-BFC29A02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5168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DEll</cp:lastModifiedBy>
  <cp:revision>3</cp:revision>
  <cp:lastPrinted>2022-02-15T11:53:00Z</cp:lastPrinted>
  <dcterms:created xsi:type="dcterms:W3CDTF">2025-06-12T06:00:00Z</dcterms:created>
  <dcterms:modified xsi:type="dcterms:W3CDTF">2025-07-25T09:39:00Z</dcterms:modified>
</cp:coreProperties>
</file>