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60" w:line="314" w:lineRule="auto"/>
        <w:ind w:left="0" w:right="0" w:firstLine="700"/>
        <w:jc w:val="both"/>
      </w:pPr>
      <w:r>
        <w:rPr>
          <w:color w:val="000000"/>
          <w:spacing w:val="0"/>
          <w:w w:val="100"/>
          <w:position w:val="0"/>
          <w:shd w:val="clear" w:color="auto" w:fill="auto"/>
          <w:lang w:val="uk-UA" w:eastAsia="uk-UA" w:bidi="uk-UA"/>
        </w:rPr>
        <w:t>Узагальнення судової практики розгляду справ про адміністративні правопорушення передбачені ст. 173-2 КУпАП Чечельницьким районним судом у І півріччі 2024 року.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uk-UA" w:eastAsia="uk-UA" w:bidi="uk-UA"/>
        </w:rPr>
        <w:t>На виконання плану роботи суду на перше півріччя проведено узагальнення за результатами розгляду справ про адміністративні правопорушення за ст. 173-2 Кодексу України про адміністративні правопорушення (далі - КУпАП) у 2024 році.</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uk-UA" w:eastAsia="uk-UA" w:bidi="uk-UA"/>
        </w:rPr>
        <w:t>У 2024 році у провадженні Чечельницького районного суду Вінницької області перебувало 57 справ про адміністративне правопорушення, пов’язане з домашнім насильством (ст. 173-2 КУпАП -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uk-UA" w:eastAsia="uk-UA" w:bidi="uk-UA"/>
        </w:rPr>
        <w:t>Так, домашнім насильством являється насильство, що вчиняється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uk-UA" w:eastAsia="uk-UA" w:bidi="uk-UA"/>
        </w:rPr>
        <w:t>За санкцією ст. 173-2 КУпАП України вчинення домашнього насильства тягне за собою накладення штрафу або адміністративний арешт на строк до семи діб. В окремих випадках передбачена кримінальна відповідальність за цей вид злочинів.</w:t>
      </w:r>
    </w:p>
    <w:p>
      <w:pPr>
        <w:pStyle w:val="Style2"/>
        <w:keepNext w:val="0"/>
        <w:keepLines w:val="0"/>
        <w:widowControl w:val="0"/>
        <w:shd w:val="clear" w:color="auto" w:fill="auto"/>
        <w:bidi w:val="0"/>
        <w:spacing w:before="0" w:after="100"/>
        <w:ind w:left="0" w:right="0" w:firstLine="700"/>
        <w:jc w:val="both"/>
      </w:pPr>
      <w:r>
        <w:rPr>
          <w:color w:val="000000"/>
          <w:spacing w:val="0"/>
          <w:w w:val="100"/>
          <w:position w:val="0"/>
          <w:shd w:val="clear" w:color="auto" w:fill="auto"/>
          <w:lang w:val="uk-UA" w:eastAsia="uk-UA" w:bidi="uk-UA"/>
        </w:rPr>
        <w:t>Як зазначається, справа про адміністративне правопорушення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Справи про адміністративні правопорушення, передбачені ст. 173-2 КУпАП, розглядаються впродовж доби (ч. 2 ст. 277 КУпАП). За результатами розгляду справи про адміністративне правопорушення, передбачене ст. 173-2 КУпАП, суд (суддя) виносить постанову у справі:</w:t>
      </w:r>
    </w:p>
    <w:p>
      <w:pPr>
        <w:pStyle w:val="Style2"/>
        <w:keepNext w:val="0"/>
        <w:keepLines w:val="0"/>
        <w:widowControl w:val="0"/>
        <w:numPr>
          <w:ilvl w:val="0"/>
          <w:numId w:val="1"/>
        </w:numPr>
        <w:shd w:val="clear" w:color="auto" w:fill="auto"/>
        <w:tabs>
          <w:tab w:pos="730" w:val="left"/>
        </w:tabs>
        <w:bidi w:val="0"/>
        <w:spacing w:before="0" w:after="100"/>
        <w:ind w:left="0" w:right="0" w:firstLine="380"/>
        <w:jc w:val="both"/>
      </w:pPr>
      <w:r>
        <w:rPr>
          <w:color w:val="000000"/>
          <w:spacing w:val="0"/>
          <w:w w:val="100"/>
          <w:position w:val="0"/>
          <w:shd w:val="clear" w:color="auto" w:fill="auto"/>
          <w:lang w:val="uk-UA" w:eastAsia="uk-UA" w:bidi="uk-UA"/>
        </w:rPr>
        <w:t>про накладення адміністративного стягнення;</w:t>
      </w:r>
    </w:p>
    <w:p>
      <w:pPr>
        <w:pStyle w:val="Style2"/>
        <w:keepNext w:val="0"/>
        <w:keepLines w:val="0"/>
        <w:widowControl w:val="0"/>
        <w:numPr>
          <w:ilvl w:val="0"/>
          <w:numId w:val="1"/>
        </w:numPr>
        <w:shd w:val="clear" w:color="auto" w:fill="auto"/>
        <w:tabs>
          <w:tab w:pos="730" w:val="left"/>
        </w:tabs>
        <w:bidi w:val="0"/>
        <w:spacing w:before="0" w:after="100"/>
        <w:ind w:left="0" w:right="0" w:firstLine="380"/>
        <w:jc w:val="both"/>
      </w:pPr>
      <w:r>
        <w:rPr>
          <w:color w:val="000000"/>
          <w:spacing w:val="0"/>
          <w:w w:val="100"/>
          <w:position w:val="0"/>
          <w:shd w:val="clear" w:color="auto" w:fill="auto"/>
          <w:lang w:val="uk-UA" w:eastAsia="uk-UA" w:bidi="uk-UA"/>
        </w:rPr>
        <w:t>про застосування заходів впливу,</w:t>
      </w:r>
    </w:p>
    <w:p>
      <w:pPr>
        <w:pStyle w:val="Style2"/>
        <w:keepNext w:val="0"/>
        <w:keepLines w:val="0"/>
        <w:widowControl w:val="0"/>
        <w:numPr>
          <w:ilvl w:val="0"/>
          <w:numId w:val="1"/>
        </w:numPr>
        <w:shd w:val="clear" w:color="auto" w:fill="auto"/>
        <w:tabs>
          <w:tab w:pos="730" w:val="left"/>
        </w:tabs>
        <w:bidi w:val="0"/>
        <w:spacing w:before="0" w:after="100"/>
        <w:ind w:left="0" w:right="0" w:firstLine="380"/>
        <w:jc w:val="both"/>
      </w:pPr>
      <w:r>
        <w:rPr>
          <w:color w:val="000000"/>
          <w:spacing w:val="0"/>
          <w:w w:val="100"/>
          <w:position w:val="0"/>
          <w:shd w:val="clear" w:color="auto" w:fill="auto"/>
          <w:lang w:val="uk-UA" w:eastAsia="uk-UA" w:bidi="uk-UA"/>
        </w:rPr>
        <w:t>про закриття справи.</w:t>
      </w:r>
    </w:p>
    <w:p>
      <w:pPr>
        <w:pStyle w:val="Style2"/>
        <w:keepNext w:val="0"/>
        <w:keepLines w:val="0"/>
        <w:widowControl w:val="0"/>
        <w:shd w:val="clear" w:color="auto" w:fill="auto"/>
        <w:bidi w:val="0"/>
        <w:spacing w:before="0" w:after="160" w:line="254" w:lineRule="auto"/>
        <w:ind w:left="0" w:right="0" w:firstLine="700"/>
        <w:jc w:val="both"/>
      </w:pPr>
      <w:r>
        <w:rPr>
          <w:color w:val="000000"/>
          <w:spacing w:val="0"/>
          <w:w w:val="100"/>
          <w:position w:val="0"/>
          <w:shd w:val="clear" w:color="auto" w:fill="auto"/>
          <w:lang w:val="uk-UA" w:eastAsia="uk-UA" w:bidi="uk-UA"/>
        </w:rPr>
        <w:t>У справах про домашнє насильство доказуванню підлягає не лише факт вчинення відповідних дій (бездіяльності) особи, а й наслідки, які в результаті таких дій (бездіяльності) були заподіяні постраждалій особі.</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uk-UA" w:eastAsia="uk-UA" w:bidi="uk-UA"/>
        </w:rPr>
        <w:t>Отже, протягом першого півріччя 2024 року Чечельницьким районним судом Вінницької області розглянуто 51 справ про адміністративні правопорушення за ст. 172-2 КУпАП, 11 справ закрито у зв'язку з звільненням особи від адміністративої відповідальності при малозначності правопорушення, 12 закрито у зв'язку з відсутністю події і складу' адміністративного правопорушення 4 справи повернуто для належного дооформлення.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uk-UA" w:eastAsia="uk-UA" w:bidi="uk-UA"/>
        </w:rPr>
        <w:t>Зазначені матеріали працівників поліції перешкоджають суду повно, всебічно, об'єктивно та своєчасно розглянути справу відповідно до вимог чинного законодавства, серед іншого: не вжито заходів для забезпечення участі правопорушника в розгляді судової справи, при підготовці справи до розгляду, встановлюється, що особа до суду не з'явилася з невідомих суду причин, а в матеріалах справи про адміністративне правопорушення відсутні відомості щодо повідомлення правопорушника про день, час та місце розгляду справи.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uk-UA" w:eastAsia="uk-UA" w:bidi="uk-UA"/>
        </w:rPr>
        <w:t>Щодо 26 осіб накладено адміністративне стягнення.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uk-UA" w:eastAsia="uk-UA" w:bidi="uk-UA"/>
        </w:rPr>
        <w:t>Загальна сума штрафу складає 6 885 гривень, з яких 3325 гривень сплачене добровільно.</w:t>
      </w:r>
    </w:p>
    <w:p>
      <w:pPr>
        <w:pStyle w:val="Style2"/>
        <w:keepNext w:val="0"/>
        <w:keepLines w:val="0"/>
        <w:widowControl w:val="0"/>
        <w:shd w:val="clear" w:color="auto" w:fill="auto"/>
        <w:bidi w:val="0"/>
        <w:spacing w:before="0" w:after="40"/>
        <w:ind w:left="0" w:right="0" w:firstLine="700"/>
        <w:jc w:val="both"/>
      </w:pPr>
      <w:r>
        <w:rPr>
          <w:color w:val="000000"/>
          <w:spacing w:val="0"/>
          <w:w w:val="100"/>
          <w:position w:val="0"/>
          <w:shd w:val="clear" w:color="auto" w:fill="auto"/>
          <w:lang w:val="uk-UA" w:eastAsia="uk-UA" w:bidi="uk-UA"/>
        </w:rPr>
        <w:t>У більшості випадків домашнє насильство вчиняють чоловіки, а потерпілим?: від правопорушення, як правило є жінки, діти та люди похилого віку.</w:t>
      </w:r>
      <w:r>
        <w:br w:type="page"/>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Прикро констатувати той факт, що мають місце справи, в яких дитина, попри те, що насильство було вчинено в її присутності, не була визнана постраждалою.</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Як правило, суди обмежуються формулюваннями, які містять протоколи про адміністративне правопорушення, зокрема, що насильство вчинене у присутності дитини.</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Що ж до покарання кривдників у справах про вчинення домашнього насильства щодо дитини, то у разі накладення адміністративного стягнення - штрафу, який законодавець визначає в розмірі від 170 до 680 гривень, залежно від частоти вчинення домашнього насильства. Варто уваги те, що мінімальна сума штрафу як покарання за домашнє насильство менша у два з половиною рази, ніж стягнення судових витрат під час розгляду тієї ж справи в суді.</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Під час розгляду справ щодо дитини в жодному випадку не проведена психологічна експертиза, яка визначає шкоду, завдану домашнім насильством.</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Зазвичай в таких випадках кривдники продовжували проживати з дитиною.</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Програма для кривдника - це 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Відповідно до ст. 39-1 КУпАП 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Законом України «Про забезпечення рівних прав та можливостей жінок і чоловіків».</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Порядок направлення на проходження програми для кривдника визначено пунктом 3.3. Інструкції, згідно з якою у разі вчинення особою насильства в сім'ї служба дільничних інспекторів поліції або кримінальна поліція у справах дітей видає цій особі під розписку направлення на проходження корекційної програми та в триденний строк надсилає до відповідного кризового центру повідомлення про направлення особи на проходження корекційної програми.</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Програма для кривдника спрямована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Щодо вирішення питання про направлення на проходження програми для особи, яка вчинила домашнє насильство чи насильство за ознакою статі відповідно до ст. 39-1 КУпАП, слід зазначити, що за 2024 рік судом такі заходи не застосовувались.</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uk-UA" w:eastAsia="uk-UA" w:bidi="uk-UA"/>
        </w:rPr>
        <w:t>Домашнє насильство, або насильство в сім’ї, попри досягнення цивілізації та спрямування держав на забезпечення тендерної рівності, все ще є проблемою, яка не втрачає своєї актуальності. Україна, як і інші соціально-правові демократичні сучасні розвинені держави взяла на себе зобов’язання щодо забезпечення тендерної рівності. Як свідчить практика, насильство залишається однією з поширених видів порушення прав людини, від якого в переважній більшості страждають найбільш уразливі категорії осіб (жінки, діти, батьки похилого віку).</w:t>
      </w:r>
    </w:p>
    <w:p>
      <w:pPr>
        <w:pStyle w:val="Style2"/>
        <w:keepNext w:val="0"/>
        <w:keepLines w:val="0"/>
        <w:widowControl w:val="0"/>
        <w:shd w:val="clear" w:color="auto" w:fill="auto"/>
        <w:bidi w:val="0"/>
        <w:spacing w:before="0" w:after="540" w:line="262" w:lineRule="auto"/>
        <w:ind w:left="0" w:right="0" w:firstLine="700"/>
        <w:jc w:val="both"/>
      </w:pPr>
      <w:r>
        <w:rPr>
          <w:color w:val="000000"/>
          <w:spacing w:val="0"/>
          <w:w w:val="100"/>
          <w:position w:val="0"/>
          <w:shd w:val="clear" w:color="auto" w:fill="auto"/>
          <w:lang w:val="uk-UA" w:eastAsia="uk-UA" w:bidi="uk-UA"/>
        </w:rPr>
        <w:t>Проблема домашнього насильства визнається грубим порушенням основоположних прав людини, при цьому закони України щодо протидії домашньому насильству повинні забезпечувати реальні механізми їх застосуванням. В іншому випадку ці закони не мають жодного сенсу.</w:t>
      </w:r>
    </w:p>
    <w:p>
      <w:pPr>
        <w:pStyle w:val="Style2"/>
        <w:keepNext w:val="0"/>
        <w:keepLines w:val="0"/>
        <w:widowControl w:val="0"/>
        <w:shd w:val="clear" w:color="auto" w:fill="auto"/>
        <w:bidi w:val="0"/>
        <w:spacing w:before="0" w:after="260"/>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4784090</wp:posOffset>
                </wp:positionH>
                <wp:positionV relativeFrom="paragraph">
                  <wp:posOffset>190500</wp:posOffset>
                </wp:positionV>
                <wp:extent cx="1012190" cy="173990"/>
                <wp:wrapSquare wrapText="left"/>
                <wp:docPr id="1" name="Shape 1"/>
                <a:graphic xmlns:a="http://schemas.openxmlformats.org/drawingml/2006/main">
                  <a:graphicData uri="http://schemas.microsoft.com/office/word/2010/wordprocessingShape">
                    <wps:wsp>
                      <wps:cNvSpPr txBox="1"/>
                      <wps:spPr>
                        <a:xfrm>
                          <a:ext cx="101219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Віталія Зьомко</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6.69999999999999pt;margin-top:15.pt;width:79.700000000000003pt;height:13.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Віталія Зьомко</w:t>
                      </w:r>
                    </w:p>
                  </w:txbxContent>
                </v:textbox>
                <w10:wrap type="square" side="left" anchorx="page"/>
              </v:shape>
            </w:pict>
          </mc:Fallback>
        </mc:AlternateContent>
      </w:r>
      <w:r>
        <w:rPr>
          <w:color w:val="000000"/>
          <w:spacing w:val="0"/>
          <w:w w:val="100"/>
          <w:position w:val="0"/>
          <w:shd w:val="clear" w:color="auto" w:fill="auto"/>
          <w:lang w:val="uk-UA" w:eastAsia="uk-UA" w:bidi="uk-UA"/>
        </w:rPr>
        <w:t>Помічник судді Чечельницького райнного суду Вінницької області</w:t>
      </w:r>
    </w:p>
    <w:sectPr>
      <w:footnotePr>
        <w:pos w:val="pageBottom"/>
        <w:numFmt w:val="decimal"/>
        <w:numRestart w:val="continuous"/>
      </w:footnotePr>
      <w:pgSz w:w="11900" w:h="16840"/>
      <w:pgMar w:top="825" w:right="1006" w:bottom="1099" w:left="1154" w:header="397" w:footer="671"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customStyle="1" w:styleId="CharStyle3">
    <w:name w:val="Основний текст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Основний текст"/>
    <w:basedOn w:val="Normal"/>
    <w:link w:val="CharStyle3"/>
    <w:pPr>
      <w:widowControl w:val="0"/>
      <w:shd w:val="clear" w:color="auto" w:fill="auto"/>
      <w:spacing w:line="259" w:lineRule="auto"/>
      <w:ind w:firstLine="40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