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1072"/>
        <w:gridCol w:w="768"/>
        <w:gridCol w:w="960"/>
      </w:tblGrid>
      <w:tr w:rsidR="00F532BE" w:rsidTr="00F532BE">
        <w:trPr>
          <w:trHeight w:val="315"/>
        </w:trPr>
        <w:tc>
          <w:tcPr>
            <w:tcW w:w="960" w:type="dxa"/>
            <w:vMerge w:val="restart"/>
            <w:vAlign w:val="center"/>
            <w:hideMark/>
          </w:tcPr>
          <w:p w:rsidR="00F532BE" w:rsidRDefault="00F53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  <w:p w:rsidR="00F532BE" w:rsidRDefault="00F532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F532BE" w:rsidRDefault="00F532B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vAlign w:val="center"/>
            <w:hideMark/>
          </w:tcPr>
          <w:p w:rsidR="00F532BE" w:rsidRDefault="00F532BE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uk-UA"/>
              </w:rPr>
            </w:pPr>
          </w:p>
        </w:tc>
        <w:tc>
          <w:tcPr>
            <w:tcW w:w="3840" w:type="dxa"/>
            <w:gridSpan w:val="4"/>
            <w:vAlign w:val="center"/>
            <w:hideMark/>
          </w:tcPr>
          <w:p w:rsidR="00F532BE" w:rsidRDefault="00F53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Базові показники роботи</w:t>
            </w:r>
          </w:p>
        </w:tc>
        <w:tc>
          <w:tcPr>
            <w:tcW w:w="1072" w:type="dxa"/>
            <w:vAlign w:val="center"/>
            <w:hideMark/>
          </w:tcPr>
          <w:p w:rsidR="00F532BE" w:rsidRDefault="00F532B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8" w:type="dxa"/>
            <w:vAlign w:val="center"/>
            <w:hideMark/>
          </w:tcPr>
          <w:p w:rsidR="00F532BE" w:rsidRDefault="00F532BE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vAlign w:val="center"/>
            <w:hideMark/>
          </w:tcPr>
          <w:p w:rsidR="00F532BE" w:rsidRDefault="00F53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F532BE" w:rsidTr="00F532BE">
        <w:trPr>
          <w:trHeight w:val="315"/>
        </w:trPr>
        <w:tc>
          <w:tcPr>
            <w:tcW w:w="300" w:type="dxa"/>
            <w:vMerge/>
            <w:vAlign w:val="center"/>
            <w:hideMark/>
          </w:tcPr>
          <w:p w:rsidR="00F532BE" w:rsidRDefault="00F532BE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vAlign w:val="bottom"/>
            <w:hideMark/>
          </w:tcPr>
          <w:p w:rsidR="00F532BE" w:rsidRDefault="00F532B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8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532BE" w:rsidRDefault="00F53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Могилів-Подільського міськрайонного суду Вінницької області</w:t>
            </w:r>
          </w:p>
        </w:tc>
        <w:tc>
          <w:tcPr>
            <w:tcW w:w="768" w:type="dxa"/>
            <w:vAlign w:val="center"/>
            <w:hideMark/>
          </w:tcPr>
          <w:p w:rsidR="00F532BE" w:rsidRDefault="00F532B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vAlign w:val="center"/>
            <w:hideMark/>
          </w:tcPr>
          <w:p w:rsidR="00F532BE" w:rsidRDefault="00F532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F532BE" w:rsidTr="00F532BE">
        <w:trPr>
          <w:trHeight w:val="315"/>
        </w:trPr>
        <w:tc>
          <w:tcPr>
            <w:tcW w:w="960" w:type="dxa"/>
            <w:vAlign w:val="center"/>
            <w:hideMark/>
          </w:tcPr>
          <w:p w:rsidR="00F532BE" w:rsidRDefault="00F532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F532BE" w:rsidRDefault="00F532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87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32BE" w:rsidRDefault="00F53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(назва суду)</w:t>
            </w:r>
          </w:p>
        </w:tc>
        <w:tc>
          <w:tcPr>
            <w:tcW w:w="768" w:type="dxa"/>
            <w:hideMark/>
          </w:tcPr>
          <w:p w:rsidR="00F532BE" w:rsidRDefault="00F532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vAlign w:val="center"/>
            <w:hideMark/>
          </w:tcPr>
          <w:p w:rsidR="00F532BE" w:rsidRDefault="00F532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F532BE" w:rsidTr="00F532BE">
        <w:trPr>
          <w:trHeight w:val="315"/>
        </w:trPr>
        <w:tc>
          <w:tcPr>
            <w:tcW w:w="9520" w:type="dxa"/>
            <w:gridSpan w:val="10"/>
            <w:vAlign w:val="center"/>
            <w:hideMark/>
          </w:tcPr>
          <w:p w:rsidR="00F532BE" w:rsidRDefault="00E16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за 2024 рік</w:t>
            </w:r>
            <w:r w:rsidR="00F532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F532BE" w:rsidTr="00F532BE">
        <w:trPr>
          <w:trHeight w:val="315"/>
        </w:trPr>
        <w:tc>
          <w:tcPr>
            <w:tcW w:w="960" w:type="dxa"/>
            <w:vMerge w:val="restart"/>
            <w:vAlign w:val="center"/>
            <w:hideMark/>
          </w:tcPr>
          <w:p w:rsidR="00F532BE" w:rsidRDefault="00F53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  <w:p w:rsidR="00F532BE" w:rsidRDefault="00F53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F532BE" w:rsidRDefault="00F532B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vAlign w:val="bottom"/>
            <w:hideMark/>
          </w:tcPr>
          <w:p w:rsidR="00F532BE" w:rsidRDefault="00F532BE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uk-UA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32BE" w:rsidRDefault="00F53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за (звітний період)</w:t>
            </w:r>
          </w:p>
        </w:tc>
        <w:tc>
          <w:tcPr>
            <w:tcW w:w="1072" w:type="dxa"/>
            <w:vAlign w:val="bottom"/>
            <w:hideMark/>
          </w:tcPr>
          <w:p w:rsidR="00F532BE" w:rsidRDefault="00F532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8" w:type="dxa"/>
            <w:vAlign w:val="bottom"/>
            <w:hideMark/>
          </w:tcPr>
          <w:p w:rsidR="00F532BE" w:rsidRDefault="00F532BE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vAlign w:val="center"/>
            <w:hideMark/>
          </w:tcPr>
          <w:p w:rsidR="00F532BE" w:rsidRDefault="00F53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F532BE" w:rsidTr="00F532BE">
        <w:trPr>
          <w:trHeight w:val="315"/>
        </w:trPr>
        <w:tc>
          <w:tcPr>
            <w:tcW w:w="300" w:type="dxa"/>
            <w:vMerge/>
            <w:vAlign w:val="center"/>
            <w:hideMark/>
          </w:tcPr>
          <w:p w:rsidR="00F532BE" w:rsidRDefault="00F532BE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vAlign w:val="center"/>
            <w:hideMark/>
          </w:tcPr>
          <w:p w:rsidR="00F532BE" w:rsidRDefault="00F532B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vAlign w:val="bottom"/>
            <w:hideMark/>
          </w:tcPr>
          <w:p w:rsidR="00F532BE" w:rsidRDefault="00F532BE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hideMark/>
          </w:tcPr>
          <w:p w:rsidR="00F532BE" w:rsidRDefault="00F532BE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hideMark/>
          </w:tcPr>
          <w:p w:rsidR="00F532BE" w:rsidRDefault="00F532BE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hideMark/>
          </w:tcPr>
          <w:p w:rsidR="00F532BE" w:rsidRDefault="00F532BE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hideMark/>
          </w:tcPr>
          <w:p w:rsidR="00F532BE" w:rsidRDefault="00F532BE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uk-UA"/>
              </w:rPr>
            </w:pPr>
          </w:p>
        </w:tc>
        <w:tc>
          <w:tcPr>
            <w:tcW w:w="1072" w:type="dxa"/>
            <w:vAlign w:val="bottom"/>
            <w:hideMark/>
          </w:tcPr>
          <w:p w:rsidR="00F532BE" w:rsidRDefault="00F532BE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uk-UA"/>
              </w:rPr>
            </w:pPr>
          </w:p>
        </w:tc>
        <w:tc>
          <w:tcPr>
            <w:tcW w:w="768" w:type="dxa"/>
            <w:vAlign w:val="bottom"/>
            <w:hideMark/>
          </w:tcPr>
          <w:p w:rsidR="00F532BE" w:rsidRDefault="00F532BE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vAlign w:val="center"/>
            <w:hideMark/>
          </w:tcPr>
          <w:p w:rsidR="00F532BE" w:rsidRDefault="00F53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F532BE" w:rsidTr="00F532BE">
        <w:trPr>
          <w:trHeight w:val="315"/>
        </w:trPr>
        <w:tc>
          <w:tcPr>
            <w:tcW w:w="960" w:type="dxa"/>
            <w:noWrap/>
            <w:vAlign w:val="bottom"/>
            <w:hideMark/>
          </w:tcPr>
          <w:p w:rsidR="00F532BE" w:rsidRDefault="00F532B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00" w:type="dxa"/>
            <w:gridSpan w:val="8"/>
            <w:vAlign w:val="center"/>
            <w:hideMark/>
          </w:tcPr>
          <w:p w:rsidR="00F532BE" w:rsidRDefault="00F53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згідно рішення Ради суддів України №28 від 02 квітня 2015 року</w:t>
            </w:r>
          </w:p>
        </w:tc>
        <w:tc>
          <w:tcPr>
            <w:tcW w:w="960" w:type="dxa"/>
            <w:noWrap/>
            <w:vAlign w:val="bottom"/>
            <w:hideMark/>
          </w:tcPr>
          <w:p w:rsidR="00F532BE" w:rsidRDefault="00F532BE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 </w:t>
            </w:r>
          </w:p>
        </w:tc>
      </w:tr>
      <w:tr w:rsidR="00F532BE" w:rsidTr="00F532BE">
        <w:trPr>
          <w:trHeight w:val="615"/>
        </w:trPr>
        <w:tc>
          <w:tcPr>
            <w:tcW w:w="960" w:type="dxa"/>
            <w:noWrap/>
            <w:vAlign w:val="bottom"/>
            <w:hideMark/>
          </w:tcPr>
          <w:p w:rsidR="00F532BE" w:rsidRDefault="00F532BE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F532BE" w:rsidRDefault="00F532BE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F532BE" w:rsidRDefault="00F532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F532BE" w:rsidRDefault="00F532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F532BE" w:rsidRDefault="00F532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F532BE" w:rsidRDefault="00F532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F532BE" w:rsidRDefault="00F532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72" w:type="dxa"/>
            <w:vAlign w:val="center"/>
            <w:hideMark/>
          </w:tcPr>
          <w:p w:rsidR="00F532BE" w:rsidRDefault="00F532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8" w:type="dxa"/>
            <w:noWrap/>
            <w:vAlign w:val="bottom"/>
            <w:hideMark/>
          </w:tcPr>
          <w:p w:rsidR="00F532BE" w:rsidRDefault="00F532BE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F532BE" w:rsidRDefault="00F532BE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 </w:t>
            </w:r>
          </w:p>
        </w:tc>
      </w:tr>
      <w:tr w:rsidR="00F532BE" w:rsidTr="00F532BE">
        <w:trPr>
          <w:trHeight w:val="6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2BE" w:rsidRDefault="00F53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№ </w:t>
            </w:r>
          </w:p>
        </w:tc>
        <w:tc>
          <w:tcPr>
            <w:tcW w:w="68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532BE" w:rsidRDefault="00F53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Показник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32BE" w:rsidRDefault="00F53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Дані за звітний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br/>
              <w:t>період</w:t>
            </w:r>
          </w:p>
        </w:tc>
      </w:tr>
      <w:tr w:rsidR="00F532BE" w:rsidTr="00F532BE">
        <w:trPr>
          <w:trHeight w:val="540"/>
        </w:trPr>
        <w:tc>
          <w:tcPr>
            <w:tcW w:w="9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532BE" w:rsidRDefault="00F532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I.Вихідні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дані автоматизованої системи діловодства</w:t>
            </w:r>
          </w:p>
        </w:tc>
      </w:tr>
      <w:tr w:rsidR="00F532BE" w:rsidTr="00F532BE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2BE" w:rsidRDefault="00F53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I.1</w:t>
            </w:r>
          </w:p>
        </w:tc>
        <w:tc>
          <w:tcPr>
            <w:tcW w:w="68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32BE" w:rsidRDefault="00F532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Кількість справ та матеріалів, що перебувають на розгляді на початок звітного періоду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32BE" w:rsidRDefault="00E16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441</w:t>
            </w:r>
          </w:p>
        </w:tc>
      </w:tr>
      <w:tr w:rsidR="00F532BE" w:rsidTr="00F532BE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2BE" w:rsidRDefault="00F53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I.2</w:t>
            </w:r>
          </w:p>
        </w:tc>
        <w:tc>
          <w:tcPr>
            <w:tcW w:w="68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32BE" w:rsidRDefault="00F532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Кількість справ та матеріалів, що надійшли на розгляд за звітний період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32BE" w:rsidRDefault="00E16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4321</w:t>
            </w:r>
          </w:p>
        </w:tc>
      </w:tr>
      <w:tr w:rsidR="00F532BE" w:rsidTr="00E1630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2BE" w:rsidRDefault="00F53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I.3</w:t>
            </w:r>
          </w:p>
        </w:tc>
        <w:tc>
          <w:tcPr>
            <w:tcW w:w="68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32BE" w:rsidRDefault="00F532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Кількість розглянутих справ та матеріалів за звітний період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532BE" w:rsidRDefault="00E16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4219</w:t>
            </w:r>
          </w:p>
        </w:tc>
      </w:tr>
      <w:tr w:rsidR="00F532BE" w:rsidTr="00E16307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2BE" w:rsidRDefault="00F53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I.4</w:t>
            </w:r>
          </w:p>
        </w:tc>
        <w:tc>
          <w:tcPr>
            <w:tcW w:w="68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32BE" w:rsidRDefault="00F532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Кількість справ та матеріалів, що перебувають на розгляді на кінець звітного періоду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532BE" w:rsidRDefault="00E16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508</w:t>
            </w:r>
          </w:p>
        </w:tc>
      </w:tr>
      <w:tr w:rsidR="00F532BE" w:rsidTr="00E1630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2BE" w:rsidRDefault="00F53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I.5</w:t>
            </w:r>
          </w:p>
        </w:tc>
        <w:tc>
          <w:tcPr>
            <w:tcW w:w="68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32BE" w:rsidRDefault="00F532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Кількість справ та матеріалів, що перебувають на розгляді понад один рік на кінець звітного періоду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532BE" w:rsidRDefault="00E16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</w:t>
            </w:r>
          </w:p>
        </w:tc>
      </w:tr>
      <w:tr w:rsidR="00F532BE" w:rsidTr="00F532BE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2BE" w:rsidRDefault="00F53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I.6</w:t>
            </w:r>
          </w:p>
        </w:tc>
        <w:tc>
          <w:tcPr>
            <w:tcW w:w="68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32BE" w:rsidRDefault="00F532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Фактична кількість суддів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32BE" w:rsidRDefault="00F532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F532BE" w:rsidTr="00F532BE">
        <w:trPr>
          <w:trHeight w:val="600"/>
        </w:trPr>
        <w:tc>
          <w:tcPr>
            <w:tcW w:w="9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532BE" w:rsidRDefault="00F532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II.Базові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показники</w:t>
            </w:r>
          </w:p>
        </w:tc>
      </w:tr>
      <w:tr w:rsidR="00F532BE" w:rsidTr="00F532BE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2BE" w:rsidRDefault="00F53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II.1</w:t>
            </w:r>
          </w:p>
        </w:tc>
        <w:tc>
          <w:tcPr>
            <w:tcW w:w="68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32BE" w:rsidRDefault="00F532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Кількість та відсоток справ та матеріалів, загальний термін проходження яких триває понад один рік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2BE" w:rsidRDefault="00E16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2BE" w:rsidRDefault="00E16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5,71</w:t>
            </w:r>
            <w:r w:rsidR="00F532B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%</w:t>
            </w:r>
          </w:p>
        </w:tc>
      </w:tr>
      <w:tr w:rsidR="00F532BE" w:rsidTr="00F532BE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2BE" w:rsidRDefault="00F53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II.2</w:t>
            </w:r>
          </w:p>
        </w:tc>
        <w:tc>
          <w:tcPr>
            <w:tcW w:w="68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32BE" w:rsidRDefault="00F532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Відсоток розгляду справ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532BE" w:rsidRDefault="00537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97,64</w:t>
            </w:r>
            <w:r w:rsidR="00F532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</w:tr>
      <w:tr w:rsidR="00F532BE" w:rsidTr="00F532BE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2BE" w:rsidRDefault="00F53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II.3</w:t>
            </w:r>
          </w:p>
        </w:tc>
        <w:tc>
          <w:tcPr>
            <w:tcW w:w="68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32BE" w:rsidRDefault="00F532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Середня кількість розглянутих справ та матеріалів на одного суддю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532BE" w:rsidRDefault="00537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844</w:t>
            </w:r>
          </w:p>
        </w:tc>
      </w:tr>
      <w:tr w:rsidR="00F532BE" w:rsidTr="00F532BE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2BE" w:rsidRDefault="00F53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II.4</w:t>
            </w:r>
          </w:p>
        </w:tc>
        <w:tc>
          <w:tcPr>
            <w:tcW w:w="68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32BE" w:rsidRDefault="00F532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Середня кількість справ та матеріалів, що перебували на розгляді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звітнии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̆ період в розрахунку на одного суддю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532BE" w:rsidRDefault="00537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945</w:t>
            </w:r>
          </w:p>
        </w:tc>
      </w:tr>
      <w:tr w:rsidR="00F532BE" w:rsidTr="00F532BE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2BE" w:rsidRDefault="00F53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II.5</w:t>
            </w:r>
          </w:p>
        </w:tc>
        <w:tc>
          <w:tcPr>
            <w:tcW w:w="68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32BE" w:rsidRDefault="00F532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Середня тривалість розгляду справи (днів)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32BE" w:rsidRDefault="00537D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38</w:t>
            </w:r>
            <w:bookmarkStart w:id="0" w:name="_GoBack"/>
            <w:bookmarkEnd w:id="0"/>
          </w:p>
        </w:tc>
      </w:tr>
      <w:tr w:rsidR="00F532BE" w:rsidTr="00F532BE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2BE" w:rsidRDefault="00F53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II.6</w:t>
            </w:r>
          </w:p>
        </w:tc>
        <w:tc>
          <w:tcPr>
            <w:tcW w:w="68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32BE" w:rsidRDefault="00F532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Проведення опитувань громадян-учасників судових проваджень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532BE" w:rsidRDefault="00F532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Так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uk-UA"/>
              </w:rPr>
              <w:t>*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F532BE" w:rsidTr="00F532B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2BE" w:rsidRDefault="00F53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II.7</w:t>
            </w:r>
          </w:p>
        </w:tc>
        <w:tc>
          <w:tcPr>
            <w:tcW w:w="68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32BE" w:rsidRDefault="00F532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Оприлюднення результатів опитувань громадян-учасників судових проваджень на веб-сторінці суду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532BE" w:rsidRDefault="00F532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Так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uk-UA"/>
              </w:rPr>
              <w:t>**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F532BE" w:rsidTr="00F532BE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2BE" w:rsidRDefault="00F53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II.8</w:t>
            </w:r>
          </w:p>
        </w:tc>
        <w:tc>
          <w:tcPr>
            <w:tcW w:w="68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32BE" w:rsidRDefault="00F532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Рівень задоволеності роботою суду учасниками судового розгляду за результатами опитування. Уніфікована шкала від 1 (дуже погано) до 5 (відмінно)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532BE" w:rsidRDefault="00F532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4,79 </w:t>
            </w:r>
          </w:p>
        </w:tc>
      </w:tr>
      <w:tr w:rsidR="00F532BE" w:rsidTr="00F532BE">
        <w:trPr>
          <w:trHeight w:val="6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32BE" w:rsidRDefault="00F53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II.9</w:t>
            </w:r>
          </w:p>
        </w:tc>
        <w:tc>
          <w:tcPr>
            <w:tcW w:w="68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32BE" w:rsidRDefault="00F532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Відсоток громадян-учасників судових проваджень, що оцінюють роботу суду на "добре" (4) та "відмінно" (5)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532BE" w:rsidRDefault="00F532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91,42 % </w:t>
            </w:r>
          </w:p>
        </w:tc>
      </w:tr>
    </w:tbl>
    <w:p w:rsidR="00F532BE" w:rsidRDefault="00F532BE" w:rsidP="00F532BE">
      <w:pPr>
        <w:rPr>
          <w:b/>
        </w:rPr>
      </w:pPr>
    </w:p>
    <w:p w:rsidR="00F532BE" w:rsidRDefault="00F532BE" w:rsidP="00F532BE">
      <w:pPr>
        <w:ind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*</w:t>
      </w:r>
      <w:r>
        <w:rPr>
          <w:rStyle w:val="a4"/>
          <w:rFonts w:ascii="HelveticaNeueCyr-Roman" w:hAnsi="HelveticaNeueCyr-Roman"/>
          <w:b w:val="0"/>
          <w:shd w:val="clear" w:color="auto" w:fill="FFFFFF"/>
        </w:rPr>
        <w:t> У період часу з 15 березня по 15 травня 2019 року в Могилів-Подільському міськрайонному суді  проходило опитування громадян-відвідувачів суду з використанням методології карток громадського звітування   в рамках системи оцінювання роботи суду (СОРС). </w:t>
      </w:r>
    </w:p>
    <w:p w:rsidR="00F532BE" w:rsidRDefault="00F532BE" w:rsidP="00F532BE">
      <w:pPr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**З результатами опитування громадян відвідувачів суду Ви можете ознайомитися за посиланням  </w:t>
      </w:r>
      <w:hyperlink r:id="rId4" w:history="1">
        <w:r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https://mpm.vn.court.gov.ua/sud0215/pres-centr/news/749003/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F532BE" w:rsidRDefault="00F532BE" w:rsidP="00F532BE"/>
    <w:p w:rsidR="00F2731D" w:rsidRDefault="00F2731D"/>
    <w:sectPr w:rsidR="00F273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BD"/>
    <w:rsid w:val="00380FBD"/>
    <w:rsid w:val="00537DC8"/>
    <w:rsid w:val="006E3C77"/>
    <w:rsid w:val="00E16307"/>
    <w:rsid w:val="00F2731D"/>
    <w:rsid w:val="00F5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8071B"/>
  <w15:chartTrackingRefBased/>
  <w15:docId w15:val="{1591C983-F57D-4385-A173-FBB47BEB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2B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532BE"/>
    <w:rPr>
      <w:color w:val="0563C1"/>
      <w:u w:val="single"/>
    </w:rPr>
  </w:style>
  <w:style w:type="character" w:styleId="a4">
    <w:name w:val="Strong"/>
    <w:basedOn w:val="a0"/>
    <w:uiPriority w:val="22"/>
    <w:qFormat/>
    <w:rsid w:val="00F532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2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pm.vn.court.gov.ua/sud0215/pres-centr/news/7490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1405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2025-02-26T13:48:00Z</dcterms:created>
  <dcterms:modified xsi:type="dcterms:W3CDTF">2025-02-26T14:00:00Z</dcterms:modified>
</cp:coreProperties>
</file>