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C7" w:rsidRPr="00B278C7" w:rsidRDefault="00B278C7" w:rsidP="00C0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4E"/>
          <w:kern w:val="36"/>
          <w:sz w:val="44"/>
          <w:szCs w:val="44"/>
          <w:lang w:eastAsia="uk-UA"/>
        </w:rPr>
      </w:pPr>
    </w:p>
    <w:p w:rsidR="00B278C7" w:rsidRPr="00B278C7" w:rsidRDefault="00B278C7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drawing>
          <wp:inline distT="0" distB="0" distL="0" distR="0">
            <wp:extent cx="1036961" cy="1243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      </w:t>
      </w:r>
      <w:r w:rsidRPr="00B278C7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Літинський районний суд </w:t>
      </w:r>
    </w:p>
    <w:p w:rsidR="00B278C7" w:rsidRPr="00B278C7" w:rsidRDefault="00B278C7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                          </w:t>
      </w:r>
      <w:r w:rsidRPr="00B278C7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>Вінницької області</w:t>
      </w:r>
      <w:r w:rsidR="004F541F" w:rsidRPr="00B278C7">
        <w:rPr>
          <w:rFonts w:ascii="Times New Roman" w:eastAsia="Times New Roman" w:hAnsi="Times New Roman" w:cs="Times New Roman"/>
          <w:b/>
          <w:color w:val="00274E"/>
          <w:kern w:val="36"/>
          <w:sz w:val="48"/>
          <w:szCs w:val="48"/>
          <w:lang w:eastAsia="uk-UA"/>
        </w:rPr>
        <w:t xml:space="preserve"> </w:t>
      </w:r>
    </w:p>
    <w:p w:rsidR="00B278C7" w:rsidRPr="00B278C7" w:rsidRDefault="004F541F" w:rsidP="00C0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4E"/>
          <w:kern w:val="36"/>
          <w:sz w:val="44"/>
          <w:szCs w:val="44"/>
          <w:lang w:eastAsia="uk-UA"/>
        </w:rPr>
      </w:pP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44"/>
          <w:szCs w:val="44"/>
          <w:lang w:eastAsia="uk-UA"/>
        </w:rPr>
        <w:t xml:space="preserve">  </w:t>
      </w:r>
    </w:p>
    <w:p w:rsidR="00C0726C" w:rsidRPr="00B278C7" w:rsidRDefault="00C0726C" w:rsidP="00C0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>УЗАГАЛЬНЕННЯ СУДОВОЇ ПРАКТИКИ РОЗГЛЯДУ</w:t>
      </w:r>
      <w:r w:rsidR="00B278C7"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 xml:space="preserve">  </w:t>
      </w: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 xml:space="preserve"> КРИМІНАЛЬНИХ ПРОВАДЖЕНЬ ПРО ВЧИНЕННЯ ЗЛОЧИНІВ ПРОТИ ВЛАСНОСТІ</w:t>
      </w:r>
    </w:p>
    <w:p w:rsidR="00C0726C" w:rsidRDefault="00C0726C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</w:p>
    <w:p w:rsidR="00870F04" w:rsidRDefault="00870F04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</w:p>
    <w:p w:rsidR="00071D78" w:rsidRDefault="00771840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color w:val="000000"/>
          <w:sz w:val="24"/>
          <w:szCs w:val="24"/>
          <w:lang w:eastAsia="uk-UA"/>
        </w:rPr>
        <w:t xml:space="preserve">  </w:t>
      </w:r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плану роботи </w:t>
      </w:r>
      <w:proofErr w:type="spellStart"/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Літинського</w:t>
      </w:r>
      <w:proofErr w:type="spellEnd"/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районног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суду Вінницької області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71D78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проведено узагальнення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аналіз</w:t>
      </w:r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розгляду кримінальних 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 про злочини проти власності у період з 01.01.202</w:t>
      </w:r>
      <w:r w:rsidR="00332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31.12.202</w:t>
      </w:r>
      <w:r w:rsidR="00332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а також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порівняння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кримінальни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злочини проти власності, які надійшли до суду у 202</w:t>
      </w:r>
      <w:r w:rsidR="00332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році.</w:t>
      </w:r>
    </w:p>
    <w:p w:rsidR="00A27BDC" w:rsidRPr="00760AE9" w:rsidRDefault="00A27BDC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здійснення узагальнення практики про злочини проти власності є вирішення проблем, які виникають при розгляді цієї категорії справ, причин, що сприяли вчиненню кримінальних правопорушень, найбільш характерних порушень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неправильне застосування норм матеріального та процесуального права, вироблення пропозицій для забезпечення єдиного чи правильного застосування законодавства.</w:t>
      </w:r>
    </w:p>
    <w:p w:rsidR="00E67B08" w:rsidRPr="00E67B08" w:rsidRDefault="00870F04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ст. 41 Конституції України кожен має право володіти, користува</w:t>
      </w: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тись і розпоряджатися своєю власністю. Ніхто не може бути протиправно позбав</w:t>
      </w: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лений права власності, адже  право власності є непорушним. 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Розділом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КК України встановлено, які саме суспільно-небезпечні діяння проти власності є злочинами та які покарання застосовуються до осіб, які їх скоїли. Злочини проти власності становлять одну з найпоширеніших груп кримінально </w:t>
      </w:r>
      <w:proofErr w:type="spellStart"/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каранних</w:t>
      </w:r>
      <w:proofErr w:type="spellEnd"/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дій.</w:t>
      </w:r>
    </w:p>
    <w:p w:rsidR="00357F34" w:rsidRPr="00050458" w:rsidRDefault="00E67B08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33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Основними злочинами проти власності є</w:t>
      </w:r>
      <w:r w:rsidR="00870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3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крадіжка, грабіж, розбій, шахрайство.</w:t>
      </w:r>
    </w:p>
    <w:p w:rsidR="00E67B08" w:rsidRDefault="00870F04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 xml:space="preserve">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періоду, що аналізується , на розгляді у </w:t>
      </w:r>
      <w:proofErr w:type="spellStart"/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Літинсько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proofErr w:type="spellEnd"/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Вінницької області перебувало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проваджень по злочинах п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роти власності відносно 26 осіб, а у 2021 році на розгляді перебувало 35 проваджень про злочини проти власності відносно 43 осіб. </w:t>
      </w:r>
    </w:p>
    <w:p w:rsidR="00DE6B93" w:rsidRDefault="00566B6F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видами злочини проти власності у 2022 році складали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75CF" w:rsidRPr="004F541F" w:rsidRDefault="002475CF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крадіжка</w:t>
      </w:r>
      <w:r w:rsidR="00E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20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кримінальних справ </w:t>
      </w:r>
      <w:proofErr w:type="spellStart"/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відносн</w:t>
      </w:r>
      <w:proofErr w:type="spellEnd"/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21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осіб;</w:t>
      </w:r>
    </w:p>
    <w:p w:rsidR="002475CF" w:rsidRPr="004F541F" w:rsidRDefault="002475CF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шахрайство –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2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кримінальні </w:t>
      </w:r>
      <w:proofErr w:type="spellStart"/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справи відносно</w:t>
      </w:r>
      <w:proofErr w:type="spellEnd"/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2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осіб;</w:t>
      </w:r>
    </w:p>
    <w:p w:rsidR="002475CF" w:rsidRPr="004F541F" w:rsidRDefault="002475CF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розбій -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кримінальна справа відносно </w:t>
      </w:r>
      <w:r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2 </w:t>
      </w:r>
      <w:r w:rsidR="00CD3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осіб.</w:t>
      </w:r>
    </w:p>
    <w:p w:rsidR="00A27BDC" w:rsidRDefault="00A27BDC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7BDC" w:rsidRDefault="00A27BDC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03CF" w:rsidRPr="00A27BDC" w:rsidRDefault="00CD3EB8" w:rsidP="00CD3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</w:t>
      </w:r>
      <w:r w:rsidR="002475CF"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Діаграма </w:t>
      </w:r>
      <w:r w:rsidR="00A27BDC"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</w:t>
      </w:r>
      <w:r w:rsidR="002475CF"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75CF"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Кількість справ про злочини проти власності</w:t>
      </w:r>
      <w:r w:rsidRPr="00A27B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 2022 році</w:t>
      </w:r>
    </w:p>
    <w:p w:rsidR="00CD3EB8" w:rsidRPr="00CD3EB8" w:rsidRDefault="00CD3EB8" w:rsidP="00CD3EB8"/>
    <w:p w:rsidR="00791411" w:rsidRDefault="002475CF" w:rsidP="00870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258193C7" wp14:editId="770EF35C">
            <wp:extent cx="6203092" cy="4893276"/>
            <wp:effectExtent l="0" t="0" r="26670" b="222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1678" w:rsidRDefault="00811678" w:rsidP="0081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1678" w:rsidRDefault="00811678" w:rsidP="0081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1678" w:rsidRDefault="00811678" w:rsidP="0081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Аналізуючи наведені дані, можна зробити висновок, що </w:t>
      </w:r>
      <w:proofErr w:type="spellStart"/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найпоширенні</w:t>
      </w:r>
      <w:r w:rsidR="00E67B08"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шим</w:t>
      </w:r>
      <w:proofErr w:type="spellEnd"/>
      <w:r w:rsidR="00E67B08"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злочином є крадіжка (ст.185 КК України), що становить 87 </w:t>
      </w:r>
      <w:r w:rsidR="00E67B08"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в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 загальної кількості справ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злочини проти власності, в той час як шахрайство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(ст.190 КК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України) становить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9 % , а розбій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(ст.187 КК України)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- 4 %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3EB8" w:rsidRDefault="005162B6" w:rsidP="00516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B4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</w:t>
      </w:r>
      <w:bookmarkStart w:id="0" w:name="_GoBack"/>
      <w:bookmarkEnd w:id="0"/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2021 року , на розгляді у </w:t>
      </w:r>
      <w:proofErr w:type="spellStart"/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Літинсько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proofErr w:type="spellEnd"/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Вінницької області перебувало 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35 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проваджень по злочинах п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 власності відносно 43 осіб.</w:t>
      </w:r>
    </w:p>
    <w:p w:rsidR="00CD3EB8" w:rsidRDefault="00CD3EB8" w:rsidP="00CD3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 них:</w:t>
      </w:r>
    </w:p>
    <w:p w:rsidR="00CD3EB8" w:rsidRDefault="00CD3EB8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 кримінальних справ, за обвинуваченням у скоєнні злочину, передбаченого ст.185 КК України ( «Крадіжка») відносно 34 осіб;</w:t>
      </w:r>
    </w:p>
    <w:p w:rsidR="00CD3EB8" w:rsidRDefault="00CD3EB8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кримінальних справи, за обвинуваченням у скоєнні злочину, передбаченого ст.186 КК України ( «Грабіж») відносно 2 осіб;</w:t>
      </w:r>
    </w:p>
    <w:p w:rsidR="00CD3EB8" w:rsidRDefault="00CD3EB8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кримінальна справа, за обвинуваченням у скоєні злочину, передбаченого ст.187 КК України («Розбій») відносно 2 осіб ;</w:t>
      </w:r>
    </w:p>
    <w:p w:rsidR="00CD3EB8" w:rsidRPr="00712C2A" w:rsidRDefault="00CD3EB8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кримінальних справ, за обвинуваченням у скоєні злочину, передбаченого ст.190 КК України («Шахрайство») відносно 5 осіб.</w:t>
      </w:r>
    </w:p>
    <w:p w:rsidR="00791411" w:rsidRDefault="00791411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1678" w:rsidRDefault="00811678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411" w:rsidRPr="00811678" w:rsidRDefault="00CD3EB8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Діаграма </w:t>
      </w:r>
      <w:r w:rsidR="00811678"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</w:t>
      </w:r>
      <w:r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Кількість справ про злочини проти власності у 2021 році</w:t>
      </w:r>
    </w:p>
    <w:p w:rsidR="00791411" w:rsidRDefault="00791411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411" w:rsidRDefault="00791411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3EB8" w:rsidRDefault="00811678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1092D839" wp14:editId="6C7DC338">
            <wp:extent cx="5280454" cy="3311611"/>
            <wp:effectExtent l="0" t="0" r="1587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62B6" w:rsidRDefault="005162B6" w:rsidP="00C6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3EB8" w:rsidRDefault="00811678" w:rsidP="00C6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Проаналізувавши наведені дані, можна зробити висновок, що у 2021 році також одним з найбільш поширених злочинів є крадіжка (ст.185 КК України), що становить 83 </w:t>
      </w:r>
      <w:r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 загальної кількості справ про злочини проти власності, шахрайство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(ст.190 КК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України) становить 8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розбій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(ст.187 КК України)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грабіж (ст.186 КК України) – 6%.</w:t>
      </w:r>
    </w:p>
    <w:p w:rsidR="00500923" w:rsidRDefault="00500923" w:rsidP="00500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період 2022 року , що аналізується , на розгляді у </w:t>
      </w:r>
      <w:proofErr w:type="spellStart"/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Літинсько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proofErr w:type="spellEnd"/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Вінницької області перебувало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</w:t>
      </w:r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проваджен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</w:t>
      </w:r>
      <w:r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злочинах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 власності відносно 26 осіб, а у 2021 році - 35 проваджень про злочини проти вл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асності відносно 43 осіб. Тобто,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2022 році 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порівнянні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із 2021 роком істотно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зменшилась кількість кримінальних справ, в яких особи обвинувачуються за вчинення злочинів проти власності.</w:t>
      </w:r>
    </w:p>
    <w:p w:rsidR="005162B6" w:rsidRDefault="005162B6" w:rsidP="00516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62B6" w:rsidRDefault="005162B6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16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Діаграма 3. Порівняння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кількості</w:t>
      </w:r>
      <w:r w:rsidRPr="00516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справ про злочини проти власності 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162B6" w:rsidRDefault="005162B6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2021-2022 рр.</w:t>
      </w:r>
    </w:p>
    <w:p w:rsidR="00313A73" w:rsidRDefault="00313A73" w:rsidP="00313A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162B6" w:rsidRDefault="00313A73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58240" behindDoc="1" locked="0" layoutInCell="1" allowOverlap="1" wp14:anchorId="67912D6C" wp14:editId="47886F1C">
            <wp:simplePos x="0" y="0"/>
            <wp:positionH relativeFrom="column">
              <wp:posOffset>1085215</wp:posOffset>
            </wp:positionH>
            <wp:positionV relativeFrom="paragraph">
              <wp:posOffset>1905</wp:posOffset>
            </wp:positionV>
            <wp:extent cx="3921125" cy="2289810"/>
            <wp:effectExtent l="0" t="0" r="22225" b="15240"/>
            <wp:wrapThrough wrapText="bothSides">
              <wp:wrapPolygon edited="0">
                <wp:start x="0" y="0"/>
                <wp:lineTo x="0" y="21564"/>
                <wp:lineTo x="21617" y="21564"/>
                <wp:lineTo x="21617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2B6" w:rsidRDefault="005162B6" w:rsidP="00313A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162B6" w:rsidRDefault="005162B6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162B6" w:rsidRDefault="005162B6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162B6" w:rsidRPr="005162B6" w:rsidRDefault="005162B6" w:rsidP="0051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16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162B6" w:rsidRDefault="005162B6" w:rsidP="00500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62B6" w:rsidRDefault="005162B6" w:rsidP="00500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62B6" w:rsidRDefault="005162B6" w:rsidP="00500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3EB8" w:rsidRDefault="00CD3EB8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03CF" w:rsidRDefault="00D103CF" w:rsidP="008A4D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4D40" w:rsidRPr="003329AD" w:rsidRDefault="008A4D40" w:rsidP="008A4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uk-UA"/>
        </w:rPr>
      </w:pPr>
    </w:p>
    <w:p w:rsidR="00E556B6" w:rsidRDefault="004F541F" w:rsidP="00E556B6">
      <w:pPr>
        <w:shd w:val="clear" w:color="auto" w:fill="FFFFFF"/>
        <w:spacing w:after="0" w:line="240" w:lineRule="auto"/>
        <w:ind w:firstLine="709"/>
        <w:jc w:val="both"/>
        <w:rPr>
          <w:rStyle w:val="rvts19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Так, наприклад у 202</w:t>
      </w:r>
      <w:r w:rsidR="00313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році до суду надійшла кримінальна справа за обвинуваченням </w:t>
      </w:r>
      <w:r w:rsidR="00E5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вчиненні кримінального правопорушення, передбаченого ч.</w:t>
      </w:r>
      <w:r w:rsidR="00E5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ст.185 КК України. Судом</w:t>
      </w:r>
      <w:r w:rsidRPr="004F5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r w:rsidR="00E5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F5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було застосовано покарання у виді </w:t>
      </w:r>
      <w:r w:rsidR="00E556B6">
        <w:rPr>
          <w:rStyle w:val="rvts19"/>
          <w:rFonts w:ascii="Times New Roman" w:hAnsi="Times New Roman" w:cs="Times New Roman"/>
          <w:color w:val="000000" w:themeColor="text1"/>
        </w:rPr>
        <w:t xml:space="preserve">5 </w:t>
      </w:r>
      <w:r>
        <w:rPr>
          <w:rStyle w:val="rvts19"/>
          <w:rFonts w:ascii="Times New Roman" w:hAnsi="Times New Roman" w:cs="Times New Roman"/>
          <w:color w:val="000000" w:themeColor="text1"/>
        </w:rPr>
        <w:t>(</w:t>
      </w:r>
      <w:r w:rsidR="00E556B6">
        <w:rPr>
          <w:rStyle w:val="rvts19"/>
          <w:rFonts w:ascii="Times New Roman" w:hAnsi="Times New Roman" w:cs="Times New Roman"/>
          <w:color w:val="000000" w:themeColor="text1"/>
        </w:rPr>
        <w:t>п’яти</w:t>
      </w:r>
      <w:r>
        <w:rPr>
          <w:rStyle w:val="rvts19"/>
          <w:rFonts w:ascii="Times New Roman" w:hAnsi="Times New Roman" w:cs="Times New Roman"/>
          <w:color w:val="000000" w:themeColor="text1"/>
        </w:rPr>
        <w:t>)</w:t>
      </w:r>
      <w:r w:rsidRPr="004F541F">
        <w:rPr>
          <w:rStyle w:val="rvts19"/>
          <w:rFonts w:ascii="Times New Roman" w:hAnsi="Times New Roman" w:cs="Times New Roman"/>
          <w:color w:val="000000" w:themeColor="text1"/>
        </w:rPr>
        <w:t xml:space="preserve"> років позбавлення волі</w:t>
      </w:r>
      <w:r>
        <w:rPr>
          <w:rStyle w:val="rvts19"/>
          <w:rFonts w:ascii="Times New Roman" w:hAnsi="Times New Roman" w:cs="Times New Roman"/>
          <w:color w:val="000000" w:themeColor="text1"/>
        </w:rPr>
        <w:t xml:space="preserve">, а </w:t>
      </w:r>
      <w:r w:rsidRPr="004F541F">
        <w:rPr>
          <w:rStyle w:val="rvts19"/>
          <w:rFonts w:ascii="Times New Roman" w:hAnsi="Times New Roman" w:cs="Times New Roman"/>
          <w:color w:val="000000" w:themeColor="text1"/>
        </w:rPr>
        <w:t xml:space="preserve">на підставі </w:t>
      </w:r>
      <w:proofErr w:type="spellStart"/>
      <w:r w:rsidRPr="004F541F">
        <w:rPr>
          <w:rStyle w:val="rvts19"/>
          <w:rFonts w:ascii="Times New Roman" w:hAnsi="Times New Roman" w:cs="Times New Roman"/>
          <w:color w:val="000000" w:themeColor="text1"/>
        </w:rPr>
        <w:t>ст</w:t>
      </w:r>
      <w:proofErr w:type="spellEnd"/>
      <w:r w:rsidRPr="004F541F">
        <w:rPr>
          <w:rStyle w:val="rvts19"/>
          <w:rFonts w:ascii="Times New Roman" w:hAnsi="Times New Roman" w:cs="Times New Roman"/>
          <w:color w:val="000000" w:themeColor="text1"/>
        </w:rPr>
        <w:t>. </w:t>
      </w:r>
      <w:hyperlink r:id="rId10" w:anchor="316" w:tooltip="Кримінальний кодекс України; нормативно-правовий акт № 2341-III від 05.04.2001" w:history="1">
        <w:r w:rsidRPr="004F541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="00E556B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hyperlink r:id="rId11" w:anchor="322" w:tooltip="Кримінальний кодекс України; нормативно-правовий акт № 2341-III від 05.04.2001" w:history="1">
        <w:r w:rsidRPr="004F541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КК України</w:t>
        </w:r>
      </w:hyperlink>
      <w:r w:rsidRPr="004F541F">
        <w:rPr>
          <w:rStyle w:val="rvts19"/>
          <w:rFonts w:ascii="Times New Roman" w:hAnsi="Times New Roman" w:cs="Times New Roman"/>
          <w:color w:val="000000" w:themeColor="text1"/>
        </w:rPr>
        <w:t> </w:t>
      </w:r>
      <w:r w:rsidR="00E556B6">
        <w:rPr>
          <w:rStyle w:val="rvts19"/>
          <w:rFonts w:ascii="Times New Roman" w:hAnsi="Times New Roman" w:cs="Times New Roman"/>
          <w:color w:val="000000" w:themeColor="text1"/>
        </w:rPr>
        <w:t xml:space="preserve"> було  звільнено від відбування призначеного покарання з випробуванням з іспитовим строком 2 роки. На апеляційному розгляді дана кримінальна справа не перебувала. Матеріальна шкода заподіяна внаслідок вчинення кримінального правопорушення була відшкодована у повному розмірі.</w:t>
      </w:r>
    </w:p>
    <w:p w:rsidR="004F541F" w:rsidRDefault="008A4D40" w:rsidP="004F54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показує практика, більшість</w:t>
      </w:r>
      <w:r w:rsid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</w:t>
      </w:r>
      <w:r w:rsidR="004F541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лочин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 проти власності</w:t>
      </w:r>
      <w:r w:rsidR="004F541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вчиняються в </w:t>
      </w:r>
      <w:r w:rsidRPr="00E5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умовах політичної нестабільності, матеріального неблагополуччя, відсутності належних заходів попередження злочинності крадіжки набувають все більшої «популярності». Крадії не гребують нічим, крадуть все, що попадає під руку і з будь-яких місць, тож навіть у себе вдома поставивши камери та замкнувши всі двері ми не є абсолютно захищеними від них. </w:t>
      </w:r>
    </w:p>
    <w:p w:rsidR="008A4D40" w:rsidRPr="008A4D40" w:rsidRDefault="008A4D40" w:rsidP="008A4D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аналізуючи наведе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 дані можна зробити висновок, що у 2022 році порівняно із 2021 роком істотно зменшилась кількість кримінальних справ, в яких особи обвинувачуються за вч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инення злочинів проти власності, проте все ж злочини проти власності залишаються одними з найпоширеніших груп вчинення кримінально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каранних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дій.</w:t>
      </w:r>
      <w:r w:rsidRPr="00E556B6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</w:p>
    <w:p w:rsidR="004F541F" w:rsidRPr="004F541F" w:rsidRDefault="004F541F" w:rsidP="004F54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Крім того, проведене узагальнення засвідчило, що при розгляді зазначеної категорії справ судді вірно застосовують норми матеріального та процесуального права. Усі справи розглянуті у встановлені строки, порушень не допускалось.</w:t>
      </w:r>
    </w:p>
    <w:p w:rsidR="004F541F" w:rsidRPr="004F541F" w:rsidRDefault="004F541F" w:rsidP="004F541F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000000" w:themeColor="text1"/>
          <w:sz w:val="24"/>
          <w:szCs w:val="24"/>
          <w:lang w:eastAsia="uk-UA"/>
        </w:rPr>
      </w:pPr>
    </w:p>
    <w:p w:rsidR="004F541F" w:rsidRDefault="004F541F" w:rsidP="004F5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B278C7" w:rsidRDefault="00B278C7" w:rsidP="004F5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278C7" w:rsidRPr="004F541F" w:rsidRDefault="00B278C7" w:rsidP="004F5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E30AE" w:rsidRPr="00BE6488" w:rsidRDefault="00BE30AE" w:rsidP="00E55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78C7" w:rsidRPr="00B278C7" w:rsidRDefault="00B278C7" w:rsidP="00B278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Голова </w:t>
      </w:r>
      <w:proofErr w:type="spellStart"/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Літинського</w:t>
      </w:r>
      <w:proofErr w:type="spellEnd"/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районного суду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Віктор ЖЕЛІХОВСЬКИЙ </w:t>
      </w:r>
    </w:p>
    <w:p w:rsidR="00C0726C" w:rsidRPr="00B278C7" w:rsidRDefault="00B278C7" w:rsidP="00C07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</w:pPr>
      <w:proofErr w:type="spellStart"/>
      <w:r w:rsidRPr="00B278C7"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  <w:t>вик.Лазаренко</w:t>
      </w:r>
      <w:proofErr w:type="spellEnd"/>
      <w:r w:rsidRPr="00B278C7"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  <w:t xml:space="preserve"> </w:t>
      </w:r>
      <w:r w:rsidRPr="00B278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(04347) 2-14-05</w:t>
      </w:r>
    </w:p>
    <w:p w:rsidR="005E5CD1" w:rsidRPr="00071D78" w:rsidRDefault="005E5CD1">
      <w:pPr>
        <w:rPr>
          <w:color w:val="000000" w:themeColor="text1"/>
        </w:rPr>
      </w:pPr>
    </w:p>
    <w:sectPr w:rsidR="005E5CD1" w:rsidRPr="00071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65"/>
    <w:multiLevelType w:val="hybridMultilevel"/>
    <w:tmpl w:val="62AE033C"/>
    <w:lvl w:ilvl="0" w:tplc="F0BACC8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8983B42"/>
    <w:multiLevelType w:val="hybridMultilevel"/>
    <w:tmpl w:val="F70ABE02"/>
    <w:lvl w:ilvl="0" w:tplc="55F8691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7764DA"/>
    <w:multiLevelType w:val="hybridMultilevel"/>
    <w:tmpl w:val="85A6D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32C9"/>
    <w:multiLevelType w:val="hybridMultilevel"/>
    <w:tmpl w:val="4858EA78"/>
    <w:lvl w:ilvl="0" w:tplc="1502405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40624E7"/>
    <w:multiLevelType w:val="hybridMultilevel"/>
    <w:tmpl w:val="1986B234"/>
    <w:lvl w:ilvl="0" w:tplc="5614A36C"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7A51F25"/>
    <w:multiLevelType w:val="hybridMultilevel"/>
    <w:tmpl w:val="0262D800"/>
    <w:lvl w:ilvl="0" w:tplc="042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BCC6888"/>
    <w:multiLevelType w:val="hybridMultilevel"/>
    <w:tmpl w:val="D3FC0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414"/>
    <w:multiLevelType w:val="hybridMultilevel"/>
    <w:tmpl w:val="23DC262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8F07F3"/>
    <w:multiLevelType w:val="hybridMultilevel"/>
    <w:tmpl w:val="3530B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E6F"/>
    <w:multiLevelType w:val="hybridMultilevel"/>
    <w:tmpl w:val="A8A0922C"/>
    <w:lvl w:ilvl="0" w:tplc="F2BEE8F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6989685B"/>
    <w:multiLevelType w:val="hybridMultilevel"/>
    <w:tmpl w:val="4D24F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16343"/>
    <w:multiLevelType w:val="hybridMultilevel"/>
    <w:tmpl w:val="6DC23BAC"/>
    <w:lvl w:ilvl="0" w:tplc="C1B6E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283A"/>
    <w:multiLevelType w:val="hybridMultilevel"/>
    <w:tmpl w:val="3F9A6398"/>
    <w:lvl w:ilvl="0" w:tplc="7E700C8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CB04FCA"/>
    <w:multiLevelType w:val="hybridMultilevel"/>
    <w:tmpl w:val="F9E2F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17"/>
    <w:rsid w:val="0000538A"/>
    <w:rsid w:val="00050458"/>
    <w:rsid w:val="00071D78"/>
    <w:rsid w:val="001340EB"/>
    <w:rsid w:val="001522BC"/>
    <w:rsid w:val="001D0FA2"/>
    <w:rsid w:val="002475CF"/>
    <w:rsid w:val="00313A73"/>
    <w:rsid w:val="003329AD"/>
    <w:rsid w:val="00357F34"/>
    <w:rsid w:val="003E3EA4"/>
    <w:rsid w:val="003E4B06"/>
    <w:rsid w:val="003F7BE3"/>
    <w:rsid w:val="004F541F"/>
    <w:rsid w:val="00500923"/>
    <w:rsid w:val="005162B6"/>
    <w:rsid w:val="005635C5"/>
    <w:rsid w:val="00566B6F"/>
    <w:rsid w:val="005B4C14"/>
    <w:rsid w:val="005E5CD1"/>
    <w:rsid w:val="006B0051"/>
    <w:rsid w:val="00712C2A"/>
    <w:rsid w:val="00760AE9"/>
    <w:rsid w:val="00771840"/>
    <w:rsid w:val="00791411"/>
    <w:rsid w:val="00811678"/>
    <w:rsid w:val="00855BE8"/>
    <w:rsid w:val="00870F04"/>
    <w:rsid w:val="008A4D40"/>
    <w:rsid w:val="008E0BF1"/>
    <w:rsid w:val="00944C04"/>
    <w:rsid w:val="009D2B78"/>
    <w:rsid w:val="009E71B4"/>
    <w:rsid w:val="00A1005C"/>
    <w:rsid w:val="00A23893"/>
    <w:rsid w:val="00A27BDC"/>
    <w:rsid w:val="00AD38FE"/>
    <w:rsid w:val="00B278C7"/>
    <w:rsid w:val="00B30E2C"/>
    <w:rsid w:val="00B3584F"/>
    <w:rsid w:val="00BE30AE"/>
    <w:rsid w:val="00BE6488"/>
    <w:rsid w:val="00C0109A"/>
    <w:rsid w:val="00C0726C"/>
    <w:rsid w:val="00C65A48"/>
    <w:rsid w:val="00C74051"/>
    <w:rsid w:val="00CB3335"/>
    <w:rsid w:val="00CD3EB8"/>
    <w:rsid w:val="00D103CF"/>
    <w:rsid w:val="00D25565"/>
    <w:rsid w:val="00DE6B93"/>
    <w:rsid w:val="00DF5817"/>
    <w:rsid w:val="00E4029D"/>
    <w:rsid w:val="00E556B6"/>
    <w:rsid w:val="00E67B08"/>
    <w:rsid w:val="00EC7429"/>
    <w:rsid w:val="00EE489F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B06"/>
    <w:pPr>
      <w:ind w:left="720"/>
      <w:contextualSpacing/>
    </w:pPr>
  </w:style>
  <w:style w:type="character" w:customStyle="1" w:styleId="rvts19">
    <w:name w:val="rvts19"/>
    <w:basedOn w:val="a0"/>
    <w:rsid w:val="004F541F"/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F541F"/>
    <w:rPr>
      <w:color w:val="0000FF"/>
      <w:u w:val="single"/>
    </w:rPr>
  </w:style>
  <w:style w:type="character" w:customStyle="1" w:styleId="rvts20">
    <w:name w:val="rvts20"/>
    <w:basedOn w:val="a0"/>
    <w:rsid w:val="004F541F"/>
    <w:rPr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C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DE6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6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B06"/>
    <w:pPr>
      <w:ind w:left="720"/>
      <w:contextualSpacing/>
    </w:pPr>
  </w:style>
  <w:style w:type="character" w:customStyle="1" w:styleId="rvts19">
    <w:name w:val="rvts19"/>
    <w:basedOn w:val="a0"/>
    <w:rsid w:val="004F541F"/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F541F"/>
    <w:rPr>
      <w:color w:val="0000FF"/>
      <w:u w:val="single"/>
    </w:rPr>
  </w:style>
  <w:style w:type="character" w:customStyle="1" w:styleId="rvts20">
    <w:name w:val="rvts20"/>
    <w:basedOn w:val="a0"/>
    <w:rsid w:val="004F541F"/>
    <w:rPr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C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DE6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6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arch.ligazakon.ua/l_doc2.nsf/link1/an_322/ed_2020_12_04/pravo1/T012341.html?pravo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an_316/ed_2020_12_04/pravo1/T012341.html?pravo=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69616399084796199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справ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Розбій</c:v>
                </c:pt>
                <c:pt idx="3">
                  <c:v>Привласнення, розтрата майна або завлодіння ним шляхом зловживання службовим становищем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Кількість осіб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Розбій</c:v>
                </c:pt>
                <c:pt idx="3">
                  <c:v>Привласнення, розтрата майна або завлодіння ним шляхом зловживання службовим становищем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202811844427538"/>
          <c:y val="0.13891094677521743"/>
          <c:w val="0.22892588365029309"/>
          <c:h val="0.65346686628480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89500770120247E-3"/>
          <c:y val="2.2603695488544615E-2"/>
          <c:w val="0.80048081405658977"/>
          <c:h val="0.944176613330553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справ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Грабіж</c:v>
                </c:pt>
                <c:pt idx="2">
                  <c:v>Розбій</c:v>
                </c:pt>
                <c:pt idx="3">
                  <c:v>Шахрайство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Кількість осіб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Грабіж</c:v>
                </c:pt>
                <c:pt idx="2">
                  <c:v>Розбій</c:v>
                </c:pt>
                <c:pt idx="3">
                  <c:v>Шахрайство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2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46197796309942"/>
          <c:y val="6.0927340277709331E-2"/>
          <c:w val="0.5492304489851928"/>
          <c:h val="0.9308734343125757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Порівняння 2021- 2022</c:v>
                </c:pt>
              </c:strCache>
            </c:strRef>
          </c:tx>
          <c:explosion val="6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2023-03-20T08:08:00Z</cp:lastPrinted>
  <dcterms:created xsi:type="dcterms:W3CDTF">2023-01-26T07:11:00Z</dcterms:created>
  <dcterms:modified xsi:type="dcterms:W3CDTF">2023-03-20T08:10:00Z</dcterms:modified>
</cp:coreProperties>
</file>