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FF25D8"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FF25D8">
        <w:rPr>
          <w:rFonts w:ascii="Times New Roman" w:eastAsia="Calibri" w:hAnsi="Times New Roman" w:cs="Times New Roman"/>
          <w:sz w:val="28"/>
          <w:szCs w:val="28"/>
          <w:lang w:val="uk-UA" w:eastAsia="ru-RU"/>
        </w:rPr>
        <w:t xml:space="preserve">від </w:t>
      </w:r>
      <w:r w:rsidR="00B54D50">
        <w:rPr>
          <w:rFonts w:ascii="Times New Roman" w:eastAsia="Calibri" w:hAnsi="Times New Roman" w:cs="Times New Roman"/>
          <w:sz w:val="28"/>
          <w:szCs w:val="28"/>
          <w:lang w:val="uk-UA" w:eastAsia="ru-RU"/>
        </w:rPr>
        <w:t>1</w:t>
      </w:r>
      <w:r w:rsidR="00381ACB">
        <w:rPr>
          <w:rFonts w:ascii="Times New Roman" w:eastAsia="Calibri" w:hAnsi="Times New Roman" w:cs="Times New Roman"/>
          <w:sz w:val="28"/>
          <w:szCs w:val="28"/>
          <w:lang w:val="uk-UA" w:eastAsia="ru-RU"/>
        </w:rPr>
        <w:t>3</w:t>
      </w:r>
      <w:r w:rsidR="00675F28" w:rsidRPr="00FF25D8">
        <w:rPr>
          <w:rFonts w:ascii="Times New Roman" w:eastAsia="Calibri" w:hAnsi="Times New Roman" w:cs="Times New Roman"/>
          <w:sz w:val="28"/>
          <w:szCs w:val="28"/>
          <w:lang w:val="uk-UA" w:eastAsia="ru-RU"/>
        </w:rPr>
        <w:t>.</w:t>
      </w:r>
      <w:r w:rsidR="0057404A">
        <w:rPr>
          <w:rFonts w:ascii="Times New Roman" w:eastAsia="Calibri" w:hAnsi="Times New Roman" w:cs="Times New Roman"/>
          <w:sz w:val="28"/>
          <w:szCs w:val="28"/>
          <w:lang w:val="uk-UA" w:eastAsia="ru-RU"/>
        </w:rPr>
        <w:t>1</w:t>
      </w:r>
      <w:r w:rsidR="00381ACB">
        <w:rPr>
          <w:rFonts w:ascii="Times New Roman" w:eastAsia="Calibri" w:hAnsi="Times New Roman" w:cs="Times New Roman"/>
          <w:sz w:val="28"/>
          <w:szCs w:val="28"/>
          <w:lang w:val="uk-UA" w:eastAsia="ru-RU"/>
        </w:rPr>
        <w:t>2</w:t>
      </w:r>
      <w:r w:rsidR="00675F28" w:rsidRPr="00FF25D8">
        <w:rPr>
          <w:rFonts w:ascii="Times New Roman" w:eastAsia="Calibri" w:hAnsi="Times New Roman" w:cs="Times New Roman"/>
          <w:sz w:val="28"/>
          <w:szCs w:val="28"/>
          <w:lang w:val="uk-UA" w:eastAsia="ru-RU"/>
        </w:rPr>
        <w:t>.202</w:t>
      </w:r>
      <w:r w:rsidR="00B54D50">
        <w:rPr>
          <w:rFonts w:ascii="Times New Roman" w:eastAsia="Calibri" w:hAnsi="Times New Roman" w:cs="Times New Roman"/>
          <w:sz w:val="28"/>
          <w:szCs w:val="28"/>
          <w:lang w:val="uk-UA" w:eastAsia="ru-RU"/>
        </w:rPr>
        <w:t>4</w:t>
      </w:r>
      <w:r w:rsidR="00675F28" w:rsidRPr="00FF25D8">
        <w:rPr>
          <w:rFonts w:ascii="Times New Roman" w:eastAsia="Calibri" w:hAnsi="Times New Roman" w:cs="Times New Roman"/>
          <w:sz w:val="28"/>
          <w:szCs w:val="28"/>
          <w:lang w:val="uk-UA" w:eastAsia="ru-RU"/>
        </w:rPr>
        <w:t xml:space="preserve"> </w:t>
      </w:r>
      <w:r w:rsidRPr="00FF25D8">
        <w:rPr>
          <w:rFonts w:ascii="Times New Roman" w:eastAsia="Calibri" w:hAnsi="Times New Roman" w:cs="Times New Roman"/>
          <w:sz w:val="28"/>
          <w:szCs w:val="28"/>
          <w:lang w:val="uk-UA" w:eastAsia="ru-RU"/>
        </w:rPr>
        <w:t xml:space="preserve">№ </w:t>
      </w:r>
      <w:r w:rsidR="00381ACB">
        <w:rPr>
          <w:rFonts w:ascii="Times New Roman" w:eastAsia="Calibri" w:hAnsi="Times New Roman" w:cs="Times New Roman"/>
          <w:sz w:val="28"/>
          <w:szCs w:val="28"/>
          <w:lang w:val="uk-UA" w:eastAsia="ru-RU"/>
        </w:rPr>
        <w:t>248</w:t>
      </w:r>
      <w:r w:rsidR="00910C86">
        <w:rPr>
          <w:rFonts w:ascii="Times New Roman" w:eastAsia="Calibri" w:hAnsi="Times New Roman" w:cs="Times New Roman"/>
          <w:sz w:val="28"/>
          <w:szCs w:val="28"/>
          <w:lang w:val="uk-UA" w:eastAsia="ru-RU"/>
        </w:rPr>
        <w:t xml:space="preserve"> </w:t>
      </w:r>
    </w:p>
    <w:p w:rsidR="00882826" w:rsidRPr="00A22D29"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 </w:t>
      </w:r>
      <w:r w:rsidR="007646E9">
        <w:rPr>
          <w:rFonts w:ascii="Times New Roman" w:eastAsia="Calibri" w:hAnsi="Times New Roman" w:cs="Times New Roman"/>
          <w:b/>
          <w:sz w:val="28"/>
          <w:szCs w:val="28"/>
          <w:lang w:val="uk-UA" w:eastAsia="ru-RU"/>
        </w:rPr>
        <w:t xml:space="preserve">категорії </w:t>
      </w:r>
      <w:bookmarkStart w:id="0" w:name="_Hlk185253553"/>
      <w:r w:rsidR="00381ACB">
        <w:rPr>
          <w:rFonts w:ascii="Times New Roman" w:eastAsia="Calibri" w:hAnsi="Times New Roman" w:cs="Times New Roman"/>
          <w:b/>
          <w:sz w:val="28"/>
          <w:szCs w:val="28"/>
          <w:lang w:val="uk-UA" w:eastAsia="ru-RU"/>
        </w:rPr>
        <w:t>(помічника оперативного чергового)</w:t>
      </w:r>
      <w:r w:rsidR="0049664D" w:rsidRPr="0035124C">
        <w:rPr>
          <w:rFonts w:ascii="Times New Roman" w:eastAsia="Calibri" w:hAnsi="Times New Roman" w:cs="Times New Roman"/>
          <w:b/>
          <w:sz w:val="28"/>
          <w:szCs w:val="28"/>
          <w:lang w:val="uk-UA" w:eastAsia="ru-RU"/>
        </w:rPr>
        <w:t xml:space="preserve"> </w:t>
      </w:r>
    </w:p>
    <w:bookmarkEnd w:id="0"/>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Pr="00CE4DF3"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00381ACB">
        <w:rPr>
          <w:rFonts w:ascii="Times New Roman" w:hAnsi="Times New Roman" w:cs="Times New Roman"/>
          <w:sz w:val="28"/>
          <w:szCs w:val="28"/>
          <w:lang w:val="uk-UA"/>
        </w:rPr>
        <w:t>н</w:t>
      </w:r>
      <w:r w:rsidR="00381ACB">
        <w:rPr>
          <w:rFonts w:ascii="Times New Roman" w:hAnsi="Times New Roman" w:cs="Times New Roman"/>
          <w:sz w:val="28"/>
          <w:szCs w:val="28"/>
          <w:shd w:val="clear" w:color="auto" w:fill="FFFFFF"/>
          <w:lang w:val="uk-UA"/>
        </w:rPr>
        <w:t xml:space="preserve">есе службу в складі чергової зміни </w:t>
      </w:r>
      <w:proofErr w:type="spellStart"/>
      <w:r w:rsidR="00381ACB">
        <w:rPr>
          <w:rFonts w:ascii="Times New Roman" w:hAnsi="Times New Roman" w:cs="Times New Roman"/>
          <w:sz w:val="28"/>
          <w:szCs w:val="28"/>
          <w:shd w:val="clear" w:color="auto" w:fill="FFFFFF"/>
          <w:lang w:val="uk-UA"/>
        </w:rPr>
        <w:t>оперативно</w:t>
      </w:r>
      <w:proofErr w:type="spellEnd"/>
      <w:r w:rsidR="00381ACB">
        <w:rPr>
          <w:rFonts w:ascii="Times New Roman" w:hAnsi="Times New Roman" w:cs="Times New Roman"/>
          <w:sz w:val="28"/>
          <w:szCs w:val="28"/>
          <w:shd w:val="clear" w:color="auto" w:fill="FFFFFF"/>
          <w:lang w:val="uk-UA"/>
        </w:rPr>
        <w:t>-чергової служби</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2) </w:t>
      </w:r>
      <w:r w:rsidR="00381ACB">
        <w:rPr>
          <w:rFonts w:ascii="Times New Roman" w:hAnsi="Times New Roman" w:cs="Times New Roman"/>
          <w:sz w:val="28"/>
          <w:szCs w:val="28"/>
          <w:lang w:val="uk-UA"/>
        </w:rPr>
        <w:t>здійснює моніторинг обстановки в системі судової охорони</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3) забезпечує </w:t>
      </w:r>
      <w:r w:rsidR="00381ACB">
        <w:rPr>
          <w:rFonts w:ascii="Times New Roman" w:hAnsi="Times New Roman" w:cs="Times New Roman"/>
          <w:sz w:val="28"/>
          <w:szCs w:val="28"/>
          <w:lang w:val="uk-UA"/>
        </w:rPr>
        <w:t>зберігання зброї</w:t>
      </w:r>
      <w:r w:rsidRPr="00157F28">
        <w:rPr>
          <w:rFonts w:ascii="Times New Roman" w:hAnsi="Times New Roman" w:cs="Times New Roman"/>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4) </w:t>
      </w:r>
      <w:r w:rsidR="00381ACB">
        <w:rPr>
          <w:rFonts w:ascii="Times New Roman" w:hAnsi="Times New Roman" w:cs="Times New Roman"/>
          <w:sz w:val="28"/>
          <w:szCs w:val="28"/>
          <w:lang w:val="uk-UA"/>
        </w:rPr>
        <w:t xml:space="preserve">підтримує протягом чергування інформаційну взаємодію з </w:t>
      </w:r>
      <w:proofErr w:type="spellStart"/>
      <w:r w:rsidR="00381ACB">
        <w:rPr>
          <w:rFonts w:ascii="Times New Roman" w:hAnsi="Times New Roman" w:cs="Times New Roman"/>
          <w:sz w:val="28"/>
          <w:szCs w:val="28"/>
          <w:lang w:val="uk-UA"/>
        </w:rPr>
        <w:t>оперативно</w:t>
      </w:r>
      <w:proofErr w:type="spellEnd"/>
      <w:r w:rsidR="00381ACB">
        <w:rPr>
          <w:rFonts w:ascii="Times New Roman" w:hAnsi="Times New Roman" w:cs="Times New Roman"/>
          <w:sz w:val="28"/>
          <w:szCs w:val="28"/>
          <w:lang w:val="uk-UA"/>
        </w:rPr>
        <w:t>-черговими службами органів виконавчої влади</w:t>
      </w:r>
      <w:r w:rsidRPr="00157F28">
        <w:rPr>
          <w:rFonts w:ascii="Times New Roman" w:hAnsi="Times New Roman" w:cs="Times New Roman"/>
          <w:sz w:val="28"/>
          <w:szCs w:val="28"/>
          <w:lang w:val="uk-UA"/>
        </w:rPr>
        <w:t>;</w:t>
      </w:r>
    </w:p>
    <w:p w:rsidR="00381ACB"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5) </w:t>
      </w:r>
      <w:r w:rsidR="00381ACB">
        <w:rPr>
          <w:rFonts w:ascii="Times New Roman" w:hAnsi="Times New Roman" w:cs="Times New Roman"/>
          <w:sz w:val="28"/>
          <w:szCs w:val="28"/>
          <w:lang w:val="uk-UA"/>
        </w:rPr>
        <w:t>здійснює оповіщення сигналами;</w:t>
      </w:r>
    </w:p>
    <w:p w:rsidR="00157F28" w:rsidRPr="00157F28" w:rsidRDefault="00381ACB"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t>6) готує про</w:t>
      </w:r>
      <w:r w:rsidR="00CB01FA">
        <w:rPr>
          <w:rFonts w:ascii="Times New Roman" w:hAnsi="Times New Roman" w:cs="Times New Roman"/>
          <w:noProof/>
          <w:sz w:val="28"/>
          <w:szCs w:val="28"/>
          <w:lang w:val="uk-UA"/>
        </w:rPr>
        <w:t>єкти листів визначеним органам державної влади з інформацією про обстановку в системі судововї охорони</w:t>
      </w:r>
      <w:r w:rsidR="00157F28" w:rsidRPr="00157F28">
        <w:rPr>
          <w:rFonts w:ascii="Times New Roman" w:hAnsi="Times New Roman" w:cs="Times New Roman"/>
          <w:noProof/>
          <w:sz w:val="28"/>
          <w:szCs w:val="28"/>
          <w:lang w:val="uk-UA"/>
        </w:rPr>
        <w:t>.</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w:t>
      </w:r>
      <w:r w:rsidR="002E613D">
        <w:rPr>
          <w:rFonts w:ascii="Times New Roman" w:hAnsi="Times New Roman" w:cs="Times New Roman"/>
          <w:sz w:val="28"/>
          <w:szCs w:val="28"/>
          <w:shd w:val="clear" w:color="auto" w:fill="FFFFFF"/>
          <w:lang w:val="uk-UA"/>
        </w:rPr>
        <w:t>260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6) копія трудової книжки;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sidR="00BF072D">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sidR="00BF072D">
        <w:rPr>
          <w:rFonts w:ascii="Times New Roman" w:hAnsi="Times New Roman" w:cs="Times New Roman"/>
          <w:sz w:val="28"/>
          <w:szCs w:val="28"/>
          <w:lang w:val="uk-UA"/>
        </w:rPr>
        <w:t xml:space="preserve">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rsidR="00A22D29"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sidR="008F64E1">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sidR="008F64E1">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rsidR="00A22D29" w:rsidRPr="00590832" w:rsidRDefault="00A22D29"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Default="00A22D29" w:rsidP="00A22D29">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A22D29" w:rsidRDefault="00A22D29" w:rsidP="00A22D29">
      <w:pPr>
        <w:spacing w:after="0" w:line="216" w:lineRule="auto"/>
        <w:ind w:firstLine="709"/>
        <w:jc w:val="both"/>
        <w:rPr>
          <w:rFonts w:ascii="Times New Roman" w:hAnsi="Times New Roman"/>
          <w:sz w:val="16"/>
          <w:szCs w:val="16"/>
          <w:lang w:val="uk-UA"/>
        </w:rPr>
      </w:pP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E73A5C" w:rsidRDefault="00A22D29" w:rsidP="00A22D29">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B54D50">
        <w:rPr>
          <w:rFonts w:ascii="Times New Roman" w:eastAsia="Times New Roman" w:hAnsi="Times New Roman" w:cs="Times New Roman"/>
          <w:sz w:val="28"/>
          <w:szCs w:val="28"/>
          <w:lang w:val="uk-UA" w:eastAsia="ru-RU"/>
        </w:rPr>
        <w:t>1</w:t>
      </w:r>
      <w:r w:rsidR="00E63322">
        <w:rPr>
          <w:rFonts w:ascii="Times New Roman" w:eastAsia="Times New Roman" w:hAnsi="Times New Roman" w:cs="Times New Roman"/>
          <w:sz w:val="28"/>
          <w:szCs w:val="28"/>
          <w:lang w:val="uk-UA" w:eastAsia="ru-RU"/>
        </w:rPr>
        <w:t>3</w:t>
      </w:r>
      <w:r w:rsidRPr="00E73A5C">
        <w:rPr>
          <w:rFonts w:ascii="Times New Roman" w:eastAsia="Times New Roman" w:hAnsi="Times New Roman" w:cs="Times New Roman"/>
          <w:sz w:val="28"/>
          <w:szCs w:val="28"/>
          <w:lang w:val="uk-UA" w:eastAsia="ru-RU"/>
        </w:rPr>
        <w:t xml:space="preserve"> </w:t>
      </w:r>
      <w:r w:rsidR="00E63322">
        <w:rPr>
          <w:rFonts w:ascii="Times New Roman" w:eastAsia="Times New Roman" w:hAnsi="Times New Roman" w:cs="Times New Roman"/>
          <w:sz w:val="28"/>
          <w:szCs w:val="28"/>
          <w:lang w:val="uk-UA" w:eastAsia="ru-RU"/>
        </w:rPr>
        <w:t>груд</w:t>
      </w:r>
      <w:r w:rsidR="00B54D50">
        <w:rPr>
          <w:rFonts w:ascii="Times New Roman" w:eastAsia="Times New Roman" w:hAnsi="Times New Roman" w:cs="Times New Roman"/>
          <w:sz w:val="28"/>
          <w:szCs w:val="28"/>
          <w:lang w:val="uk-UA" w:eastAsia="ru-RU"/>
        </w:rPr>
        <w:t>ня</w:t>
      </w:r>
      <w:r w:rsidR="006E1483">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202</w:t>
      </w:r>
      <w:r w:rsidR="00B54D50">
        <w:rPr>
          <w:rFonts w:ascii="Times New Roman" w:eastAsia="Times New Roman" w:hAnsi="Times New Roman" w:cs="Times New Roman"/>
          <w:sz w:val="28"/>
          <w:szCs w:val="28"/>
          <w:lang w:val="uk-UA" w:eastAsia="ru-RU"/>
        </w:rPr>
        <w:t>4</w:t>
      </w:r>
      <w:r w:rsidRPr="00E73A5C">
        <w:rPr>
          <w:rFonts w:ascii="Times New Roman" w:eastAsia="Times New Roman" w:hAnsi="Times New Roman" w:cs="Times New Roman"/>
          <w:sz w:val="28"/>
          <w:szCs w:val="28"/>
          <w:lang w:val="uk-UA" w:eastAsia="ru-RU"/>
        </w:rPr>
        <w:t xml:space="preserve"> року до                     </w:t>
      </w:r>
      <w:r w:rsidR="002515CA">
        <w:rPr>
          <w:rFonts w:ascii="Times New Roman" w:eastAsia="Times New Roman" w:hAnsi="Times New Roman" w:cs="Times New Roman"/>
          <w:sz w:val="28"/>
          <w:szCs w:val="28"/>
          <w:lang w:val="uk-UA" w:eastAsia="ru-RU"/>
        </w:rPr>
        <w:t>1</w:t>
      </w:r>
      <w:r w:rsidR="00B54D50">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:00 години </w:t>
      </w:r>
      <w:r w:rsidR="00B54D50">
        <w:rPr>
          <w:rFonts w:ascii="Times New Roman" w:eastAsia="Times New Roman" w:hAnsi="Times New Roman" w:cs="Times New Roman"/>
          <w:sz w:val="28"/>
          <w:szCs w:val="28"/>
          <w:lang w:val="uk-UA" w:eastAsia="ru-RU"/>
        </w:rPr>
        <w:t>2</w:t>
      </w:r>
      <w:r w:rsidR="00E63322">
        <w:rPr>
          <w:rFonts w:ascii="Times New Roman" w:eastAsia="Times New Roman" w:hAnsi="Times New Roman" w:cs="Times New Roman"/>
          <w:sz w:val="28"/>
          <w:szCs w:val="28"/>
          <w:lang w:val="uk-UA" w:eastAsia="ru-RU"/>
        </w:rPr>
        <w:t>3 грудня</w:t>
      </w:r>
      <w:r w:rsidR="00B54D50">
        <w:rPr>
          <w:rFonts w:ascii="Times New Roman" w:eastAsia="Times New Roman" w:hAnsi="Times New Roman" w:cs="Times New Roman"/>
          <w:sz w:val="28"/>
          <w:szCs w:val="28"/>
          <w:lang w:val="uk-UA" w:eastAsia="ru-RU"/>
        </w:rPr>
        <w:t xml:space="preserve"> </w:t>
      </w:r>
      <w:r w:rsidR="00B54D50" w:rsidRPr="00E73A5C">
        <w:rPr>
          <w:rFonts w:ascii="Times New Roman" w:eastAsia="Times New Roman" w:hAnsi="Times New Roman" w:cs="Times New Roman"/>
          <w:sz w:val="28"/>
          <w:szCs w:val="28"/>
          <w:lang w:val="uk-UA" w:eastAsia="ru-RU"/>
        </w:rPr>
        <w:t>202</w:t>
      </w:r>
      <w:r w:rsidR="00B54D50">
        <w:rPr>
          <w:rFonts w:ascii="Times New Roman" w:eastAsia="Times New Roman" w:hAnsi="Times New Roman" w:cs="Times New Roman"/>
          <w:sz w:val="28"/>
          <w:szCs w:val="28"/>
          <w:lang w:val="uk-UA" w:eastAsia="ru-RU"/>
        </w:rPr>
        <w:t>4</w:t>
      </w:r>
      <w:r w:rsidR="00B54D50"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 категорії </w:t>
      </w:r>
      <w:r w:rsidR="00891FA4" w:rsidRPr="00891FA4">
        <w:rPr>
          <w:rFonts w:ascii="Times New Roman" w:eastAsia="Calibri" w:hAnsi="Times New Roman" w:cs="Times New Roman"/>
          <w:sz w:val="28"/>
          <w:szCs w:val="28"/>
          <w:lang w:val="uk-UA" w:bidi="en-US"/>
        </w:rPr>
        <w:t>(помічника оперативного чергового)</w:t>
      </w:r>
      <w:r w:rsidR="00891FA4" w:rsidRPr="00891FA4">
        <w:rPr>
          <w:rFonts w:ascii="Times New Roman" w:eastAsia="Calibri" w:hAnsi="Times New Roman" w:cs="Times New Roman"/>
          <w:b/>
          <w:sz w:val="28"/>
          <w:szCs w:val="28"/>
          <w:lang w:val="uk-UA" w:bidi="en-US"/>
        </w:rPr>
        <w:t xml:space="preserve">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E63322">
        <w:rPr>
          <w:rFonts w:ascii="Times New Roman" w:eastAsia="Times New Roman" w:hAnsi="Times New Roman" w:cs="Times New Roman"/>
          <w:sz w:val="28"/>
          <w:szCs w:val="28"/>
          <w:lang w:val="uk-UA" w:eastAsia="ru-RU"/>
        </w:rPr>
        <w:t>24</w:t>
      </w:r>
      <w:r w:rsidR="00B54D50">
        <w:rPr>
          <w:rFonts w:ascii="Times New Roman" w:eastAsia="Times New Roman" w:hAnsi="Times New Roman" w:cs="Times New Roman"/>
          <w:sz w:val="28"/>
          <w:szCs w:val="28"/>
          <w:lang w:val="uk-UA" w:eastAsia="ru-RU"/>
        </w:rPr>
        <w:t xml:space="preserve"> </w:t>
      </w:r>
      <w:r w:rsidR="00E63322">
        <w:rPr>
          <w:rFonts w:ascii="Times New Roman" w:eastAsia="Times New Roman" w:hAnsi="Times New Roman" w:cs="Times New Roman"/>
          <w:sz w:val="28"/>
          <w:szCs w:val="28"/>
          <w:lang w:val="uk-UA" w:eastAsia="ru-RU"/>
        </w:rPr>
        <w:t>груд</w:t>
      </w:r>
      <w:r w:rsidR="00B54D50">
        <w:rPr>
          <w:rFonts w:ascii="Times New Roman" w:eastAsia="Times New Roman" w:hAnsi="Times New Roman" w:cs="Times New Roman"/>
          <w:sz w:val="28"/>
          <w:szCs w:val="28"/>
          <w:lang w:val="uk-UA" w:eastAsia="ru-RU"/>
        </w:rPr>
        <w:t>ня</w:t>
      </w:r>
      <w:r w:rsidR="006E1483">
        <w:rPr>
          <w:rFonts w:ascii="Times New Roman" w:eastAsia="Calibri"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B54D50">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 xml:space="preserve">09.00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Default="00A22D29" w:rsidP="00A22D29">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w:t>
      </w:r>
      <w:r w:rsidR="00E63322">
        <w:rPr>
          <w:rFonts w:ascii="Times New Roman" w:eastAsia="Times New Roman" w:hAnsi="Times New Roman"/>
          <w:sz w:val="28"/>
          <w:szCs w:val="28"/>
          <w:lang w:val="uk-UA" w:eastAsia="ru-RU"/>
        </w:rPr>
        <w:t>7</w:t>
      </w:r>
      <w:r w:rsidRPr="0030318F">
        <w:rPr>
          <w:rFonts w:ascii="Times New Roman" w:eastAsia="Times New Roman" w:hAnsi="Times New Roman"/>
          <w:sz w:val="28"/>
          <w:szCs w:val="28"/>
          <w:lang w:val="uk-UA" w:eastAsia="ru-RU"/>
        </w:rPr>
        <w:t xml:space="preserve">) </w:t>
      </w:r>
      <w:r w:rsidR="00E63322">
        <w:rPr>
          <w:rFonts w:ascii="Times New Roman" w:eastAsia="Times New Roman" w:hAnsi="Times New Roman"/>
          <w:sz w:val="28"/>
          <w:szCs w:val="28"/>
          <w:lang w:val="uk-UA" w:eastAsia="ru-RU"/>
        </w:rPr>
        <w:t>27</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w:t>
      </w:r>
      <w:r w:rsidR="00E63322">
        <w:rPr>
          <w:rFonts w:ascii="Times New Roman" w:eastAsia="Times New Roman" w:hAnsi="Times New Roman"/>
          <w:sz w:val="28"/>
          <w:szCs w:val="28"/>
          <w:lang w:val="uk-UA" w:eastAsia="ru-RU"/>
        </w:rPr>
        <w:t>7</w:t>
      </w:r>
      <w:r w:rsidRPr="0030318F">
        <w:rPr>
          <w:rFonts w:ascii="Times New Roman" w:eastAsia="Times New Roman" w:hAnsi="Times New Roman"/>
          <w:sz w:val="28"/>
          <w:szCs w:val="28"/>
          <w:lang w:val="uk-UA" w:eastAsia="ru-RU"/>
        </w:rPr>
        <w:t>-</w:t>
      </w:r>
      <w:r w:rsidR="00E63322">
        <w:rPr>
          <w:rFonts w:ascii="Times New Roman" w:eastAsia="Times New Roman" w:hAnsi="Times New Roman"/>
          <w:sz w:val="28"/>
          <w:szCs w:val="28"/>
          <w:lang w:val="uk-UA" w:eastAsia="ru-RU"/>
        </w:rPr>
        <w:t>618</w:t>
      </w:r>
      <w:r>
        <w:rPr>
          <w:rFonts w:ascii="Times New Roman" w:eastAsia="Times New Roman" w:hAnsi="Times New Roman"/>
          <w:sz w:val="28"/>
          <w:szCs w:val="28"/>
          <w:lang w:val="uk-UA" w:eastAsia="ru-RU"/>
        </w:rPr>
        <w:t xml:space="preserve">; </w:t>
      </w:r>
      <w:hyperlink r:id="rId7" w:history="1">
        <w:r w:rsidR="0057404A" w:rsidRPr="00AE6C99">
          <w:rPr>
            <w:rStyle w:val="a8"/>
            <w:rFonts w:ascii="Times New Roman" w:hAnsi="Times New Roman" w:cs="Times New Roman"/>
            <w:sz w:val="28"/>
            <w:szCs w:val="28"/>
            <w:lang w:val="en-US"/>
          </w:rPr>
          <w:t>vrp</w:t>
        </w:r>
        <w:r w:rsidR="0057404A" w:rsidRPr="00AE6C99">
          <w:rPr>
            <w:rStyle w:val="a8"/>
            <w:rFonts w:ascii="Times New Roman" w:hAnsi="Times New Roman" w:cs="Times New Roman"/>
            <w:sz w:val="28"/>
            <w:szCs w:val="28"/>
            <w:lang w:val="uk-UA"/>
          </w:rPr>
          <w:t>.ck@sso.gov.ua</w:t>
        </w:r>
      </w:hyperlink>
    </w:p>
    <w:p w:rsidR="0057404A" w:rsidRPr="0057404A" w:rsidRDefault="0057404A" w:rsidP="00A22D29">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r w:rsidRPr="0057404A">
        <w:rPr>
          <w:rFonts w:ascii="Times New Roman" w:eastAsia="Times New Roman" w:hAnsi="Times New Roman" w:cs="Times New Roman"/>
          <w:snapToGrid w:val="0"/>
          <w:sz w:val="28"/>
          <w:szCs w:val="28"/>
          <w:lang w:val="uk-UA" w:eastAsia="ru-RU"/>
        </w:rPr>
        <w:t>Алексашкіна Людмила Леонідівна</w:t>
      </w:r>
    </w:p>
    <w:p w:rsidR="00A22D29" w:rsidRPr="00B54D50"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lang w:val="uk-UA"/>
        </w:rPr>
        <w:t>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sidRPr="00B54D50">
        <w:rPr>
          <w:rFonts w:ascii="Times New Roman" w:hAnsi="Times New Roman" w:cs="Times New Roman"/>
          <w:sz w:val="28"/>
          <w:szCs w:val="28"/>
          <w:lang w:val="uk-UA"/>
        </w:rPr>
        <w:t>Запісочний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rsidR="00A22D29" w:rsidRPr="00CE4DF3" w:rsidRDefault="00A22D29" w:rsidP="00A22D29">
      <w:pPr>
        <w:tabs>
          <w:tab w:val="left" w:pos="837"/>
        </w:tabs>
        <w:spacing w:after="0" w:line="216" w:lineRule="auto"/>
        <w:ind w:left="-108"/>
        <w:jc w:val="both"/>
        <w:rPr>
          <w:rFonts w:ascii="Times New Roman" w:eastAsia="Calibri" w:hAnsi="Times New Roman" w:cs="Times New Roman"/>
          <w:b/>
          <w:sz w:val="28"/>
          <w:szCs w:val="28"/>
          <w:lang w:val="uk-UA" w:eastAsia="ru-RU"/>
        </w:rPr>
      </w:pPr>
    </w:p>
    <w:tbl>
      <w:tblPr>
        <w:tblW w:w="10060" w:type="dxa"/>
        <w:tblInd w:w="108" w:type="dxa"/>
        <w:tblLook w:val="0000" w:firstRow="0" w:lastRow="0" w:firstColumn="0" w:lastColumn="0" w:noHBand="0" w:noVBand="0"/>
      </w:tblPr>
      <w:tblGrid>
        <w:gridCol w:w="10060"/>
      </w:tblGrid>
      <w:tr w:rsidR="001B7E3F" w:rsidRPr="007E6FFD" w:rsidTr="007E6FFD">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sidR="00CD68FF">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7E6FFD"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7E6FFD"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p w:rsidR="007E6FFD" w:rsidRDefault="007E6FFD" w:rsidP="00A22D29">
                  <w:pPr>
                    <w:spacing w:line="216" w:lineRule="auto"/>
                    <w:ind w:left="171"/>
                    <w:jc w:val="both"/>
                    <w:rPr>
                      <w:rFonts w:ascii="Times New Roman" w:hAnsi="Times New Roman"/>
                      <w:sz w:val="28"/>
                      <w:szCs w:val="28"/>
                      <w:lang w:val="uk-UA"/>
                    </w:rPr>
                  </w:pPr>
                </w:p>
                <w:p w:rsidR="007E6FFD" w:rsidRPr="00CE4DF3" w:rsidRDefault="007E6FFD" w:rsidP="00A22D29">
                  <w:pPr>
                    <w:spacing w:line="216" w:lineRule="auto"/>
                    <w:ind w:left="171"/>
                    <w:jc w:val="both"/>
                    <w:rPr>
                      <w:rFonts w:ascii="Times New Roman" w:hAnsi="Times New Roman"/>
                      <w:sz w:val="28"/>
                      <w:szCs w:val="28"/>
                      <w:lang w:val="uk-UA"/>
                    </w:rPr>
                  </w:pP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7E6FFD" w:rsidRPr="001B7E3F" w:rsidRDefault="007E6FFD" w:rsidP="007E6FFD">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lastRenderedPageBreak/>
        <w:t>УМОВИ</w:t>
      </w:r>
    </w:p>
    <w:p w:rsidR="007E6FFD" w:rsidRPr="00A22D29" w:rsidRDefault="007E6FFD" w:rsidP="007E6FFD">
      <w:pPr>
        <w:spacing w:after="0" w:line="216" w:lineRule="auto"/>
        <w:jc w:val="center"/>
        <w:rPr>
          <w:rFonts w:ascii="Times New Roman" w:eastAsia="Calibri" w:hAnsi="Times New Roman" w:cs="Times New Roman"/>
          <w:b/>
          <w:sz w:val="16"/>
          <w:szCs w:val="16"/>
          <w:lang w:val="uk-UA" w:eastAsia="ru-RU"/>
        </w:rPr>
      </w:pPr>
    </w:p>
    <w:p w:rsidR="007E6FFD" w:rsidRDefault="007E6FFD" w:rsidP="007E6FFD">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7E6FFD" w:rsidRDefault="007E6FFD" w:rsidP="007E6FFD">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rsidR="007E6FFD" w:rsidRPr="0035124C" w:rsidRDefault="007E6FFD" w:rsidP="007E6FFD">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7E6FFD" w:rsidRPr="00A22D29" w:rsidRDefault="007E6FFD" w:rsidP="007E6FFD">
      <w:pPr>
        <w:spacing w:after="0" w:line="216" w:lineRule="auto"/>
        <w:jc w:val="center"/>
        <w:rPr>
          <w:rFonts w:ascii="Times New Roman" w:eastAsia="Calibri" w:hAnsi="Times New Roman" w:cs="Times New Roman"/>
          <w:b/>
          <w:sz w:val="16"/>
          <w:szCs w:val="16"/>
          <w:lang w:val="uk-UA" w:eastAsia="ru-RU"/>
        </w:rPr>
      </w:pPr>
    </w:p>
    <w:p w:rsidR="007E6FFD" w:rsidRDefault="007E6FFD" w:rsidP="007E6FFD">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E6FFD" w:rsidRPr="00CE4DF3" w:rsidRDefault="007E6FFD" w:rsidP="007E6FFD">
      <w:pPr>
        <w:spacing w:after="0" w:line="216" w:lineRule="auto"/>
        <w:jc w:val="center"/>
        <w:rPr>
          <w:rFonts w:ascii="Times New Roman" w:eastAsia="Calibri" w:hAnsi="Times New Roman" w:cs="Times New Roman"/>
          <w:b/>
          <w:sz w:val="28"/>
          <w:szCs w:val="28"/>
          <w:lang w:val="uk-UA" w:eastAsia="ru-RU"/>
        </w:rPr>
      </w:pPr>
    </w:p>
    <w:p w:rsidR="007E6FFD" w:rsidRDefault="007E6FFD" w:rsidP="007E6FFD">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7E6FFD" w:rsidRPr="00157F28" w:rsidRDefault="007E6FFD" w:rsidP="007E6FFD">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7E6FFD" w:rsidRPr="00157F28" w:rsidRDefault="007E6FFD" w:rsidP="007E6FFD">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7E6FFD" w:rsidRPr="00157F28" w:rsidRDefault="007E6FFD" w:rsidP="007E6FFD">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7E6FFD" w:rsidRPr="00157F28" w:rsidRDefault="007E6FFD" w:rsidP="007E6FFD">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7E6FFD" w:rsidRPr="00157F28" w:rsidRDefault="007E6FFD" w:rsidP="007E6FFD">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7E6FFD" w:rsidRPr="00A22D29" w:rsidRDefault="007E6FFD" w:rsidP="007E6FFD">
      <w:pPr>
        <w:spacing w:after="0" w:line="216" w:lineRule="auto"/>
        <w:ind w:firstLine="709"/>
        <w:jc w:val="both"/>
        <w:rPr>
          <w:rFonts w:ascii="Times New Roman" w:hAnsi="Times New Roman"/>
          <w:color w:val="000000"/>
          <w:sz w:val="16"/>
          <w:szCs w:val="16"/>
        </w:rPr>
      </w:pPr>
    </w:p>
    <w:p w:rsidR="007E6FFD" w:rsidRDefault="007E6FFD" w:rsidP="007E6FFD">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7E6FFD" w:rsidRPr="00FF6052" w:rsidRDefault="007E6FFD" w:rsidP="007E6FFD">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3170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7E6FFD" w:rsidRPr="00CE4DF3" w:rsidRDefault="007E6FFD" w:rsidP="007E6FFD">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E6FFD" w:rsidRPr="00A22D29" w:rsidRDefault="007E6FFD" w:rsidP="007E6FFD">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7E6FFD" w:rsidRPr="00CE4DF3" w:rsidRDefault="007E6FFD" w:rsidP="007E6FFD">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7E6FFD" w:rsidRPr="00CE4DF3" w:rsidRDefault="007E6FFD" w:rsidP="007E6FFD">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7E6FFD" w:rsidRPr="00A22D29" w:rsidRDefault="007E6FFD" w:rsidP="007E6FFD">
      <w:pPr>
        <w:spacing w:after="0" w:line="216" w:lineRule="auto"/>
        <w:ind w:firstLine="709"/>
        <w:jc w:val="both"/>
        <w:rPr>
          <w:rFonts w:ascii="Times New Roman" w:eastAsia="Calibri" w:hAnsi="Times New Roman" w:cs="Times New Roman"/>
          <w:b/>
          <w:sz w:val="16"/>
          <w:szCs w:val="16"/>
          <w:lang w:val="uk-UA" w:eastAsia="ru-RU"/>
        </w:rPr>
      </w:pPr>
    </w:p>
    <w:p w:rsidR="007E6FFD" w:rsidRPr="00CE4DF3" w:rsidRDefault="007E6FFD" w:rsidP="007E6FFD">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7E6FFD" w:rsidRPr="003C1F94" w:rsidRDefault="007E6FFD" w:rsidP="007E6FF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E6FFD" w:rsidRPr="003C1F94" w:rsidRDefault="007E6FFD" w:rsidP="007E6FF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7E6FFD" w:rsidRPr="003C1F94" w:rsidRDefault="007E6FFD" w:rsidP="007E6FF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7E6FFD" w:rsidRPr="003C1F94" w:rsidRDefault="007E6FFD" w:rsidP="007E6FFD">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7E6FFD" w:rsidRPr="0030318F" w:rsidRDefault="007E6FFD" w:rsidP="007E6FFD">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E6FFD" w:rsidRPr="0030318F" w:rsidRDefault="007E6FFD" w:rsidP="007E6FF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7E6FFD" w:rsidRPr="0030318F" w:rsidRDefault="007E6FFD" w:rsidP="007E6FF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E6FFD" w:rsidRPr="0030318F" w:rsidRDefault="007E6FFD" w:rsidP="007E6FF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7E6FFD" w:rsidRPr="0030318F" w:rsidRDefault="007E6FFD" w:rsidP="007E6FF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7E6FFD" w:rsidRDefault="007E6FFD" w:rsidP="007E6FFD">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7E6FFD" w:rsidRPr="00590832" w:rsidRDefault="007E6FFD" w:rsidP="007E6FFD">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rsidR="007E6FFD" w:rsidRPr="00A22D29" w:rsidRDefault="007E6FFD" w:rsidP="007E6FFD">
      <w:pPr>
        <w:spacing w:after="0" w:line="216" w:lineRule="auto"/>
        <w:ind w:firstLine="709"/>
        <w:jc w:val="both"/>
        <w:rPr>
          <w:rFonts w:ascii="Times New Roman" w:hAnsi="Times New Roman" w:cs="Times New Roman"/>
          <w:sz w:val="16"/>
          <w:szCs w:val="16"/>
          <w:lang w:val="uk-UA"/>
        </w:rPr>
      </w:pPr>
    </w:p>
    <w:p w:rsidR="007E6FFD" w:rsidRPr="00A22D29" w:rsidRDefault="007E6FFD" w:rsidP="007E6FFD">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7E6FFD" w:rsidRPr="00CE4DF3" w:rsidRDefault="007E6FFD" w:rsidP="007E6FFD">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E6FFD" w:rsidRPr="007C07C8" w:rsidRDefault="007E6FFD" w:rsidP="007E6FFD">
      <w:pPr>
        <w:spacing w:after="0" w:line="216" w:lineRule="auto"/>
        <w:ind w:firstLine="709"/>
        <w:jc w:val="both"/>
        <w:rPr>
          <w:rFonts w:ascii="Times New Roman" w:eastAsia="Times New Roman" w:hAnsi="Times New Roman" w:cs="Times New Roman"/>
          <w:sz w:val="16"/>
          <w:szCs w:val="16"/>
          <w:lang w:val="uk-UA" w:eastAsia="ru-RU"/>
        </w:rPr>
      </w:pPr>
    </w:p>
    <w:p w:rsidR="007E6FFD" w:rsidRPr="00E73A5C" w:rsidRDefault="007E6FFD" w:rsidP="007E6FFD">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13 грудня 2024</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23 грудня 2024</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rsidR="007E6FFD" w:rsidRPr="007C07C8" w:rsidRDefault="007E6FFD" w:rsidP="007E6FFD">
      <w:pPr>
        <w:spacing w:after="0" w:line="216" w:lineRule="auto"/>
        <w:ind w:firstLine="709"/>
        <w:jc w:val="both"/>
        <w:rPr>
          <w:rFonts w:ascii="Times New Roman" w:eastAsia="Calibri" w:hAnsi="Times New Roman" w:cs="Times New Roman"/>
          <w:sz w:val="16"/>
          <w:szCs w:val="16"/>
          <w:lang w:val="uk-UA" w:eastAsia="ru-RU"/>
        </w:rPr>
      </w:pPr>
    </w:p>
    <w:p w:rsidR="007E6FFD" w:rsidRPr="00CE4DF3" w:rsidRDefault="007E6FFD" w:rsidP="007E6FFD">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E6FFD" w:rsidRPr="00A22D29" w:rsidRDefault="007E6FFD" w:rsidP="007E6FFD">
      <w:pPr>
        <w:spacing w:after="0" w:line="216" w:lineRule="auto"/>
        <w:ind w:firstLine="709"/>
        <w:jc w:val="both"/>
        <w:rPr>
          <w:rFonts w:ascii="Times New Roman" w:eastAsia="Calibri" w:hAnsi="Times New Roman" w:cs="Times New Roman"/>
          <w:sz w:val="16"/>
          <w:szCs w:val="16"/>
          <w:lang w:val="uk-UA" w:eastAsia="ru-RU"/>
        </w:rPr>
      </w:pPr>
    </w:p>
    <w:p w:rsidR="007E6FFD" w:rsidRPr="00CE4DF3" w:rsidRDefault="007E6FFD" w:rsidP="007E6FFD">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7E6FFD" w:rsidRDefault="007E6FFD" w:rsidP="007E6FFD">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24 грудня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4</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7E6FFD" w:rsidRPr="00A22D29" w:rsidRDefault="007E6FFD" w:rsidP="007E6FFD">
      <w:pPr>
        <w:spacing w:after="0" w:line="216" w:lineRule="auto"/>
        <w:ind w:firstLine="709"/>
        <w:jc w:val="both"/>
        <w:rPr>
          <w:rFonts w:ascii="Times New Roman" w:eastAsia="Times New Roman" w:hAnsi="Times New Roman" w:cs="Times New Roman"/>
          <w:b/>
          <w:snapToGrid w:val="0"/>
          <w:sz w:val="16"/>
          <w:szCs w:val="16"/>
          <w:lang w:eastAsia="ru-RU"/>
        </w:rPr>
      </w:pPr>
    </w:p>
    <w:p w:rsidR="007E6FFD" w:rsidRPr="00CE4DF3" w:rsidRDefault="007E6FFD" w:rsidP="007E6FFD">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7E6FFD" w:rsidRPr="003E481B" w:rsidRDefault="007E6FFD" w:rsidP="007E6FFD">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97</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27-87-618;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7E6FFD" w:rsidRDefault="007E6FFD" w:rsidP="007E6FFD">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rsidR="007E6FFD" w:rsidRDefault="007E6FFD" w:rsidP="007E6FFD">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rsidR="007E6FFD" w:rsidRPr="00CE4DF3" w:rsidRDefault="007E6FFD" w:rsidP="007E6FFD">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7E6FFD" w:rsidRPr="007E6FFD" w:rsidTr="004C16FF">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7E6FFD" w:rsidRPr="00CE4DF3" w:rsidTr="004C16FF">
              <w:trPr>
                <w:gridAfter w:val="1"/>
                <w:wAfter w:w="276" w:type="dxa"/>
                <w:trHeight w:val="408"/>
              </w:trPr>
              <w:tc>
                <w:tcPr>
                  <w:tcW w:w="9568" w:type="dxa"/>
                  <w:gridSpan w:val="6"/>
                </w:tcPr>
                <w:p w:rsidR="007E6FFD" w:rsidRPr="00CE4DF3" w:rsidRDefault="007E6FFD" w:rsidP="004C16FF">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7E6FFD" w:rsidRPr="00CE4DF3" w:rsidTr="004C16FF">
              <w:trPr>
                <w:gridAfter w:val="1"/>
                <w:wAfter w:w="276" w:type="dxa"/>
                <w:trHeight w:val="408"/>
              </w:trPr>
              <w:tc>
                <w:tcPr>
                  <w:tcW w:w="9568" w:type="dxa"/>
                  <w:gridSpan w:val="6"/>
                </w:tcPr>
                <w:p w:rsidR="007E6FFD" w:rsidRPr="00CE4DF3" w:rsidRDefault="007E6FFD" w:rsidP="004C16FF">
                  <w:pPr>
                    <w:spacing w:after="0" w:line="216" w:lineRule="auto"/>
                    <w:jc w:val="center"/>
                    <w:rPr>
                      <w:rFonts w:ascii="Times New Roman" w:hAnsi="Times New Roman"/>
                      <w:b/>
                      <w:sz w:val="28"/>
                      <w:szCs w:val="28"/>
                      <w:lang w:val="uk-UA"/>
                    </w:rPr>
                  </w:pPr>
                </w:p>
              </w:tc>
            </w:tr>
            <w:tr w:rsidR="007E6FFD" w:rsidRPr="00CE4DF3" w:rsidTr="004C16FF">
              <w:trPr>
                <w:gridAfter w:val="1"/>
                <w:wAfter w:w="276" w:type="dxa"/>
                <w:trHeight w:val="408"/>
              </w:trPr>
              <w:tc>
                <w:tcPr>
                  <w:tcW w:w="4032" w:type="dxa"/>
                  <w:gridSpan w:val="4"/>
                  <w:hideMark/>
                </w:tcPr>
                <w:p w:rsidR="007E6FFD" w:rsidRPr="00CE4DF3" w:rsidRDefault="007E6FFD" w:rsidP="004C16FF">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7E6FFD" w:rsidRPr="00CE4DF3" w:rsidRDefault="007E6FFD" w:rsidP="004C16FF">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7E6FFD" w:rsidRPr="00CE4DF3" w:rsidTr="004C16FF">
              <w:trPr>
                <w:gridAfter w:val="1"/>
                <w:wAfter w:w="276" w:type="dxa"/>
                <w:trHeight w:val="408"/>
              </w:trPr>
              <w:tc>
                <w:tcPr>
                  <w:tcW w:w="4032" w:type="dxa"/>
                  <w:gridSpan w:val="4"/>
                  <w:hideMark/>
                </w:tcPr>
                <w:p w:rsidR="007E6FFD" w:rsidRPr="00CE4DF3" w:rsidRDefault="007E6FFD" w:rsidP="004C16FF">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7E6FFD" w:rsidRPr="00CE4DF3" w:rsidRDefault="007E6FFD" w:rsidP="004C16FF">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7E6FFD" w:rsidRPr="00CE4DF3" w:rsidTr="004C16FF">
              <w:trPr>
                <w:gridAfter w:val="1"/>
                <w:wAfter w:w="276" w:type="dxa"/>
                <w:trHeight w:val="408"/>
              </w:trPr>
              <w:tc>
                <w:tcPr>
                  <w:tcW w:w="4032" w:type="dxa"/>
                  <w:gridSpan w:val="4"/>
                  <w:hideMark/>
                </w:tcPr>
                <w:p w:rsidR="007E6FFD" w:rsidRPr="00CE4DF3" w:rsidRDefault="007E6FFD" w:rsidP="004C16FF">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rsidR="007E6FFD" w:rsidRPr="00CE4DF3" w:rsidRDefault="007E6FFD" w:rsidP="004C16FF">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7E6FFD" w:rsidRPr="00CE4DF3" w:rsidTr="004C16FF">
              <w:trPr>
                <w:gridAfter w:val="1"/>
                <w:wAfter w:w="276" w:type="dxa"/>
                <w:trHeight w:val="408"/>
              </w:trPr>
              <w:tc>
                <w:tcPr>
                  <w:tcW w:w="9568" w:type="dxa"/>
                  <w:gridSpan w:val="6"/>
                </w:tcPr>
                <w:p w:rsidR="007E6FFD" w:rsidRPr="00CE4DF3" w:rsidRDefault="007E6FFD" w:rsidP="004C16FF">
                  <w:pPr>
                    <w:spacing w:after="0" w:line="216" w:lineRule="auto"/>
                    <w:jc w:val="both"/>
                    <w:rPr>
                      <w:rFonts w:ascii="Times New Roman" w:hAnsi="Times New Roman"/>
                      <w:sz w:val="28"/>
                      <w:szCs w:val="28"/>
                      <w:lang w:val="uk-UA"/>
                    </w:rPr>
                  </w:pPr>
                </w:p>
              </w:tc>
            </w:tr>
            <w:tr w:rsidR="007E6FFD" w:rsidRPr="00CE4DF3" w:rsidTr="004C16FF">
              <w:trPr>
                <w:gridAfter w:val="1"/>
                <w:wAfter w:w="276" w:type="dxa"/>
                <w:trHeight w:val="408"/>
              </w:trPr>
              <w:tc>
                <w:tcPr>
                  <w:tcW w:w="9568" w:type="dxa"/>
                  <w:gridSpan w:val="6"/>
                </w:tcPr>
                <w:p w:rsidR="007E6FFD" w:rsidRPr="00CE4DF3" w:rsidRDefault="007E6FFD" w:rsidP="004C16FF">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7E6FFD" w:rsidRPr="00CE4DF3" w:rsidRDefault="007E6FFD" w:rsidP="004C16FF">
                  <w:pPr>
                    <w:shd w:val="clear" w:color="auto" w:fill="FFFFFF"/>
                    <w:spacing w:after="0" w:line="216" w:lineRule="auto"/>
                    <w:jc w:val="center"/>
                    <w:rPr>
                      <w:rFonts w:ascii="Times New Roman" w:hAnsi="Times New Roman"/>
                      <w:b/>
                      <w:sz w:val="28"/>
                      <w:szCs w:val="28"/>
                      <w:lang w:val="uk-UA"/>
                    </w:rPr>
                  </w:pPr>
                </w:p>
              </w:tc>
            </w:tr>
            <w:tr w:rsidR="007E6FFD" w:rsidRPr="00CE4DF3" w:rsidTr="004C16FF">
              <w:trPr>
                <w:gridAfter w:val="1"/>
                <w:wAfter w:w="276" w:type="dxa"/>
                <w:trHeight w:val="408"/>
              </w:trPr>
              <w:tc>
                <w:tcPr>
                  <w:tcW w:w="4008" w:type="dxa"/>
                  <w:gridSpan w:val="3"/>
                  <w:hideMark/>
                </w:tcPr>
                <w:p w:rsidR="007E6FFD" w:rsidRPr="00CE4DF3" w:rsidRDefault="007E6FFD" w:rsidP="004C16FF">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7E6FFD" w:rsidRPr="00CE4DF3" w:rsidRDefault="007E6FFD" w:rsidP="004C16FF">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7E6FFD" w:rsidRPr="00CE4DF3" w:rsidRDefault="007E6FFD" w:rsidP="004C16FF">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7E6FFD" w:rsidRPr="00CE4DF3" w:rsidTr="004C16FF">
              <w:trPr>
                <w:gridAfter w:val="1"/>
                <w:wAfter w:w="276" w:type="dxa"/>
                <w:trHeight w:val="408"/>
              </w:trPr>
              <w:tc>
                <w:tcPr>
                  <w:tcW w:w="4008" w:type="dxa"/>
                  <w:gridSpan w:val="3"/>
                  <w:hideMark/>
                </w:tcPr>
                <w:p w:rsidR="007E6FFD" w:rsidRPr="00CE4DF3" w:rsidRDefault="007E6FFD" w:rsidP="004C16FF">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7E6FFD" w:rsidRPr="00CE4DF3" w:rsidRDefault="007E6FFD" w:rsidP="004C16FF">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7E6FFD" w:rsidRPr="00CE4DF3" w:rsidRDefault="007E6FFD" w:rsidP="004C16FF">
                  <w:pPr>
                    <w:spacing w:after="0" w:line="216" w:lineRule="auto"/>
                    <w:rPr>
                      <w:rFonts w:ascii="Times New Roman" w:hAnsi="Times New Roman"/>
                      <w:sz w:val="28"/>
                      <w:szCs w:val="28"/>
                      <w:lang w:val="uk-UA"/>
                    </w:rPr>
                  </w:pPr>
                </w:p>
              </w:tc>
            </w:tr>
            <w:tr w:rsidR="007E6FFD" w:rsidRPr="007E6FFD" w:rsidTr="004C16FF">
              <w:trPr>
                <w:gridAfter w:val="1"/>
                <w:wAfter w:w="276" w:type="dxa"/>
                <w:trHeight w:val="408"/>
              </w:trPr>
              <w:tc>
                <w:tcPr>
                  <w:tcW w:w="4008" w:type="dxa"/>
                  <w:gridSpan w:val="3"/>
                  <w:hideMark/>
                </w:tcPr>
                <w:p w:rsidR="007E6FFD" w:rsidRPr="00CE4DF3" w:rsidRDefault="007E6FFD" w:rsidP="004C16FF">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7E6FFD" w:rsidRDefault="007E6FFD" w:rsidP="004C16FF">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7E6FFD" w:rsidRPr="00CE4DF3" w:rsidRDefault="007E6FFD" w:rsidP="004C16FF">
                  <w:pPr>
                    <w:shd w:val="clear" w:color="auto" w:fill="FFFFFF"/>
                    <w:spacing w:after="0" w:line="216" w:lineRule="auto"/>
                    <w:jc w:val="both"/>
                    <w:rPr>
                      <w:rFonts w:ascii="Times New Roman" w:hAnsi="Times New Roman"/>
                      <w:sz w:val="28"/>
                      <w:szCs w:val="28"/>
                      <w:lang w:val="uk-UA"/>
                    </w:rPr>
                  </w:pPr>
                </w:p>
              </w:tc>
            </w:tr>
            <w:tr w:rsidR="007E6FFD" w:rsidRPr="00CE4DF3" w:rsidTr="004C16FF">
              <w:trPr>
                <w:gridBefore w:val="1"/>
                <w:wBefore w:w="247" w:type="dxa"/>
                <w:trHeight w:val="408"/>
              </w:trPr>
              <w:tc>
                <w:tcPr>
                  <w:tcW w:w="3761" w:type="dxa"/>
                  <w:gridSpan w:val="2"/>
                  <w:shd w:val="clear" w:color="auto" w:fill="FFFFFF"/>
                  <w:hideMark/>
                </w:tcPr>
                <w:p w:rsidR="007E6FFD" w:rsidRPr="00CE4DF3" w:rsidRDefault="007E6FFD" w:rsidP="004C16FF">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7E6FFD" w:rsidRPr="00CE4DF3" w:rsidRDefault="007E6FFD" w:rsidP="004C16FF">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7E6FFD" w:rsidRPr="00CE4DF3" w:rsidRDefault="007E6FFD" w:rsidP="004C16FF">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7E6FFD" w:rsidRPr="00CE4DF3" w:rsidTr="004C16FF">
              <w:trPr>
                <w:gridAfter w:val="1"/>
                <w:wAfter w:w="276" w:type="dxa"/>
                <w:trHeight w:val="408"/>
              </w:trPr>
              <w:tc>
                <w:tcPr>
                  <w:tcW w:w="4008" w:type="dxa"/>
                  <w:gridSpan w:val="3"/>
                </w:tcPr>
                <w:p w:rsidR="007E6FFD" w:rsidRPr="00CE4DF3" w:rsidRDefault="007E6FFD" w:rsidP="004C16FF">
                  <w:pPr>
                    <w:spacing w:line="216" w:lineRule="auto"/>
                    <w:rPr>
                      <w:rFonts w:ascii="Times New Roman" w:hAnsi="Times New Roman"/>
                      <w:sz w:val="28"/>
                      <w:szCs w:val="28"/>
                      <w:lang w:val="uk-UA"/>
                    </w:rPr>
                  </w:pPr>
                </w:p>
              </w:tc>
              <w:tc>
                <w:tcPr>
                  <w:tcW w:w="5560" w:type="dxa"/>
                  <w:gridSpan w:val="3"/>
                </w:tcPr>
                <w:p w:rsidR="007E6FFD" w:rsidRPr="00CE4DF3" w:rsidRDefault="007E6FFD" w:rsidP="004C16FF">
                  <w:pPr>
                    <w:spacing w:line="216" w:lineRule="auto"/>
                    <w:jc w:val="both"/>
                    <w:rPr>
                      <w:rFonts w:ascii="Times New Roman" w:hAnsi="Times New Roman"/>
                      <w:sz w:val="28"/>
                      <w:szCs w:val="28"/>
                      <w:lang w:val="uk-UA"/>
                    </w:rPr>
                  </w:pPr>
                </w:p>
              </w:tc>
            </w:tr>
            <w:tr w:rsidR="007E6FFD" w:rsidRPr="00CE4DF3" w:rsidTr="004C16FF">
              <w:trPr>
                <w:gridBefore w:val="1"/>
                <w:gridAfter w:val="2"/>
                <w:wBefore w:w="247" w:type="dxa"/>
                <w:wAfter w:w="559" w:type="dxa"/>
                <w:trHeight w:val="408"/>
              </w:trPr>
              <w:tc>
                <w:tcPr>
                  <w:tcW w:w="9038" w:type="dxa"/>
                  <w:gridSpan w:val="4"/>
                  <w:hideMark/>
                </w:tcPr>
                <w:p w:rsidR="007E6FFD" w:rsidRPr="00CE4DF3" w:rsidRDefault="007E6FFD" w:rsidP="004C16FF">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7E6FFD" w:rsidRPr="007E6FFD" w:rsidTr="004C16FF">
              <w:trPr>
                <w:gridBefore w:val="1"/>
                <w:gridAfter w:val="2"/>
                <w:wBefore w:w="247" w:type="dxa"/>
                <w:wAfter w:w="559" w:type="dxa"/>
                <w:trHeight w:val="408"/>
              </w:trPr>
              <w:tc>
                <w:tcPr>
                  <w:tcW w:w="3656" w:type="dxa"/>
                  <w:hideMark/>
                </w:tcPr>
                <w:p w:rsidR="007E6FFD" w:rsidRPr="00CE4DF3" w:rsidRDefault="007E6FFD" w:rsidP="004C16FF">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7E6FFD" w:rsidRPr="00CE4DF3" w:rsidRDefault="007E6FFD" w:rsidP="004C16FF">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7E6FFD" w:rsidRPr="00CE4DF3" w:rsidRDefault="007E6FFD" w:rsidP="004C16FF">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bookmarkStart w:id="1" w:name="_GoBack"/>
      <w:bookmarkEnd w:id="1"/>
    </w:p>
    <w:sectPr w:rsidR="00BB427F" w:rsidRPr="001B7E3F" w:rsidSect="00A22D29">
      <w:headerReference w:type="default" r:id="rId8"/>
      <w:pgSz w:w="11906" w:h="16838" w:code="9"/>
      <w:pgMar w:top="567"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0BB" w:rsidRDefault="007850BB">
      <w:pPr>
        <w:spacing w:after="0" w:line="240" w:lineRule="auto"/>
      </w:pPr>
      <w:r>
        <w:separator/>
      </w:r>
    </w:p>
  </w:endnote>
  <w:endnote w:type="continuationSeparator" w:id="0">
    <w:p w:rsidR="007850BB" w:rsidRDefault="0078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0BB" w:rsidRDefault="007850BB">
      <w:pPr>
        <w:spacing w:after="0" w:line="240" w:lineRule="auto"/>
      </w:pPr>
      <w:r>
        <w:separator/>
      </w:r>
    </w:p>
  </w:footnote>
  <w:footnote w:type="continuationSeparator" w:id="0">
    <w:p w:rsidR="007850BB" w:rsidRDefault="00785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7850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3BF3"/>
    <w:rsid w:val="0000401D"/>
    <w:rsid w:val="00006311"/>
    <w:rsid w:val="00013651"/>
    <w:rsid w:val="00027B09"/>
    <w:rsid w:val="00040185"/>
    <w:rsid w:val="0008318C"/>
    <w:rsid w:val="000956E3"/>
    <w:rsid w:val="000A5762"/>
    <w:rsid w:val="000B37A6"/>
    <w:rsid w:val="000B5C5F"/>
    <w:rsid w:val="000E02C0"/>
    <w:rsid w:val="000F09F4"/>
    <w:rsid w:val="001140D1"/>
    <w:rsid w:val="00117053"/>
    <w:rsid w:val="00146C84"/>
    <w:rsid w:val="001544B6"/>
    <w:rsid w:val="00157F28"/>
    <w:rsid w:val="00171496"/>
    <w:rsid w:val="0018355B"/>
    <w:rsid w:val="001B5434"/>
    <w:rsid w:val="001B7E3F"/>
    <w:rsid w:val="001E58FE"/>
    <w:rsid w:val="00215354"/>
    <w:rsid w:val="002411A4"/>
    <w:rsid w:val="00245B05"/>
    <w:rsid w:val="00246A6E"/>
    <w:rsid w:val="00250148"/>
    <w:rsid w:val="002515CA"/>
    <w:rsid w:val="002640C7"/>
    <w:rsid w:val="00270B79"/>
    <w:rsid w:val="002844D2"/>
    <w:rsid w:val="002D6F3A"/>
    <w:rsid w:val="002D79AE"/>
    <w:rsid w:val="002E49C5"/>
    <w:rsid w:val="002E613D"/>
    <w:rsid w:val="002F7290"/>
    <w:rsid w:val="00324C3B"/>
    <w:rsid w:val="00334021"/>
    <w:rsid w:val="003439D5"/>
    <w:rsid w:val="003449DF"/>
    <w:rsid w:val="00345428"/>
    <w:rsid w:val="00350161"/>
    <w:rsid w:val="0035124C"/>
    <w:rsid w:val="003615D1"/>
    <w:rsid w:val="0037727A"/>
    <w:rsid w:val="00381ACB"/>
    <w:rsid w:val="00384DDE"/>
    <w:rsid w:val="00392C3A"/>
    <w:rsid w:val="0039505B"/>
    <w:rsid w:val="003C1F94"/>
    <w:rsid w:val="003D5565"/>
    <w:rsid w:val="00407D33"/>
    <w:rsid w:val="00417767"/>
    <w:rsid w:val="00420D11"/>
    <w:rsid w:val="00442A06"/>
    <w:rsid w:val="00443CC8"/>
    <w:rsid w:val="004956EF"/>
    <w:rsid w:val="0049664D"/>
    <w:rsid w:val="00497D17"/>
    <w:rsid w:val="00506B8E"/>
    <w:rsid w:val="00516370"/>
    <w:rsid w:val="00521E8D"/>
    <w:rsid w:val="00542A1B"/>
    <w:rsid w:val="00547BCF"/>
    <w:rsid w:val="00572871"/>
    <w:rsid w:val="0057404A"/>
    <w:rsid w:val="00590832"/>
    <w:rsid w:val="0059259C"/>
    <w:rsid w:val="00593275"/>
    <w:rsid w:val="0059589A"/>
    <w:rsid w:val="005B32F0"/>
    <w:rsid w:val="005C73EE"/>
    <w:rsid w:val="005F01AD"/>
    <w:rsid w:val="006063A4"/>
    <w:rsid w:val="006141D9"/>
    <w:rsid w:val="00621EAC"/>
    <w:rsid w:val="006467C3"/>
    <w:rsid w:val="00661BFF"/>
    <w:rsid w:val="006741A9"/>
    <w:rsid w:val="00674E04"/>
    <w:rsid w:val="00675F28"/>
    <w:rsid w:val="00680075"/>
    <w:rsid w:val="006873F1"/>
    <w:rsid w:val="00691F62"/>
    <w:rsid w:val="00692E63"/>
    <w:rsid w:val="006A034E"/>
    <w:rsid w:val="006D60B4"/>
    <w:rsid w:val="006E1483"/>
    <w:rsid w:val="006F64FD"/>
    <w:rsid w:val="00726F90"/>
    <w:rsid w:val="00730A14"/>
    <w:rsid w:val="00733A54"/>
    <w:rsid w:val="007555B6"/>
    <w:rsid w:val="00761104"/>
    <w:rsid w:val="007646E9"/>
    <w:rsid w:val="00765E4B"/>
    <w:rsid w:val="007850BB"/>
    <w:rsid w:val="0079045C"/>
    <w:rsid w:val="00796AFC"/>
    <w:rsid w:val="007A19BF"/>
    <w:rsid w:val="007C4593"/>
    <w:rsid w:val="007E312E"/>
    <w:rsid w:val="007E4290"/>
    <w:rsid w:val="007E6FFD"/>
    <w:rsid w:val="008541C5"/>
    <w:rsid w:val="008579BE"/>
    <w:rsid w:val="00867183"/>
    <w:rsid w:val="00871816"/>
    <w:rsid w:val="00882826"/>
    <w:rsid w:val="00891FA4"/>
    <w:rsid w:val="008A4DD0"/>
    <w:rsid w:val="008C03FA"/>
    <w:rsid w:val="008C7501"/>
    <w:rsid w:val="008F18C2"/>
    <w:rsid w:val="008F20AA"/>
    <w:rsid w:val="008F64E1"/>
    <w:rsid w:val="008F7082"/>
    <w:rsid w:val="00910C86"/>
    <w:rsid w:val="0091546B"/>
    <w:rsid w:val="0092120A"/>
    <w:rsid w:val="00924579"/>
    <w:rsid w:val="00924EF1"/>
    <w:rsid w:val="0094153E"/>
    <w:rsid w:val="00950DB2"/>
    <w:rsid w:val="00952D6C"/>
    <w:rsid w:val="009603B0"/>
    <w:rsid w:val="00967916"/>
    <w:rsid w:val="009A1D7E"/>
    <w:rsid w:val="009A22CD"/>
    <w:rsid w:val="009B0700"/>
    <w:rsid w:val="009B4A84"/>
    <w:rsid w:val="009D0B4B"/>
    <w:rsid w:val="009E3FCA"/>
    <w:rsid w:val="009F7B2D"/>
    <w:rsid w:val="00A179B4"/>
    <w:rsid w:val="00A22D29"/>
    <w:rsid w:val="00A70C4B"/>
    <w:rsid w:val="00A94DFE"/>
    <w:rsid w:val="00AB3214"/>
    <w:rsid w:val="00AB322F"/>
    <w:rsid w:val="00AC1EB5"/>
    <w:rsid w:val="00AC78D6"/>
    <w:rsid w:val="00B14DCD"/>
    <w:rsid w:val="00B21EE5"/>
    <w:rsid w:val="00B54D50"/>
    <w:rsid w:val="00B555D7"/>
    <w:rsid w:val="00B76AE7"/>
    <w:rsid w:val="00B92405"/>
    <w:rsid w:val="00B95DD7"/>
    <w:rsid w:val="00BA78A9"/>
    <w:rsid w:val="00BB427F"/>
    <w:rsid w:val="00BC1D6A"/>
    <w:rsid w:val="00BC2C25"/>
    <w:rsid w:val="00BC65A4"/>
    <w:rsid w:val="00BF072D"/>
    <w:rsid w:val="00C167FB"/>
    <w:rsid w:val="00C17FB1"/>
    <w:rsid w:val="00C27DD1"/>
    <w:rsid w:val="00C4618C"/>
    <w:rsid w:val="00C62266"/>
    <w:rsid w:val="00CA4A8F"/>
    <w:rsid w:val="00CB01FA"/>
    <w:rsid w:val="00CD68FF"/>
    <w:rsid w:val="00CE4DF3"/>
    <w:rsid w:val="00CE705C"/>
    <w:rsid w:val="00CF4E10"/>
    <w:rsid w:val="00D16E63"/>
    <w:rsid w:val="00D279BB"/>
    <w:rsid w:val="00D30D70"/>
    <w:rsid w:val="00D32601"/>
    <w:rsid w:val="00D715C8"/>
    <w:rsid w:val="00D719E1"/>
    <w:rsid w:val="00D767F7"/>
    <w:rsid w:val="00DA1AFB"/>
    <w:rsid w:val="00DA1E6A"/>
    <w:rsid w:val="00DE0EDE"/>
    <w:rsid w:val="00DF3766"/>
    <w:rsid w:val="00E0106F"/>
    <w:rsid w:val="00E023B6"/>
    <w:rsid w:val="00E04E06"/>
    <w:rsid w:val="00E32CFD"/>
    <w:rsid w:val="00E35BB4"/>
    <w:rsid w:val="00E527A0"/>
    <w:rsid w:val="00E5321C"/>
    <w:rsid w:val="00E61F8F"/>
    <w:rsid w:val="00E63322"/>
    <w:rsid w:val="00E662D9"/>
    <w:rsid w:val="00E7340A"/>
    <w:rsid w:val="00E81B7A"/>
    <w:rsid w:val="00EA37A0"/>
    <w:rsid w:val="00EA51E8"/>
    <w:rsid w:val="00EC5799"/>
    <w:rsid w:val="00ED10C9"/>
    <w:rsid w:val="00EE17F0"/>
    <w:rsid w:val="00F12452"/>
    <w:rsid w:val="00F3380F"/>
    <w:rsid w:val="00F36198"/>
    <w:rsid w:val="00F55665"/>
    <w:rsid w:val="00F76BFD"/>
    <w:rsid w:val="00F76ED2"/>
    <w:rsid w:val="00F8516F"/>
    <w:rsid w:val="00F94D1B"/>
    <w:rsid w:val="00FA3BFE"/>
    <w:rsid w:val="00FB48EF"/>
    <w:rsid w:val="00FD14DC"/>
    <w:rsid w:val="00FF25D8"/>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004B"/>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250148"/>
    <w:rPr>
      <w:color w:val="0000FF"/>
      <w:u w:val="single"/>
    </w:rPr>
  </w:style>
  <w:style w:type="character" w:styleId="a9">
    <w:name w:val="Unresolved Mention"/>
    <w:basedOn w:val="a0"/>
    <w:uiPriority w:val="99"/>
    <w:semiHidden/>
    <w:unhideWhenUsed/>
    <w:rsid w:val="00574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rp.ck@sso.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44DF-18CF-4402-B040-BA88251C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8382</Words>
  <Characters>4778</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7</cp:revision>
  <cp:lastPrinted>2023-05-11T06:23:00Z</cp:lastPrinted>
  <dcterms:created xsi:type="dcterms:W3CDTF">2024-01-15T07:33:00Z</dcterms:created>
  <dcterms:modified xsi:type="dcterms:W3CDTF">2024-12-17T08:29:00Z</dcterms:modified>
</cp:coreProperties>
</file>