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6" w:rsidRPr="004A2B10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4A2B10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04008D" w:rsidRDefault="0004008D" w:rsidP="0004008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11.07.2025 № 224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111E6" w:rsidRDefault="007111E6" w:rsidP="00711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11E6" w:rsidRPr="00C80653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7111E6" w:rsidRDefault="007111E6" w:rsidP="007111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 ІІ 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категорії відділення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взводу охорони підрозділ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 охорони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Дніпропетровській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933A00" w:rsidRPr="00933A00" w:rsidRDefault="00933A00" w:rsidP="007111E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111E6" w:rsidRPr="00075A9C" w:rsidRDefault="007111E6" w:rsidP="007111E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</w:t>
      </w:r>
      <w:r w:rsidR="004A2B10">
        <w:rPr>
          <w:rFonts w:ascii="Times New Roman" w:hAnsi="Times New Roman"/>
          <w:sz w:val="28"/>
          <w:szCs w:val="28"/>
        </w:rPr>
        <w:t>1</w:t>
      </w:r>
      <w:r w:rsidR="006036B8">
        <w:rPr>
          <w:rFonts w:ascii="Times New Roman" w:hAnsi="Times New Roman"/>
          <w:sz w:val="28"/>
          <w:szCs w:val="28"/>
        </w:rPr>
        <w:t>3</w:t>
      </w:r>
      <w:r w:rsidR="007D3C8E">
        <w:rPr>
          <w:rFonts w:ascii="Times New Roman" w:hAnsi="Times New Roman"/>
          <w:sz w:val="28"/>
          <w:szCs w:val="28"/>
        </w:rPr>
        <w:t xml:space="preserve"> </w:t>
      </w:r>
      <w:r w:rsidRPr="00EA43BE">
        <w:rPr>
          <w:rFonts w:ascii="Times New Roman" w:hAnsi="Times New Roman"/>
          <w:sz w:val="28"/>
          <w:szCs w:val="28"/>
        </w:rPr>
        <w:t>посад молодшого складу)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C6" w:rsidRPr="00EB65CD" w:rsidRDefault="005D0AC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:rsidR="007111E6" w:rsidRDefault="007111E6" w:rsidP="0071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1E6" w:rsidRPr="005D0AC6" w:rsidRDefault="007111E6" w:rsidP="005D0AC6">
      <w:pPr>
        <w:pStyle w:val="a9"/>
        <w:numPr>
          <w:ilvl w:val="0"/>
          <w:numId w:val="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0AC6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контролера ІІ категорії відділення взводу охорони підрозділу охорони територіального управління Служби судової охорони у Дніпропетровській області</w:t>
      </w:r>
      <w:r w:rsidRPr="005D0AC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AC6" w:rsidRPr="005D0AC6" w:rsidRDefault="005D0AC6" w:rsidP="005D0AC6">
      <w:pPr>
        <w:pStyle w:val="a9"/>
        <w:spacing w:after="0" w:line="228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1) здійснює завдання </w:t>
      </w:r>
      <w:r>
        <w:rPr>
          <w:color w:val="000000"/>
          <w:sz w:val="28"/>
          <w:szCs w:val="28"/>
          <w:lang w:val="uk-UA"/>
        </w:rPr>
        <w:t>із</w:t>
      </w:r>
      <w:r w:rsidRPr="00AF0BCE">
        <w:rPr>
          <w:color w:val="000000"/>
          <w:sz w:val="28"/>
          <w:szCs w:val="28"/>
          <w:lang w:val="uk-UA"/>
        </w:rPr>
        <w:t xml:space="preserve"> забезпеченню охорони судів, органів та установ системи правосуддя;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2) забезпечує пропуск осіб до будинків (приміщень) судів, органів </w:t>
      </w:r>
      <w:r>
        <w:rPr>
          <w:color w:val="000000"/>
          <w:sz w:val="28"/>
          <w:szCs w:val="28"/>
          <w:lang w:val="uk-UA"/>
        </w:rPr>
        <w:t>й</w:t>
      </w:r>
      <w:r w:rsidRPr="00AF0BCE">
        <w:rPr>
          <w:color w:val="000000"/>
          <w:sz w:val="28"/>
          <w:szCs w:val="28"/>
          <w:lang w:val="uk-UA"/>
        </w:rPr>
        <w:t xml:space="preserve"> установ системи правосуддя та на їх територію транспортних засобів;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4) вживає заходи з охорони, забезпечення недоторка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</w:t>
      </w:r>
      <w:r>
        <w:rPr>
          <w:color w:val="000000"/>
          <w:sz w:val="28"/>
          <w:szCs w:val="28"/>
          <w:lang w:val="uk-UA"/>
        </w:rPr>
        <w:t xml:space="preserve">системи </w:t>
      </w:r>
      <w:r w:rsidRPr="00AF0BCE">
        <w:rPr>
          <w:color w:val="000000"/>
          <w:sz w:val="28"/>
          <w:szCs w:val="28"/>
          <w:lang w:val="uk-UA"/>
        </w:rPr>
        <w:t>правосуддя.</w:t>
      </w:r>
    </w:p>
    <w:p w:rsidR="007111E6" w:rsidRPr="005D0AC6" w:rsidRDefault="007111E6" w:rsidP="007111E6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111E6" w:rsidRPr="00E463A5" w:rsidRDefault="007111E6" w:rsidP="007111E6">
      <w:pPr>
        <w:spacing w:after="0" w:line="228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7111E6" w:rsidRPr="00E463A5" w:rsidTr="00C279E4">
        <w:trPr>
          <w:trHeight w:val="408"/>
        </w:trPr>
        <w:tc>
          <w:tcPr>
            <w:tcW w:w="9768" w:type="dxa"/>
          </w:tcPr>
          <w:p w:rsidR="007111E6" w:rsidRPr="00E463A5" w:rsidRDefault="007111E6" w:rsidP="00C279E4">
            <w:pPr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7111E6" w:rsidRPr="00CD0B02" w:rsidTr="00C279E4">
        <w:trPr>
          <w:trHeight w:val="408"/>
        </w:trPr>
        <w:tc>
          <w:tcPr>
            <w:tcW w:w="9768" w:type="dxa"/>
          </w:tcPr>
          <w:p w:rsidR="007111E6" w:rsidRPr="003603CE" w:rsidRDefault="007111E6" w:rsidP="00C279E4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7111E6" w:rsidRPr="00C80653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5) декларація, визначена Законом України «Про запобігання корупції» (</w:t>
      </w:r>
      <w:r w:rsidR="0013518F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13518F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:rsid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7A540F" w:rsidRPr="007A540F">
        <w:rPr>
          <w:rFonts w:ascii="Times New Roman" w:hAnsi="Times New Roman"/>
          <w:sz w:val="28"/>
          <w:szCs w:val="28"/>
        </w:rPr>
        <w:t>копі</w:t>
      </w:r>
      <w:r w:rsidR="007A540F">
        <w:rPr>
          <w:rFonts w:ascii="Times New Roman" w:hAnsi="Times New Roman"/>
          <w:sz w:val="28"/>
          <w:szCs w:val="28"/>
        </w:rPr>
        <w:t>я</w:t>
      </w:r>
      <w:r w:rsidR="007A540F" w:rsidRPr="007A540F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7111E6" w:rsidRP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40F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7111E6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111E6" w:rsidRPr="005C731C" w:rsidRDefault="007111E6" w:rsidP="007111E6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lastRenderedPageBreak/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111E6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43730966"/>
      <w:r w:rsidRPr="00DC7E0F">
        <w:rPr>
          <w:rFonts w:ascii="Times New Roman" w:hAnsi="Times New Roman"/>
          <w:b/>
          <w:sz w:val="28"/>
          <w:szCs w:val="28"/>
        </w:rPr>
        <w:t xml:space="preserve">Документи приймаються з </w:t>
      </w:r>
      <w:r w:rsidR="004A2B10">
        <w:rPr>
          <w:rFonts w:ascii="Times New Roman" w:hAnsi="Times New Roman"/>
          <w:b/>
          <w:sz w:val="28"/>
          <w:szCs w:val="28"/>
        </w:rPr>
        <w:t>1</w:t>
      </w:r>
      <w:r w:rsidR="00906D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0C8A">
        <w:rPr>
          <w:rFonts w:ascii="Times New Roman" w:hAnsi="Times New Roman"/>
          <w:b/>
          <w:sz w:val="28"/>
          <w:szCs w:val="28"/>
        </w:rPr>
        <w:t xml:space="preserve">по </w:t>
      </w:r>
      <w:r w:rsidR="004A2B10">
        <w:rPr>
          <w:rFonts w:ascii="Times New Roman" w:hAnsi="Times New Roman"/>
          <w:b/>
          <w:sz w:val="28"/>
          <w:szCs w:val="28"/>
        </w:rPr>
        <w:t>21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="00906D75">
        <w:rPr>
          <w:rFonts w:ascii="Times New Roman" w:hAnsi="Times New Roman"/>
          <w:b/>
          <w:sz w:val="28"/>
          <w:szCs w:val="28"/>
        </w:rPr>
        <w:t>липня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7D3C8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(Космонавта Волкова)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7D3C8E">
        <w:rPr>
          <w:rFonts w:ascii="Times New Roman" w:hAnsi="Times New Roman"/>
          <w:b/>
          <w:sz w:val="28"/>
          <w:szCs w:val="28"/>
        </w:rPr>
        <w:t>2</w:t>
      </w:r>
      <w:r w:rsidR="00372698">
        <w:rPr>
          <w:rFonts w:ascii="Times New Roman" w:hAnsi="Times New Roman"/>
          <w:b/>
          <w:sz w:val="28"/>
          <w:szCs w:val="28"/>
        </w:rPr>
        <w:t>, 31</w:t>
      </w:r>
      <w:r w:rsidR="007D3C8E">
        <w:rPr>
          <w:rFonts w:ascii="Times New Roman" w:hAnsi="Times New Roman"/>
          <w:b/>
          <w:sz w:val="28"/>
          <w:szCs w:val="28"/>
        </w:rPr>
        <w:t>4</w:t>
      </w:r>
      <w:r w:rsidR="00AF25E0">
        <w:rPr>
          <w:rFonts w:ascii="Times New Roman" w:hAnsi="Times New Roman"/>
          <w:b/>
          <w:sz w:val="28"/>
          <w:szCs w:val="28"/>
        </w:rPr>
        <w:t xml:space="preserve"> ( в робочі дні 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p w:rsidR="007111E6" w:rsidRPr="00AF2EB9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bookmarkEnd w:id="1"/>
    <w:p w:rsidR="007111E6" w:rsidRDefault="007111E6" w:rsidP="007111E6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</w:t>
      </w:r>
      <w:hyperlink r:id="rId7" w:history="1"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</w:t>
        </w:r>
        <w:r w:rsidRPr="00906D7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</w:t>
        </w:r>
        <w:proofErr w:type="spellEnd"/>
      </w:hyperlink>
      <w:r w:rsidRPr="00DC7E0F">
        <w:rPr>
          <w:rFonts w:ascii="Times New Roman" w:hAnsi="Times New Roman"/>
          <w:b/>
          <w:sz w:val="28"/>
          <w:szCs w:val="28"/>
        </w:rPr>
        <w:t xml:space="preserve"> (цілодобово)</w:t>
      </w:r>
      <w:r w:rsidRPr="00DC7E0F">
        <w:rPr>
          <w:rFonts w:ascii="Times New Roman" w:hAnsi="Times New Roman"/>
          <w:sz w:val="28"/>
        </w:rPr>
        <w:t>.</w:t>
      </w:r>
    </w:p>
    <w:p w:rsidR="007111E6" w:rsidRDefault="007111E6" w:rsidP="007111E6">
      <w:pPr>
        <w:spacing w:after="0" w:line="245" w:lineRule="auto"/>
        <w:ind w:firstLine="851"/>
        <w:jc w:val="both"/>
        <w:rPr>
          <w:rFonts w:ascii="Times New Roman" w:hAnsi="Times New Roman"/>
          <w:sz w:val="28"/>
        </w:rPr>
      </w:pPr>
    </w:p>
    <w:p w:rsidR="007111E6" w:rsidRPr="00EB65CD" w:rsidRDefault="007111E6" w:rsidP="007111E6">
      <w:pPr>
        <w:spacing w:after="0" w:line="245" w:lineRule="auto"/>
        <w:ind w:firstLine="708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контролера 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ІІ категорії відділення взводу охорони підрозділу охорони територіального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вління Служби судової охорони у 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C8065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65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7111E6" w:rsidRPr="00555DD7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Леоніда Каденюка (Космонавта Волкова)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, буд. 6 Б, територіальне управління Служби судової охорони 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Дніпропетровській області, з 10.00 год. </w:t>
            </w:r>
            <w:r w:rsidR="004A2B10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  <w:r w:rsidR="00CE4AD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906D75">
              <w:rPr>
                <w:rFonts w:ascii="Times New Roman" w:eastAsia="Times New Roman" w:hAnsi="Times New Roman"/>
                <w:b/>
                <w:sz w:val="28"/>
                <w:szCs w:val="28"/>
              </w:rPr>
              <w:t>липня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7D3C8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:rsidR="007111E6" w:rsidRPr="00C80653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10"/>
                <w:szCs w:val="10"/>
                <w:lang w:eastAsia="ru-RU"/>
              </w:rPr>
            </w:pPr>
          </w:p>
          <w:p w:rsidR="007111E6" w:rsidRPr="00555DD7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7111E6" w:rsidRPr="00ED08FD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D08FD">
              <w:rPr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>б, як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нада</w:t>
            </w:r>
            <w:r w:rsidR="00372698">
              <w:rPr>
                <w:b/>
                <w:sz w:val="28"/>
                <w:szCs w:val="28"/>
                <w:lang w:eastAsia="ru-RU"/>
              </w:rPr>
              <w:t>ють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додаткову інформацію з питань проведення конкурсу</w:t>
            </w:r>
            <w:r w:rsidRPr="00ED08FD">
              <w:rPr>
                <w:sz w:val="28"/>
                <w:szCs w:val="28"/>
                <w:lang w:eastAsia="ru-RU"/>
              </w:rPr>
              <w:t xml:space="preserve">: </w:t>
            </w:r>
          </w:p>
          <w:p w:rsidR="007111E6" w:rsidRPr="00954EF5" w:rsidRDefault="00BE749F" w:rsidP="00C279E4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  <w:r w:rsidR="0073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111E6" w:rsidRPr="00954EF5" w:rsidRDefault="007111E6" w:rsidP="00372698">
            <w:pPr>
              <w:spacing w:after="0" w:line="257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372698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954EF5" w:rsidRDefault="007111E6" w:rsidP="00C279E4">
            <w:pPr>
              <w:spacing w:after="0" w:line="245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1E6" w:rsidRPr="00EB65CD" w:rsidTr="00C279E4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358"/>
              <w:gridCol w:w="33"/>
              <w:gridCol w:w="237"/>
            </w:tblGrid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EB65CD" w:rsidRDefault="007111E6" w:rsidP="00C279E4">
                  <w:pPr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5D0AC6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</w:tc>
              <w:tc>
                <w:tcPr>
                  <w:tcW w:w="5358" w:type="dxa"/>
                </w:tcPr>
                <w:p w:rsidR="007111E6" w:rsidRPr="00954EF5" w:rsidRDefault="007111E6" w:rsidP="00C279E4">
                  <w:pPr>
                    <w:spacing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7111E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6A322F" w:rsidRDefault="007111E6" w:rsidP="005D0AC6">
                  <w:pPr>
                    <w:shd w:val="clear" w:color="auto" w:fill="FFFFFF"/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7111E6" w:rsidRPr="00EB65CD" w:rsidTr="00C279E4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9531" w:type="dxa"/>
                  <w:gridSpan w:val="6"/>
                  <w:hideMark/>
                </w:tcPr>
                <w:p w:rsidR="007111E6" w:rsidRPr="00AF0BCE" w:rsidRDefault="007111E6" w:rsidP="00C279E4">
                  <w:pPr>
                    <w:spacing w:line="245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23" w:type="dxa"/>
                  <w:gridSpan w:val="4"/>
                </w:tcPr>
                <w:p w:rsidR="007111E6" w:rsidRPr="00AF0BCE" w:rsidRDefault="007111E6" w:rsidP="00C279E4">
                  <w:pPr>
                    <w:spacing w:line="245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 поліцію»,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7111E6" w:rsidRPr="00EB65CD" w:rsidRDefault="007111E6" w:rsidP="00C279E4">
            <w:pPr>
              <w:spacing w:line="245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/>
    <w:sectPr w:rsidR="002B4910" w:rsidSect="005D0AC6">
      <w:headerReference w:type="default" r:id="rId9"/>
      <w:pgSz w:w="11906" w:h="16838"/>
      <w:pgMar w:top="1276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222" w:rsidRDefault="001C4222" w:rsidP="005D0AC6">
      <w:pPr>
        <w:spacing w:after="0" w:line="240" w:lineRule="auto"/>
      </w:pPr>
      <w:r>
        <w:separator/>
      </w:r>
    </w:p>
  </w:endnote>
  <w:endnote w:type="continuationSeparator" w:id="0">
    <w:p w:rsidR="001C4222" w:rsidRDefault="001C4222" w:rsidP="005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222" w:rsidRDefault="001C4222" w:rsidP="005D0AC6">
      <w:pPr>
        <w:spacing w:after="0" w:line="240" w:lineRule="auto"/>
      </w:pPr>
      <w:r>
        <w:separator/>
      </w:r>
    </w:p>
  </w:footnote>
  <w:footnote w:type="continuationSeparator" w:id="0">
    <w:p w:rsidR="001C4222" w:rsidRDefault="001C4222" w:rsidP="005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502570"/>
      <w:docPartObj>
        <w:docPartGallery w:val="Page Numbers (Top of Page)"/>
        <w:docPartUnique/>
      </w:docPartObj>
    </w:sdtPr>
    <w:sdtEndPr/>
    <w:sdtContent>
      <w:p w:rsidR="005D0AC6" w:rsidRDefault="005D0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8F" w:rsidRPr="0013518F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616C"/>
    <w:multiLevelType w:val="hybridMultilevel"/>
    <w:tmpl w:val="A9C2FB34"/>
    <w:lvl w:ilvl="0" w:tplc="42B2F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D"/>
    <w:rsid w:val="0004008D"/>
    <w:rsid w:val="0005087E"/>
    <w:rsid w:val="00060C16"/>
    <w:rsid w:val="00086B74"/>
    <w:rsid w:val="0013518F"/>
    <w:rsid w:val="00161DA8"/>
    <w:rsid w:val="0016426A"/>
    <w:rsid w:val="00173C7A"/>
    <w:rsid w:val="001C4222"/>
    <w:rsid w:val="00210569"/>
    <w:rsid w:val="002B4910"/>
    <w:rsid w:val="002C5809"/>
    <w:rsid w:val="00372698"/>
    <w:rsid w:val="00433751"/>
    <w:rsid w:val="00491CC5"/>
    <w:rsid w:val="004A2B10"/>
    <w:rsid w:val="005A0C8A"/>
    <w:rsid w:val="005D0AC6"/>
    <w:rsid w:val="005D2187"/>
    <w:rsid w:val="005F325F"/>
    <w:rsid w:val="006036B8"/>
    <w:rsid w:val="006A38B9"/>
    <w:rsid w:val="007111E6"/>
    <w:rsid w:val="007350E0"/>
    <w:rsid w:val="007A540F"/>
    <w:rsid w:val="007D3C8E"/>
    <w:rsid w:val="007E2933"/>
    <w:rsid w:val="008047F2"/>
    <w:rsid w:val="00815449"/>
    <w:rsid w:val="0082548D"/>
    <w:rsid w:val="00861584"/>
    <w:rsid w:val="008F6D59"/>
    <w:rsid w:val="00906D75"/>
    <w:rsid w:val="009140EB"/>
    <w:rsid w:val="00933A00"/>
    <w:rsid w:val="009363E8"/>
    <w:rsid w:val="00970F7D"/>
    <w:rsid w:val="0099530A"/>
    <w:rsid w:val="009C370D"/>
    <w:rsid w:val="00A1446E"/>
    <w:rsid w:val="00A324A7"/>
    <w:rsid w:val="00A96B76"/>
    <w:rsid w:val="00AF25E0"/>
    <w:rsid w:val="00BE749F"/>
    <w:rsid w:val="00C310CE"/>
    <w:rsid w:val="00CB7A49"/>
    <w:rsid w:val="00CE4AD1"/>
    <w:rsid w:val="00E55A8B"/>
    <w:rsid w:val="00EC61EC"/>
    <w:rsid w:val="00F16829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4D13-4DC1-497F-8518-F8F8A6A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1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7111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7111E6"/>
  </w:style>
  <w:style w:type="character" w:styleId="a4">
    <w:name w:val="Hyperlink"/>
    <w:uiPriority w:val="99"/>
    <w:unhideWhenUsed/>
    <w:rsid w:val="007111E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0A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0A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0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4821</Words>
  <Characters>2749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39</cp:revision>
  <cp:lastPrinted>2025-04-11T08:26:00Z</cp:lastPrinted>
  <dcterms:created xsi:type="dcterms:W3CDTF">2024-10-30T20:20:00Z</dcterms:created>
  <dcterms:modified xsi:type="dcterms:W3CDTF">2025-07-11T08:53:00Z</dcterms:modified>
</cp:coreProperties>
</file>