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30410" w14:textId="77777777" w:rsidR="00146F8D" w:rsidRDefault="00146F8D" w:rsidP="00146F8D">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29EFCD5B" w14:textId="77777777" w:rsidR="00146F8D" w:rsidRDefault="00146F8D" w:rsidP="00146F8D">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6FA5D321" w14:textId="77777777" w:rsidR="00146F8D" w:rsidRDefault="00146F8D" w:rsidP="00146F8D">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47A1863C" w14:textId="3EA7899D" w:rsidR="00146F8D" w:rsidRDefault="00146F8D" w:rsidP="00146F8D">
      <w:pPr>
        <w:spacing w:after="0" w:line="240" w:lineRule="auto"/>
        <w:ind w:left="5670"/>
        <w:rPr>
          <w:rFonts w:ascii="Times New Roman" w:hAnsi="Times New Roman"/>
          <w:sz w:val="28"/>
          <w:szCs w:val="28"/>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від 0</w:t>
      </w:r>
      <w:r w:rsidR="008B153E">
        <w:rPr>
          <w:rFonts w:ascii="Times New Roman" w:hAnsi="Times New Roman"/>
          <w:bCs/>
          <w:sz w:val="28"/>
          <w:szCs w:val="28"/>
          <w:bdr w:val="none" w:sz="0" w:space="0" w:color="auto" w:frame="1"/>
          <w:lang w:val="uk-UA" w:eastAsia="uk-UA"/>
        </w:rPr>
        <w:t>6</w:t>
      </w:r>
      <w:r>
        <w:rPr>
          <w:rFonts w:ascii="Times New Roman" w:hAnsi="Times New Roman"/>
          <w:bCs/>
          <w:sz w:val="28"/>
          <w:szCs w:val="28"/>
          <w:bdr w:val="none" w:sz="0" w:space="0" w:color="auto" w:frame="1"/>
          <w:lang w:eastAsia="uk-UA"/>
        </w:rPr>
        <w:t>.</w:t>
      </w:r>
      <w:r>
        <w:rPr>
          <w:rFonts w:ascii="Times New Roman" w:hAnsi="Times New Roman"/>
          <w:bCs/>
          <w:sz w:val="28"/>
          <w:szCs w:val="28"/>
          <w:bdr w:val="none" w:sz="0" w:space="0" w:color="auto" w:frame="1"/>
          <w:lang w:val="uk-UA" w:eastAsia="uk-UA"/>
        </w:rPr>
        <w:t xml:space="preserve">02.2026 № </w:t>
      </w:r>
    </w:p>
    <w:p w14:paraId="1AA77F58" w14:textId="77777777" w:rsidR="00146F8D" w:rsidRDefault="00146F8D" w:rsidP="00146F8D">
      <w:pPr>
        <w:spacing w:after="0" w:line="240" w:lineRule="auto"/>
        <w:jc w:val="center"/>
        <w:rPr>
          <w:rFonts w:ascii="Times New Roman" w:hAnsi="Times New Roman"/>
          <w:b/>
          <w:sz w:val="28"/>
          <w:szCs w:val="28"/>
          <w:lang w:val="uk-UA"/>
        </w:rPr>
      </w:pPr>
    </w:p>
    <w:p w14:paraId="26CD1AC0" w14:textId="77777777" w:rsidR="00146F8D" w:rsidRDefault="00146F8D" w:rsidP="00146F8D">
      <w:pPr>
        <w:spacing w:after="0" w:line="240" w:lineRule="auto"/>
        <w:jc w:val="center"/>
        <w:rPr>
          <w:rFonts w:ascii="Times New Roman" w:hAnsi="Times New Roman"/>
          <w:b/>
          <w:sz w:val="28"/>
          <w:szCs w:val="28"/>
          <w:lang w:val="uk-UA"/>
        </w:rPr>
      </w:pPr>
    </w:p>
    <w:p w14:paraId="2588120A" w14:textId="77777777" w:rsidR="00146F8D" w:rsidRDefault="00146F8D" w:rsidP="00146F8D">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7028DEC0" w14:textId="77777777" w:rsidR="00146F8D" w:rsidRDefault="00146F8D" w:rsidP="00146F8D">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проведення конкурсу на зайняття вакантної посади</w:t>
      </w:r>
    </w:p>
    <w:p w14:paraId="6AF652C6" w14:textId="18944F27" w:rsidR="00146F8D" w:rsidRDefault="00146F8D" w:rsidP="00146F8D">
      <w:pPr>
        <w:spacing w:after="0" w:line="240" w:lineRule="auto"/>
        <w:jc w:val="center"/>
        <w:rPr>
          <w:rFonts w:ascii="Times New Roman" w:hAnsi="Times New Roman"/>
          <w:b/>
          <w:sz w:val="28"/>
          <w:szCs w:val="28"/>
          <w:lang w:val="uk-UA"/>
        </w:rPr>
      </w:pPr>
      <w:bookmarkStart w:id="0" w:name="_Hlk202453336"/>
      <w:r>
        <w:rPr>
          <w:rFonts w:ascii="Times New Roman" w:hAnsi="Times New Roman"/>
          <w:b/>
          <w:sz w:val="28"/>
          <w:szCs w:val="28"/>
          <w:lang w:val="uk-UA"/>
        </w:rPr>
        <w:t xml:space="preserve">командира 2 відділення  2 взводу охорони підрозділу охорони територіального управління </w:t>
      </w:r>
      <w:bookmarkEnd w:id="0"/>
      <w:r>
        <w:rPr>
          <w:rFonts w:ascii="Times New Roman" w:hAnsi="Times New Roman"/>
          <w:b/>
          <w:sz w:val="28"/>
          <w:szCs w:val="28"/>
          <w:lang w:val="uk-UA"/>
        </w:rPr>
        <w:t>Служби судової охорони у Миколаївській області</w:t>
      </w:r>
    </w:p>
    <w:p w14:paraId="06D26CD8" w14:textId="5F1CCDB8" w:rsidR="00146F8D" w:rsidRDefault="00146F8D" w:rsidP="00146F8D">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(місце дислокації - </w:t>
      </w:r>
      <w:bookmarkStart w:id="1" w:name="_Hlk92805897"/>
      <w:r>
        <w:rPr>
          <w:rFonts w:ascii="Times New Roman" w:hAnsi="Times New Roman"/>
          <w:b/>
          <w:sz w:val="28"/>
          <w:szCs w:val="28"/>
          <w:lang w:val="uk-UA"/>
        </w:rPr>
        <w:t>м. Миколаїв</w:t>
      </w:r>
      <w:r w:rsidR="00A845CC">
        <w:rPr>
          <w:rFonts w:ascii="Times New Roman" w:hAnsi="Times New Roman"/>
          <w:b/>
          <w:sz w:val="28"/>
          <w:szCs w:val="28"/>
          <w:lang w:val="uk-UA"/>
        </w:rPr>
        <w:t>, Центральний районний суд</w:t>
      </w:r>
      <w:r>
        <w:rPr>
          <w:rFonts w:ascii="Times New Roman" w:hAnsi="Times New Roman"/>
          <w:b/>
          <w:sz w:val="28"/>
          <w:szCs w:val="28"/>
          <w:lang w:val="uk-UA"/>
        </w:rPr>
        <w:t>)</w:t>
      </w:r>
      <w:bookmarkEnd w:id="1"/>
    </w:p>
    <w:p w14:paraId="51A65822" w14:textId="77777777" w:rsidR="00146F8D" w:rsidRDefault="00146F8D" w:rsidP="00146F8D">
      <w:pPr>
        <w:spacing w:after="0" w:line="240" w:lineRule="auto"/>
        <w:rPr>
          <w:rFonts w:ascii="Times New Roman" w:hAnsi="Times New Roman"/>
          <w:b/>
          <w:sz w:val="28"/>
          <w:szCs w:val="28"/>
          <w:lang w:val="uk-UA"/>
        </w:rPr>
      </w:pPr>
    </w:p>
    <w:p w14:paraId="758FFCFF" w14:textId="77777777" w:rsidR="00146F8D" w:rsidRDefault="00146F8D" w:rsidP="00146F8D">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Загальні умови</w:t>
      </w:r>
    </w:p>
    <w:p w14:paraId="2FE9AB03" w14:textId="666E5705" w:rsidR="00146F8D" w:rsidRDefault="00146F8D" w:rsidP="00146F8D">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1. Основні повноваження командира 2 відділення 2 взводу охорони підрозділу охорони територіального управління Служби судової охорони у Миколаївській області:</w:t>
      </w:r>
    </w:p>
    <w:p w14:paraId="32526CFB" w14:textId="77777777" w:rsidR="00146F8D" w:rsidRDefault="00146F8D" w:rsidP="00146F8D">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1) забезпечує виконання покладених на відділення завдань за всіма напрямами службової діяльності; </w:t>
      </w:r>
    </w:p>
    <w:p w14:paraId="1F2B9953" w14:textId="77777777" w:rsidR="00146F8D" w:rsidRDefault="00146F8D" w:rsidP="00146F8D">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2) контролює порядок організації та виконання завдань служби особовим складом відділення за напрямом службової діяльності; </w:t>
      </w:r>
    </w:p>
    <w:p w14:paraId="66A5CB35" w14:textId="77777777" w:rsidR="00146F8D" w:rsidRDefault="00146F8D" w:rsidP="00146F8D">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в’їздом на їх територію транспортних засобів;</w:t>
      </w:r>
    </w:p>
    <w:p w14:paraId="0171AA17" w14:textId="77777777" w:rsidR="00146F8D" w:rsidRDefault="00146F8D" w:rsidP="00146F8D">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4) організовує поточну організаційно-виконавчу роботу відділення та забезпечення контролю за роботою; </w:t>
      </w:r>
    </w:p>
    <w:p w14:paraId="0096F52C" w14:textId="77777777" w:rsidR="00146F8D" w:rsidRDefault="00146F8D" w:rsidP="00146F8D">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5) за дорученням керівництва підрозділу виконує інші повноваження, які належать до компетенції підрозділу. </w:t>
      </w:r>
    </w:p>
    <w:p w14:paraId="3A485108" w14:textId="77777777" w:rsidR="00146F8D" w:rsidRDefault="00146F8D" w:rsidP="00146F8D">
      <w:pPr>
        <w:spacing w:after="0" w:line="240" w:lineRule="auto"/>
        <w:ind w:firstLine="708"/>
        <w:jc w:val="both"/>
        <w:rPr>
          <w:rFonts w:ascii="Times New Roman" w:hAnsi="Times New Roman"/>
          <w:sz w:val="28"/>
          <w:szCs w:val="28"/>
          <w:lang w:val="uk-UA"/>
        </w:rPr>
      </w:pPr>
    </w:p>
    <w:p w14:paraId="03598027" w14:textId="77777777" w:rsidR="00146F8D" w:rsidRDefault="00146F8D" w:rsidP="00146F8D">
      <w:pPr>
        <w:spacing w:after="0" w:line="240" w:lineRule="auto"/>
        <w:ind w:firstLine="708"/>
        <w:jc w:val="both"/>
        <w:rPr>
          <w:rFonts w:ascii="Times New Roman" w:hAnsi="Times New Roman"/>
          <w:b/>
          <w:sz w:val="28"/>
          <w:szCs w:val="28"/>
          <w:lang w:val="uk-UA"/>
        </w:rPr>
      </w:pPr>
      <w:r>
        <w:rPr>
          <w:rFonts w:ascii="Times New Roman" w:hAnsi="Times New Roman"/>
          <w:b/>
          <w:sz w:val="28"/>
          <w:szCs w:val="28"/>
          <w:lang w:val="uk-UA"/>
        </w:rPr>
        <w:t xml:space="preserve">2. Умови оплати праці: </w:t>
      </w:r>
    </w:p>
    <w:p w14:paraId="1B96140A" w14:textId="77777777" w:rsidR="00146F8D" w:rsidRDefault="00146F8D" w:rsidP="00146F8D">
      <w:pPr>
        <w:spacing w:after="0" w:line="240" w:lineRule="auto"/>
        <w:ind w:firstLine="708"/>
        <w:jc w:val="both"/>
        <w:rPr>
          <w:rFonts w:ascii="Times New Roman" w:hAnsi="Times New Roman"/>
          <w:sz w:val="28"/>
          <w:szCs w:val="28"/>
          <w:lang w:val="uk-UA"/>
        </w:rPr>
      </w:pPr>
      <w:r>
        <w:rPr>
          <w:lang w:val="uk-UA"/>
        </w:rPr>
        <w:t>1</w:t>
      </w:r>
      <w:r>
        <w:rPr>
          <w:rFonts w:ascii="Times New Roman" w:hAnsi="Times New Roman"/>
          <w:sz w:val="28"/>
          <w:szCs w:val="28"/>
          <w:lang w:val="uk-UA"/>
        </w:rPr>
        <w:t>)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678B7C20" w14:textId="77777777" w:rsidR="00146F8D" w:rsidRDefault="00146F8D" w:rsidP="00146F8D">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6D25D62D" w14:textId="77777777" w:rsidR="00146F8D" w:rsidRDefault="00146F8D" w:rsidP="00146F8D">
      <w:pPr>
        <w:spacing w:after="0" w:line="240" w:lineRule="auto"/>
        <w:ind w:firstLine="708"/>
        <w:jc w:val="both"/>
        <w:rPr>
          <w:rFonts w:ascii="Times New Roman" w:hAnsi="Times New Roman"/>
          <w:b/>
          <w:sz w:val="28"/>
          <w:szCs w:val="28"/>
          <w:lang w:val="uk-UA" w:eastAsia="uk-UA"/>
        </w:rPr>
      </w:pPr>
    </w:p>
    <w:p w14:paraId="5F967488" w14:textId="77777777" w:rsidR="00146F8D" w:rsidRDefault="00146F8D" w:rsidP="00146F8D">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2A016CBC" w14:textId="77777777" w:rsidR="00146F8D" w:rsidRDefault="00146F8D" w:rsidP="00146F8D">
      <w:pPr>
        <w:spacing w:after="0" w:line="240" w:lineRule="auto"/>
        <w:ind w:firstLine="709"/>
        <w:jc w:val="both"/>
        <w:rPr>
          <w:rFonts w:ascii="Times New Roman" w:hAnsi="Times New Roman"/>
          <w:sz w:val="28"/>
          <w:szCs w:val="28"/>
          <w:lang w:val="uk-UA" w:eastAsia="uk-UA"/>
        </w:rPr>
      </w:pPr>
    </w:p>
    <w:p w14:paraId="13B52E48" w14:textId="77777777" w:rsidR="00146F8D" w:rsidRDefault="00146F8D" w:rsidP="00146F8D">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1) безстроково.</w:t>
      </w:r>
    </w:p>
    <w:p w14:paraId="28BD4CA9" w14:textId="77777777" w:rsidR="00146F8D" w:rsidRDefault="00146F8D" w:rsidP="00146F8D">
      <w:pPr>
        <w:spacing w:after="0" w:line="240" w:lineRule="auto"/>
        <w:ind w:firstLine="709"/>
        <w:jc w:val="both"/>
        <w:rPr>
          <w:rFonts w:ascii="Times New Roman" w:hAnsi="Times New Roman"/>
          <w:b/>
          <w:sz w:val="28"/>
          <w:szCs w:val="28"/>
          <w:lang w:val="uk-UA" w:eastAsia="uk-UA"/>
        </w:rPr>
      </w:pPr>
    </w:p>
    <w:p w14:paraId="0132B455" w14:textId="77777777" w:rsidR="00146F8D" w:rsidRDefault="00146F8D" w:rsidP="00146F8D">
      <w:pPr>
        <w:spacing w:after="0" w:line="240" w:lineRule="auto"/>
        <w:ind w:firstLine="709"/>
        <w:jc w:val="both"/>
        <w:rPr>
          <w:rFonts w:ascii="Times New Roman" w:hAnsi="Times New Roman"/>
          <w:b/>
          <w:sz w:val="28"/>
          <w:szCs w:val="28"/>
          <w:lang w:val="uk-UA" w:eastAsia="uk-UA"/>
        </w:rPr>
      </w:pPr>
    </w:p>
    <w:p w14:paraId="113CD88E" w14:textId="77777777" w:rsidR="00146F8D" w:rsidRDefault="00146F8D" w:rsidP="00146F8D">
      <w:pPr>
        <w:spacing w:after="0" w:line="240" w:lineRule="auto"/>
        <w:ind w:firstLine="709"/>
        <w:jc w:val="both"/>
        <w:rPr>
          <w:rFonts w:ascii="Times New Roman" w:hAnsi="Times New Roman"/>
          <w:b/>
          <w:sz w:val="28"/>
          <w:szCs w:val="28"/>
          <w:lang w:val="uk-UA" w:eastAsia="uk-UA"/>
        </w:rPr>
      </w:pPr>
    </w:p>
    <w:p w14:paraId="664C717D" w14:textId="77777777" w:rsidR="00146F8D" w:rsidRDefault="00146F8D" w:rsidP="00146F8D">
      <w:pPr>
        <w:spacing w:after="0" w:line="240" w:lineRule="auto"/>
        <w:ind w:firstLine="709"/>
        <w:jc w:val="both"/>
        <w:rPr>
          <w:rFonts w:ascii="Times New Roman" w:hAnsi="Times New Roman"/>
          <w:sz w:val="28"/>
          <w:szCs w:val="28"/>
        </w:rPr>
      </w:pPr>
      <w:r>
        <w:rPr>
          <w:rFonts w:ascii="Times New Roman" w:hAnsi="Times New Roman"/>
          <w:b/>
          <w:sz w:val="28"/>
          <w:szCs w:val="28"/>
          <w:lang w:val="uk-UA"/>
        </w:rPr>
        <w:t>4. Перелік документів, необхідних для участі в конкурсі, та строк їх подання:</w:t>
      </w:r>
    </w:p>
    <w:p w14:paraId="1DAAACB4" w14:textId="77777777" w:rsidR="00146F8D" w:rsidRDefault="00146F8D" w:rsidP="00146F8D">
      <w:pPr>
        <w:spacing w:after="0" w:line="240" w:lineRule="auto"/>
        <w:ind w:firstLine="709"/>
        <w:jc w:val="both"/>
        <w:rPr>
          <w:rFonts w:ascii="Times New Roman" w:hAnsi="Times New Roman"/>
          <w:sz w:val="28"/>
          <w:szCs w:val="28"/>
          <w:lang w:val="uk-UA" w:eastAsia="ru-RU"/>
        </w:rPr>
      </w:pPr>
      <w:bookmarkStart w:id="2" w:name="_Hlk92806140"/>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37B040EB" w14:textId="77777777" w:rsidR="00146F8D" w:rsidRDefault="00146F8D" w:rsidP="00146F8D">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7FB754CE" w14:textId="77777777" w:rsidR="00146F8D" w:rsidRDefault="00146F8D" w:rsidP="00146F8D">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373D5015" w14:textId="77777777" w:rsidR="00146F8D" w:rsidRDefault="00146F8D" w:rsidP="00146F8D">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4636092D" w14:textId="77777777" w:rsidR="00146F8D" w:rsidRDefault="00146F8D" w:rsidP="00146F8D">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220ACB22" w14:textId="77777777" w:rsidR="00146F8D" w:rsidRDefault="00146F8D" w:rsidP="00146F8D">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131F8B48" w14:textId="77777777" w:rsidR="00146F8D" w:rsidRDefault="00146F8D" w:rsidP="00146F8D">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3C2EF7E9" w14:textId="77777777" w:rsidR="00146F8D" w:rsidRDefault="00146F8D" w:rsidP="00146F8D">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70E98CAB" w14:textId="77777777" w:rsidR="00146F8D" w:rsidRDefault="00146F8D" w:rsidP="00146F8D">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2"/>
      <w:r>
        <w:rPr>
          <w:rFonts w:ascii="Times New Roman" w:hAnsi="Times New Roman"/>
          <w:sz w:val="28"/>
          <w:szCs w:val="28"/>
          <w:lang w:val="uk-UA" w:eastAsia="ru-RU"/>
        </w:rPr>
        <w:t xml:space="preserve">9) </w:t>
      </w:r>
      <w:bookmarkStart w:id="3" w:name="_Hlk165294841"/>
      <w:r>
        <w:rPr>
          <w:rFonts w:ascii="Times New Roman" w:hAnsi="Times New Roman"/>
          <w:sz w:val="28"/>
          <w:szCs w:val="28"/>
          <w:lang w:val="uk-UA" w:eastAsia="ru-RU"/>
        </w:rPr>
        <w:t>медична довідка про стан здоров’я (форма 086/о);</w:t>
      </w:r>
      <w:bookmarkEnd w:id="3"/>
    </w:p>
    <w:p w14:paraId="4AC672F5" w14:textId="77777777" w:rsidR="00146F8D" w:rsidRDefault="00146F8D" w:rsidP="00146F8D">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3A34FE24" w14:textId="77777777" w:rsidR="00146F8D" w:rsidRDefault="00146F8D" w:rsidP="00146F8D">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14:paraId="1E067C74" w14:textId="77777777" w:rsidR="00146F8D" w:rsidRDefault="00146F8D" w:rsidP="00146F8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79E12BA7" w14:textId="77777777" w:rsidR="00146F8D" w:rsidRDefault="00146F8D" w:rsidP="00146F8D">
      <w:pPr>
        <w:spacing w:after="0" w:line="240" w:lineRule="auto"/>
        <w:ind w:firstLine="709"/>
        <w:jc w:val="both"/>
        <w:rPr>
          <w:rFonts w:ascii="Times New Roman" w:hAnsi="Times New Roman"/>
          <w:sz w:val="28"/>
          <w:szCs w:val="28"/>
          <w:lang w:val="uk-UA"/>
        </w:rPr>
      </w:pPr>
    </w:p>
    <w:p w14:paraId="4E54AABD" w14:textId="16CAB405" w:rsidR="00146F8D" w:rsidRDefault="00146F8D" w:rsidP="00146F8D">
      <w:pPr>
        <w:spacing w:after="0" w:line="240" w:lineRule="auto"/>
        <w:ind w:firstLine="709"/>
        <w:jc w:val="both"/>
        <w:rPr>
          <w:rFonts w:ascii="Times New Roman" w:hAnsi="Times New Roman"/>
          <w:sz w:val="28"/>
          <w:szCs w:val="28"/>
          <w:lang w:val="uk-UA"/>
        </w:rPr>
      </w:pPr>
      <w:bookmarkStart w:id="4" w:name="_Hlk92806539"/>
      <w:r>
        <w:rPr>
          <w:rFonts w:ascii="Times New Roman" w:hAnsi="Times New Roman"/>
          <w:sz w:val="28"/>
          <w:szCs w:val="28"/>
          <w:lang w:val="uk-UA"/>
        </w:rPr>
        <w:t xml:space="preserve">Документи приймаються з 08 год. 00 хв. </w:t>
      </w:r>
      <w:r>
        <w:rPr>
          <w:rFonts w:ascii="Times New Roman" w:hAnsi="Times New Roman"/>
          <w:b/>
          <w:sz w:val="28"/>
          <w:szCs w:val="28"/>
          <w:lang w:val="uk-UA"/>
        </w:rPr>
        <w:t xml:space="preserve"> </w:t>
      </w:r>
      <w:r w:rsidR="00120799">
        <w:rPr>
          <w:rFonts w:ascii="Times New Roman" w:hAnsi="Times New Roman"/>
          <w:b/>
          <w:sz w:val="28"/>
          <w:szCs w:val="28"/>
          <w:lang w:val="uk-UA"/>
        </w:rPr>
        <w:t>0</w:t>
      </w:r>
      <w:r w:rsidR="00330814">
        <w:rPr>
          <w:rFonts w:ascii="Times New Roman" w:hAnsi="Times New Roman"/>
          <w:b/>
          <w:sz w:val="28"/>
          <w:szCs w:val="28"/>
          <w:lang w:val="uk-UA"/>
        </w:rPr>
        <w:t>6</w:t>
      </w:r>
      <w:bookmarkStart w:id="5" w:name="_GoBack"/>
      <w:bookmarkEnd w:id="5"/>
      <w:r>
        <w:rPr>
          <w:rFonts w:ascii="Times New Roman" w:hAnsi="Times New Roman"/>
          <w:b/>
          <w:sz w:val="28"/>
          <w:szCs w:val="28"/>
          <w:lang w:val="uk-UA"/>
        </w:rPr>
        <w:t xml:space="preserve"> л</w:t>
      </w:r>
      <w:r w:rsidR="00120799">
        <w:rPr>
          <w:rFonts w:ascii="Times New Roman" w:hAnsi="Times New Roman"/>
          <w:b/>
          <w:sz w:val="28"/>
          <w:szCs w:val="28"/>
          <w:lang w:val="uk-UA"/>
        </w:rPr>
        <w:t>ютого</w:t>
      </w:r>
      <w:r>
        <w:rPr>
          <w:rFonts w:ascii="Times New Roman" w:hAnsi="Times New Roman"/>
          <w:b/>
          <w:sz w:val="28"/>
          <w:szCs w:val="28"/>
          <w:lang w:val="uk-UA"/>
        </w:rPr>
        <w:t xml:space="preserve"> 202</w:t>
      </w:r>
      <w:r w:rsidR="00120799">
        <w:rPr>
          <w:rFonts w:ascii="Times New Roman" w:hAnsi="Times New Roman"/>
          <w:b/>
          <w:sz w:val="28"/>
          <w:szCs w:val="28"/>
          <w:lang w:val="uk-UA"/>
        </w:rPr>
        <w:t>6</w:t>
      </w:r>
      <w:r>
        <w:rPr>
          <w:rFonts w:ascii="Times New Roman" w:hAnsi="Times New Roman"/>
          <w:b/>
          <w:sz w:val="28"/>
          <w:szCs w:val="28"/>
          <w:lang w:val="uk-UA"/>
        </w:rPr>
        <w:t xml:space="preserve"> року</w:t>
      </w:r>
      <w:r>
        <w:rPr>
          <w:rFonts w:ascii="Times New Roman" w:hAnsi="Times New Roman"/>
          <w:sz w:val="28"/>
          <w:szCs w:val="28"/>
          <w:lang w:val="uk-UA"/>
        </w:rPr>
        <w:t xml:space="preserve"> до 17 год. 00 хв.  </w:t>
      </w:r>
      <w:r w:rsidR="00120799">
        <w:rPr>
          <w:rFonts w:ascii="Times New Roman" w:hAnsi="Times New Roman"/>
          <w:b/>
          <w:sz w:val="28"/>
          <w:szCs w:val="28"/>
          <w:lang w:val="uk-UA"/>
        </w:rPr>
        <w:t>16</w:t>
      </w:r>
      <w:r>
        <w:rPr>
          <w:rFonts w:ascii="Times New Roman" w:hAnsi="Times New Roman"/>
          <w:b/>
          <w:sz w:val="28"/>
          <w:szCs w:val="28"/>
          <w:lang w:val="uk-UA"/>
        </w:rPr>
        <w:t xml:space="preserve"> л</w:t>
      </w:r>
      <w:r w:rsidR="00120799">
        <w:rPr>
          <w:rFonts w:ascii="Times New Roman" w:hAnsi="Times New Roman"/>
          <w:b/>
          <w:sz w:val="28"/>
          <w:szCs w:val="28"/>
          <w:lang w:val="uk-UA"/>
        </w:rPr>
        <w:t>ютого</w:t>
      </w:r>
      <w:r>
        <w:rPr>
          <w:rFonts w:ascii="Times New Roman" w:hAnsi="Times New Roman"/>
          <w:b/>
          <w:sz w:val="28"/>
          <w:szCs w:val="28"/>
          <w:lang w:val="uk-UA"/>
        </w:rPr>
        <w:t xml:space="preserve"> 202</w:t>
      </w:r>
      <w:r w:rsidR="00120799">
        <w:rPr>
          <w:rFonts w:ascii="Times New Roman" w:hAnsi="Times New Roman"/>
          <w:b/>
          <w:sz w:val="28"/>
          <w:szCs w:val="28"/>
          <w:lang w:val="uk-UA"/>
        </w:rPr>
        <w:t>6</w:t>
      </w:r>
      <w:r>
        <w:rPr>
          <w:rFonts w:ascii="Times New Roman" w:hAnsi="Times New Roman"/>
          <w:b/>
          <w:sz w:val="28"/>
          <w:szCs w:val="28"/>
          <w:lang w:val="uk-UA"/>
        </w:rPr>
        <w:t xml:space="preserve"> року</w:t>
      </w:r>
      <w:r>
        <w:rPr>
          <w:rFonts w:ascii="Times New Roman" w:hAnsi="Times New Roman"/>
          <w:sz w:val="28"/>
          <w:szCs w:val="28"/>
          <w:lang w:val="uk-UA"/>
        </w:rPr>
        <w:t xml:space="preserve"> за </w:t>
      </w:r>
      <w:proofErr w:type="spellStart"/>
      <w:r>
        <w:rPr>
          <w:rFonts w:ascii="Times New Roman" w:hAnsi="Times New Roman"/>
          <w:sz w:val="28"/>
          <w:szCs w:val="28"/>
          <w:lang w:val="uk-UA"/>
        </w:rPr>
        <w:t>адресою</w:t>
      </w:r>
      <w:proofErr w:type="spellEnd"/>
      <w:r>
        <w:rPr>
          <w:rFonts w:ascii="Times New Roman" w:hAnsi="Times New Roman"/>
          <w:sz w:val="28"/>
          <w:szCs w:val="28"/>
          <w:lang w:val="uk-UA"/>
        </w:rP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14.</w:t>
      </w:r>
      <w:bookmarkEnd w:id="4"/>
    </w:p>
    <w:p w14:paraId="21270548" w14:textId="77777777" w:rsidR="00146F8D" w:rsidRDefault="00146F8D" w:rsidP="00146F8D">
      <w:pPr>
        <w:spacing w:after="0" w:line="240" w:lineRule="auto"/>
        <w:jc w:val="both"/>
        <w:rPr>
          <w:rFonts w:ascii="Times New Roman" w:hAnsi="Times New Roman"/>
          <w:sz w:val="28"/>
          <w:szCs w:val="28"/>
          <w:lang w:val="uk-UA"/>
        </w:rPr>
      </w:pPr>
    </w:p>
    <w:p w14:paraId="71024EDB" w14:textId="4AFBF4B6" w:rsidR="00146F8D" w:rsidRDefault="00146F8D" w:rsidP="00146F8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 посаду </w:t>
      </w:r>
      <w:r w:rsidR="00120799">
        <w:rPr>
          <w:rFonts w:ascii="Times New Roman" w:hAnsi="Times New Roman"/>
          <w:sz w:val="28"/>
          <w:szCs w:val="28"/>
          <w:lang w:val="uk-UA"/>
        </w:rPr>
        <w:t>командира відділення охорони підрозділу охорони</w:t>
      </w:r>
      <w:r>
        <w:rPr>
          <w:rFonts w:ascii="Times New Roman" w:hAnsi="Times New Roman"/>
          <w:b/>
          <w:sz w:val="28"/>
          <w:szCs w:val="28"/>
          <w:lang w:val="uk-UA"/>
        </w:rPr>
        <w:t xml:space="preserve"> </w:t>
      </w:r>
      <w:r>
        <w:rPr>
          <w:rFonts w:ascii="Times New Roman" w:hAnsi="Times New Roman"/>
          <w:sz w:val="28"/>
          <w:szCs w:val="28"/>
          <w:lang w:val="uk-UA"/>
        </w:rPr>
        <w:t>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0980E24" w14:textId="77777777" w:rsidR="00146F8D" w:rsidRDefault="00146F8D" w:rsidP="00146F8D">
      <w:pPr>
        <w:spacing w:after="0" w:line="240" w:lineRule="auto"/>
        <w:ind w:firstLine="709"/>
        <w:rPr>
          <w:rFonts w:ascii="Times New Roman" w:hAnsi="Times New Roman"/>
          <w:b/>
          <w:bCs/>
          <w:sz w:val="28"/>
          <w:szCs w:val="28"/>
          <w:lang w:val="uk-UA"/>
        </w:rPr>
      </w:pPr>
      <w:bookmarkStart w:id="6" w:name="n628"/>
      <w:bookmarkStart w:id="7" w:name="n631"/>
      <w:bookmarkEnd w:id="6"/>
      <w:bookmarkEnd w:id="7"/>
    </w:p>
    <w:p w14:paraId="646321D0" w14:textId="13BB709F" w:rsidR="00146F8D" w:rsidRDefault="00146F8D" w:rsidP="00146F8D">
      <w:pPr>
        <w:spacing w:after="0" w:line="240" w:lineRule="auto"/>
        <w:ind w:firstLine="709"/>
        <w:jc w:val="both"/>
        <w:rPr>
          <w:rFonts w:ascii="Times New Roman" w:hAnsi="Times New Roman"/>
          <w:b/>
          <w:sz w:val="28"/>
          <w:szCs w:val="28"/>
        </w:rPr>
      </w:pPr>
      <w:r>
        <w:rPr>
          <w:rFonts w:ascii="Times New Roman" w:hAnsi="Times New Roman"/>
          <w:b/>
          <w:bCs/>
          <w:sz w:val="28"/>
          <w:szCs w:val="28"/>
          <w:lang w:val="uk-UA"/>
        </w:rPr>
        <w:t>5. Місце, дата та час початку проведення конкурсу:</w:t>
      </w:r>
      <w:r>
        <w:rPr>
          <w:rFonts w:ascii="Times New Roman" w:hAnsi="Times New Roman"/>
          <w:sz w:val="28"/>
          <w:szCs w:val="28"/>
          <w:lang w:val="uk-UA"/>
        </w:rPr>
        <w:b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xml:space="preserve">, 14 Територіальне управління Служби судової охорони у Миколаївській області  </w:t>
      </w:r>
      <w:r>
        <w:rPr>
          <w:rFonts w:ascii="Times New Roman" w:hAnsi="Times New Roman"/>
          <w:b/>
          <w:sz w:val="28"/>
          <w:szCs w:val="28"/>
          <w:lang w:val="uk-UA"/>
        </w:rPr>
        <w:t>2</w:t>
      </w:r>
      <w:r w:rsidR="00120799">
        <w:rPr>
          <w:rFonts w:ascii="Times New Roman" w:hAnsi="Times New Roman"/>
          <w:b/>
          <w:sz w:val="28"/>
          <w:szCs w:val="28"/>
          <w:lang w:val="uk-UA"/>
        </w:rPr>
        <w:t>0</w:t>
      </w:r>
      <w:r>
        <w:rPr>
          <w:rFonts w:ascii="Times New Roman" w:hAnsi="Times New Roman"/>
          <w:b/>
          <w:sz w:val="28"/>
          <w:szCs w:val="28"/>
          <w:lang w:val="uk-UA"/>
        </w:rPr>
        <w:t xml:space="preserve"> л</w:t>
      </w:r>
      <w:r w:rsidR="00120799">
        <w:rPr>
          <w:rFonts w:ascii="Times New Roman" w:hAnsi="Times New Roman"/>
          <w:b/>
          <w:sz w:val="28"/>
          <w:szCs w:val="28"/>
          <w:lang w:val="uk-UA"/>
        </w:rPr>
        <w:t>ютого</w:t>
      </w:r>
      <w:r>
        <w:rPr>
          <w:rFonts w:ascii="Times New Roman" w:hAnsi="Times New Roman"/>
          <w:b/>
          <w:sz w:val="28"/>
          <w:szCs w:val="28"/>
        </w:rPr>
        <w:t xml:space="preserve"> 202</w:t>
      </w:r>
      <w:r w:rsidR="00120799">
        <w:rPr>
          <w:rFonts w:ascii="Times New Roman" w:hAnsi="Times New Roman"/>
          <w:b/>
          <w:sz w:val="28"/>
          <w:szCs w:val="28"/>
          <w:lang w:val="uk-UA"/>
        </w:rPr>
        <w:t>6</w:t>
      </w:r>
      <w:r>
        <w:rPr>
          <w:rFonts w:ascii="Times New Roman" w:hAnsi="Times New Roman"/>
          <w:b/>
          <w:sz w:val="28"/>
          <w:szCs w:val="28"/>
        </w:rPr>
        <w:t xml:space="preserve"> року о 08 год. 00 </w:t>
      </w:r>
      <w:proofErr w:type="spellStart"/>
      <w:r>
        <w:rPr>
          <w:rFonts w:ascii="Times New Roman" w:hAnsi="Times New Roman"/>
          <w:b/>
          <w:sz w:val="28"/>
          <w:szCs w:val="28"/>
        </w:rPr>
        <w:t>хв</w:t>
      </w:r>
      <w:proofErr w:type="spellEnd"/>
      <w:r>
        <w:rPr>
          <w:rFonts w:ascii="Times New Roman" w:hAnsi="Times New Roman"/>
          <w:b/>
          <w:sz w:val="28"/>
          <w:szCs w:val="28"/>
        </w:rPr>
        <w:t>.</w:t>
      </w:r>
    </w:p>
    <w:p w14:paraId="4A15253E" w14:textId="6B3B7A43" w:rsidR="00146F8D" w:rsidRDefault="00146F8D" w:rsidP="00146F8D">
      <w:pPr>
        <w:spacing w:after="0" w:line="240" w:lineRule="auto"/>
        <w:ind w:firstLine="709"/>
        <w:jc w:val="both"/>
        <w:rPr>
          <w:rFonts w:ascii="Times New Roman" w:hAnsi="Times New Roman"/>
          <w:b/>
          <w:sz w:val="28"/>
          <w:szCs w:val="28"/>
        </w:rPr>
      </w:pPr>
    </w:p>
    <w:p w14:paraId="63CE4C0E" w14:textId="7C48AEB1" w:rsidR="00120799" w:rsidRDefault="00120799" w:rsidP="00146F8D">
      <w:pPr>
        <w:spacing w:after="0" w:line="240" w:lineRule="auto"/>
        <w:ind w:firstLine="709"/>
        <w:jc w:val="both"/>
        <w:rPr>
          <w:rFonts w:ascii="Times New Roman" w:hAnsi="Times New Roman"/>
          <w:b/>
          <w:sz w:val="28"/>
          <w:szCs w:val="28"/>
        </w:rPr>
      </w:pPr>
    </w:p>
    <w:p w14:paraId="0B62B4F0" w14:textId="77777777" w:rsidR="00120799" w:rsidRDefault="00120799" w:rsidP="00146F8D">
      <w:pPr>
        <w:spacing w:after="0" w:line="240" w:lineRule="auto"/>
        <w:ind w:firstLine="709"/>
        <w:jc w:val="both"/>
        <w:rPr>
          <w:rFonts w:ascii="Times New Roman" w:hAnsi="Times New Roman"/>
          <w:b/>
          <w:sz w:val="28"/>
          <w:szCs w:val="28"/>
        </w:rPr>
      </w:pPr>
    </w:p>
    <w:p w14:paraId="2842AA6B" w14:textId="719138C3" w:rsidR="00146F8D" w:rsidRDefault="00146F8D" w:rsidP="00146F8D">
      <w:pPr>
        <w:spacing w:after="0" w:line="240" w:lineRule="auto"/>
        <w:ind w:firstLine="709"/>
        <w:jc w:val="both"/>
        <w:rPr>
          <w:rFonts w:ascii="Times New Roman" w:hAnsi="Times New Roman"/>
          <w:sz w:val="28"/>
          <w:szCs w:val="28"/>
          <w:lang w:val="uk-UA"/>
        </w:rPr>
      </w:pPr>
      <w:r>
        <w:rPr>
          <w:rFonts w:ascii="Times New Roman" w:hAnsi="Times New Roman"/>
          <w:b/>
          <w:bCs/>
          <w:sz w:val="28"/>
          <w:szCs w:val="28"/>
          <w:lang w:val="uk-UA"/>
        </w:rPr>
        <w:lastRenderedPageBreak/>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8" w:name="_Hlk177981569"/>
      <w:bookmarkStart w:id="9" w:name="_Hlk92806382"/>
      <w:r w:rsidR="00120799" w:rsidRPr="00120799">
        <w:rPr>
          <w:rFonts w:ascii="Times New Roman" w:hAnsi="Times New Roman"/>
          <w:b/>
          <w:sz w:val="28"/>
          <w:szCs w:val="28"/>
        </w:rPr>
        <w:t xml:space="preserve"> </w:t>
      </w:r>
      <w:r w:rsidR="00120799" w:rsidRPr="00142142">
        <w:rPr>
          <w:rFonts w:ascii="Times New Roman" w:hAnsi="Times New Roman"/>
          <w:b/>
          <w:sz w:val="28"/>
          <w:szCs w:val="28"/>
        </w:rPr>
        <w:t>М</w:t>
      </w:r>
      <w:r w:rsidR="00120799" w:rsidRPr="00142142">
        <w:rPr>
          <w:rFonts w:ascii="Times New Roman" w:hAnsi="Times New Roman"/>
          <w:b/>
          <w:sz w:val="28"/>
          <w:szCs w:val="28"/>
          <w:lang w:val="en-US"/>
        </w:rPr>
        <w:t>’</w:t>
      </w:r>
      <w:proofErr w:type="spellStart"/>
      <w:r w:rsidR="00120799" w:rsidRPr="00142142">
        <w:rPr>
          <w:rFonts w:ascii="Times New Roman" w:hAnsi="Times New Roman"/>
          <w:b/>
          <w:sz w:val="28"/>
          <w:szCs w:val="28"/>
        </w:rPr>
        <w:t>ясоєдова</w:t>
      </w:r>
      <w:proofErr w:type="spellEnd"/>
      <w:r w:rsidR="00120799" w:rsidRPr="00142142">
        <w:rPr>
          <w:rFonts w:ascii="Times New Roman" w:hAnsi="Times New Roman"/>
          <w:b/>
          <w:sz w:val="28"/>
          <w:szCs w:val="28"/>
        </w:rPr>
        <w:t xml:space="preserve"> </w:t>
      </w:r>
      <w:proofErr w:type="spellStart"/>
      <w:r w:rsidR="00120799" w:rsidRPr="00142142">
        <w:rPr>
          <w:rFonts w:ascii="Times New Roman" w:hAnsi="Times New Roman"/>
          <w:b/>
          <w:sz w:val="28"/>
          <w:szCs w:val="28"/>
        </w:rPr>
        <w:t>Тетяна</w:t>
      </w:r>
      <w:proofErr w:type="spellEnd"/>
      <w:r w:rsidR="00120799" w:rsidRPr="00142142">
        <w:rPr>
          <w:rFonts w:ascii="Times New Roman" w:hAnsi="Times New Roman"/>
          <w:b/>
          <w:sz w:val="28"/>
          <w:szCs w:val="28"/>
        </w:rPr>
        <w:t xml:space="preserve"> </w:t>
      </w:r>
      <w:proofErr w:type="spellStart"/>
      <w:r w:rsidR="00120799" w:rsidRPr="00142142">
        <w:rPr>
          <w:rFonts w:ascii="Times New Roman" w:hAnsi="Times New Roman"/>
          <w:b/>
          <w:sz w:val="28"/>
          <w:szCs w:val="28"/>
        </w:rPr>
        <w:t>Миколаївна</w:t>
      </w:r>
      <w:proofErr w:type="spellEnd"/>
      <w:r w:rsidR="00120799" w:rsidRPr="00142142">
        <w:rPr>
          <w:rFonts w:ascii="Times New Roman" w:hAnsi="Times New Roman"/>
          <w:b/>
          <w:sz w:val="28"/>
          <w:szCs w:val="28"/>
        </w:rPr>
        <w:t xml:space="preserve"> 06</w:t>
      </w:r>
      <w:r w:rsidR="00120799" w:rsidRPr="00142142">
        <w:rPr>
          <w:rFonts w:ascii="Times New Roman" w:hAnsi="Times New Roman"/>
          <w:b/>
          <w:sz w:val="28"/>
          <w:szCs w:val="28"/>
          <w:lang w:val="en-US"/>
        </w:rPr>
        <w:t>7</w:t>
      </w:r>
      <w:r w:rsidR="00120799" w:rsidRPr="00142142">
        <w:rPr>
          <w:rFonts w:ascii="Times New Roman" w:hAnsi="Times New Roman"/>
          <w:b/>
          <w:sz w:val="28"/>
          <w:szCs w:val="28"/>
        </w:rPr>
        <w:t>-</w:t>
      </w:r>
      <w:r w:rsidR="00120799" w:rsidRPr="00142142">
        <w:rPr>
          <w:rFonts w:ascii="Times New Roman" w:hAnsi="Times New Roman"/>
          <w:b/>
          <w:sz w:val="28"/>
          <w:szCs w:val="28"/>
          <w:lang w:val="en-US"/>
        </w:rPr>
        <w:t>512</w:t>
      </w:r>
      <w:r w:rsidR="00120799" w:rsidRPr="00142142">
        <w:rPr>
          <w:rFonts w:ascii="Times New Roman" w:hAnsi="Times New Roman"/>
          <w:b/>
          <w:sz w:val="28"/>
          <w:szCs w:val="28"/>
        </w:rPr>
        <w:t>-</w:t>
      </w:r>
      <w:r w:rsidR="00120799" w:rsidRPr="00142142">
        <w:rPr>
          <w:rFonts w:ascii="Times New Roman" w:hAnsi="Times New Roman"/>
          <w:b/>
          <w:sz w:val="28"/>
          <w:szCs w:val="28"/>
          <w:lang w:val="en-US"/>
        </w:rPr>
        <w:t>40</w:t>
      </w:r>
      <w:r w:rsidR="00120799" w:rsidRPr="00142142">
        <w:rPr>
          <w:rFonts w:ascii="Times New Roman" w:hAnsi="Times New Roman"/>
          <w:b/>
          <w:sz w:val="28"/>
          <w:szCs w:val="28"/>
        </w:rPr>
        <w:t>-</w:t>
      </w:r>
      <w:r w:rsidR="00120799" w:rsidRPr="00142142">
        <w:rPr>
          <w:rFonts w:ascii="Times New Roman" w:hAnsi="Times New Roman"/>
          <w:b/>
          <w:sz w:val="28"/>
          <w:szCs w:val="28"/>
          <w:lang w:val="en-US"/>
        </w:rPr>
        <w:t>27</w:t>
      </w:r>
      <w:r>
        <w:rPr>
          <w:rFonts w:ascii="Times New Roman" w:hAnsi="Times New Roman"/>
          <w:sz w:val="28"/>
          <w:szCs w:val="28"/>
          <w:lang w:val="uk-UA"/>
        </w:rPr>
        <w:t xml:space="preserve">, </w:t>
      </w:r>
      <w:bookmarkEnd w:id="8"/>
      <w:proofErr w:type="spellStart"/>
      <w:r>
        <w:rPr>
          <w:rFonts w:ascii="Times New Roman" w:hAnsi="Times New Roman"/>
          <w:b/>
          <w:sz w:val="28"/>
          <w:szCs w:val="28"/>
          <w:u w:val="single"/>
          <w:lang w:val="en-US"/>
        </w:rPr>
        <w:t>vrp</w:t>
      </w:r>
      <w:proofErr w:type="spellEnd"/>
      <w:r>
        <w:rPr>
          <w:rFonts w:ascii="Times New Roman" w:hAnsi="Times New Roman"/>
          <w:b/>
          <w:sz w:val="28"/>
          <w:szCs w:val="28"/>
          <w:u w:val="single"/>
          <w:lang w:val="uk-UA"/>
        </w:rPr>
        <w:t>.</w:t>
      </w:r>
      <w:proofErr w:type="spellStart"/>
      <w:r>
        <w:rPr>
          <w:rFonts w:ascii="Times New Roman" w:hAnsi="Times New Roman"/>
          <w:b/>
          <w:sz w:val="28"/>
          <w:szCs w:val="28"/>
          <w:u w:val="single"/>
          <w:lang w:val="en-US"/>
        </w:rPr>
        <w:t>mk</w:t>
      </w:r>
      <w:proofErr w:type="spellEnd"/>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9"/>
      <w:proofErr w:type="spellEnd"/>
    </w:p>
    <w:p w14:paraId="20909E1E" w14:textId="77777777" w:rsidR="00146F8D" w:rsidRDefault="00146F8D" w:rsidP="00146F8D">
      <w:pPr>
        <w:spacing w:after="0" w:line="276" w:lineRule="auto"/>
        <w:ind w:firstLine="708"/>
        <w:jc w:val="both"/>
        <w:rPr>
          <w:rFonts w:ascii="Times New Roman" w:hAnsi="Times New Roman"/>
          <w:sz w:val="24"/>
          <w:szCs w:val="24"/>
          <w:lang w:val="uk-UA" w:eastAsia="ru-RU"/>
        </w:rPr>
      </w:pPr>
      <w:bookmarkStart w:id="10" w:name="_Hlk149726645"/>
      <w:bookmarkStart w:id="11" w:name="_Hlk149298790"/>
    </w:p>
    <w:tbl>
      <w:tblPr>
        <w:tblW w:w="964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7092"/>
      </w:tblGrid>
      <w:tr w:rsidR="00146F8D" w14:paraId="3A95D765" w14:textId="77777777" w:rsidTr="00146F8D">
        <w:trPr>
          <w:trHeight w:val="102"/>
        </w:trPr>
        <w:tc>
          <w:tcPr>
            <w:tcW w:w="9638" w:type="dxa"/>
            <w:gridSpan w:val="2"/>
            <w:tcBorders>
              <w:top w:val="nil"/>
              <w:left w:val="nil"/>
              <w:bottom w:val="nil"/>
              <w:right w:val="nil"/>
            </w:tcBorders>
            <w:hideMark/>
          </w:tcPr>
          <w:p w14:paraId="670EB72B" w14:textId="77777777" w:rsidR="00146F8D" w:rsidRDefault="00146F8D">
            <w:pPr>
              <w:spacing w:after="0" w:line="240" w:lineRule="auto"/>
              <w:jc w:val="center"/>
              <w:rPr>
                <w:rFonts w:ascii="Times New Roman" w:hAnsi="Times New Roman"/>
                <w:b/>
                <w:sz w:val="28"/>
                <w:szCs w:val="28"/>
                <w:lang w:eastAsia="ru-RU"/>
              </w:rPr>
            </w:pPr>
            <w:r>
              <w:rPr>
                <w:rFonts w:ascii="Times New Roman" w:hAnsi="Times New Roman"/>
                <w:b/>
                <w:sz w:val="28"/>
                <w:szCs w:val="28"/>
                <w:lang w:val="uk-UA" w:eastAsia="ru-RU"/>
              </w:rPr>
              <w:t>Кваліфікаційні вимоги</w:t>
            </w:r>
          </w:p>
        </w:tc>
      </w:tr>
      <w:tr w:rsidR="00146F8D" w14:paraId="2B32F06E" w14:textId="77777777" w:rsidTr="00146F8D">
        <w:trPr>
          <w:trHeight w:val="102"/>
        </w:trPr>
        <w:tc>
          <w:tcPr>
            <w:tcW w:w="2551" w:type="dxa"/>
            <w:tcBorders>
              <w:top w:val="nil"/>
              <w:left w:val="nil"/>
              <w:bottom w:val="nil"/>
              <w:right w:val="nil"/>
            </w:tcBorders>
            <w:hideMark/>
          </w:tcPr>
          <w:p w14:paraId="21751150" w14:textId="77777777" w:rsidR="00146F8D" w:rsidRDefault="00146F8D">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1. Загальні вимоги</w:t>
            </w:r>
          </w:p>
        </w:tc>
        <w:tc>
          <w:tcPr>
            <w:tcW w:w="7087" w:type="dxa"/>
            <w:tcBorders>
              <w:top w:val="nil"/>
              <w:left w:val="nil"/>
              <w:bottom w:val="nil"/>
              <w:right w:val="nil"/>
            </w:tcBorders>
            <w:hideMark/>
          </w:tcPr>
          <w:p w14:paraId="2325F8D0" w14:textId="77777777" w:rsidR="00146F8D" w:rsidRDefault="00146F8D">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громадянин України;</w:t>
            </w:r>
          </w:p>
          <w:p w14:paraId="02C719BC" w14:textId="77777777" w:rsidR="00146F8D" w:rsidRDefault="00146F8D">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 відповідність загальним вимогам до кандидатів на службу (частина 1 ст. 163 Закону України «Про судоустрій і статус суддів»);</w:t>
            </w:r>
          </w:p>
        </w:tc>
      </w:tr>
      <w:tr w:rsidR="00146F8D" w14:paraId="48C10001" w14:textId="77777777" w:rsidTr="00146F8D">
        <w:trPr>
          <w:trHeight w:val="102"/>
        </w:trPr>
        <w:tc>
          <w:tcPr>
            <w:tcW w:w="2551" w:type="dxa"/>
            <w:tcBorders>
              <w:top w:val="nil"/>
              <w:left w:val="nil"/>
              <w:bottom w:val="nil"/>
              <w:right w:val="nil"/>
            </w:tcBorders>
            <w:hideMark/>
          </w:tcPr>
          <w:p w14:paraId="5C3E691A" w14:textId="77777777" w:rsidR="00146F8D" w:rsidRDefault="00146F8D">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2. Освіта</w:t>
            </w:r>
          </w:p>
        </w:tc>
        <w:tc>
          <w:tcPr>
            <w:tcW w:w="7087" w:type="dxa"/>
            <w:tcBorders>
              <w:top w:val="nil"/>
              <w:left w:val="nil"/>
              <w:bottom w:val="nil"/>
              <w:right w:val="nil"/>
            </w:tcBorders>
            <w:hideMark/>
          </w:tcPr>
          <w:p w14:paraId="615303AD" w14:textId="77777777" w:rsidR="00146F8D" w:rsidRDefault="00146F8D">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повна середня освіта.</w:t>
            </w:r>
          </w:p>
        </w:tc>
      </w:tr>
      <w:tr w:rsidR="00146F8D" w14:paraId="4DBA8CE7" w14:textId="77777777" w:rsidTr="00146F8D">
        <w:trPr>
          <w:trHeight w:val="102"/>
        </w:trPr>
        <w:tc>
          <w:tcPr>
            <w:tcW w:w="2551" w:type="dxa"/>
            <w:tcBorders>
              <w:top w:val="nil"/>
              <w:left w:val="nil"/>
              <w:bottom w:val="nil"/>
              <w:right w:val="nil"/>
            </w:tcBorders>
            <w:hideMark/>
          </w:tcPr>
          <w:p w14:paraId="2F29FF61" w14:textId="77777777" w:rsidR="00146F8D" w:rsidRDefault="00146F8D">
            <w:pPr>
              <w:spacing w:after="0" w:line="240" w:lineRule="auto"/>
              <w:rPr>
                <w:rFonts w:ascii="Times New Roman" w:hAnsi="Times New Roman"/>
                <w:b/>
                <w:sz w:val="28"/>
                <w:szCs w:val="28"/>
                <w:lang w:eastAsia="ru-RU"/>
              </w:rPr>
            </w:pPr>
            <w:r>
              <w:rPr>
                <w:rFonts w:ascii="Times New Roman" w:hAnsi="Times New Roman"/>
                <w:sz w:val="28"/>
                <w:szCs w:val="28"/>
                <w:lang w:val="uk-UA" w:eastAsia="ru-RU"/>
              </w:rPr>
              <w:t>3. Досвід роботи</w:t>
            </w:r>
          </w:p>
        </w:tc>
        <w:tc>
          <w:tcPr>
            <w:tcW w:w="7087" w:type="dxa"/>
            <w:tcBorders>
              <w:top w:val="nil"/>
              <w:left w:val="nil"/>
              <w:bottom w:val="nil"/>
              <w:right w:val="nil"/>
            </w:tcBorders>
            <w:hideMark/>
          </w:tcPr>
          <w:p w14:paraId="7936FDFB" w14:textId="77777777" w:rsidR="00146F8D" w:rsidRDefault="00146F8D">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 xml:space="preserve">у державних органах влади, органах системи правосуддя, досвід проходження служби у правоохоронних органах чи військових формуваннях – не менше ніж один рік </w:t>
            </w:r>
            <w:r>
              <w:rPr>
                <w:rFonts w:ascii="Times New Roman" w:hAnsi="Times New Roman"/>
                <w:b/>
                <w:sz w:val="28"/>
                <w:szCs w:val="28"/>
                <w:lang w:val="uk-UA" w:eastAsia="ru-RU"/>
              </w:rPr>
              <w:t>(надати підтверджуючі документи).</w:t>
            </w:r>
          </w:p>
        </w:tc>
      </w:tr>
      <w:tr w:rsidR="00146F8D" w14:paraId="76E448F4" w14:textId="77777777" w:rsidTr="00146F8D">
        <w:trPr>
          <w:trHeight w:val="463"/>
        </w:trPr>
        <w:tc>
          <w:tcPr>
            <w:tcW w:w="2551" w:type="dxa"/>
            <w:tcBorders>
              <w:top w:val="nil"/>
              <w:left w:val="nil"/>
              <w:bottom w:val="nil"/>
              <w:right w:val="nil"/>
            </w:tcBorders>
            <w:hideMark/>
          </w:tcPr>
          <w:p w14:paraId="08BC6A8A" w14:textId="77777777" w:rsidR="00146F8D" w:rsidRDefault="00146F8D">
            <w:pPr>
              <w:spacing w:after="0" w:line="240" w:lineRule="auto"/>
              <w:rPr>
                <w:rFonts w:ascii="Times New Roman" w:hAnsi="Times New Roman"/>
                <w:b/>
                <w:sz w:val="28"/>
                <w:szCs w:val="28"/>
                <w:lang w:eastAsia="ru-RU"/>
              </w:rPr>
            </w:pPr>
            <w:r>
              <w:rPr>
                <w:rFonts w:ascii="Times New Roman" w:hAnsi="Times New Roman"/>
                <w:sz w:val="28"/>
                <w:szCs w:val="28"/>
                <w:lang w:val="uk-UA" w:eastAsia="ru-RU"/>
              </w:rPr>
              <w:t>4. Володіння державною мовою</w:t>
            </w:r>
          </w:p>
        </w:tc>
        <w:tc>
          <w:tcPr>
            <w:tcW w:w="7087" w:type="dxa"/>
            <w:tcBorders>
              <w:top w:val="nil"/>
              <w:left w:val="nil"/>
              <w:bottom w:val="nil"/>
              <w:right w:val="nil"/>
            </w:tcBorders>
            <w:hideMark/>
          </w:tcPr>
          <w:p w14:paraId="3F4FE3D5" w14:textId="77777777" w:rsidR="00146F8D" w:rsidRDefault="00146F8D">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вільне володіння державною мовою відповідно до вимог Закону України «Про забезпечення функціонування української мови як державної».</w:t>
            </w:r>
          </w:p>
        </w:tc>
      </w:tr>
      <w:tr w:rsidR="00146F8D" w14:paraId="70077E41" w14:textId="77777777" w:rsidTr="00146F8D">
        <w:trPr>
          <w:trHeight w:val="424"/>
        </w:trPr>
        <w:tc>
          <w:tcPr>
            <w:tcW w:w="9638" w:type="dxa"/>
            <w:gridSpan w:val="2"/>
            <w:tcBorders>
              <w:top w:val="nil"/>
              <w:left w:val="nil"/>
              <w:bottom w:val="nil"/>
              <w:right w:val="nil"/>
            </w:tcBorders>
            <w:hideMark/>
          </w:tcPr>
          <w:p w14:paraId="2ECFAC08" w14:textId="77777777" w:rsidR="00146F8D" w:rsidRDefault="00146F8D">
            <w:pPr>
              <w:spacing w:after="0" w:line="240" w:lineRule="auto"/>
              <w:jc w:val="center"/>
              <w:rPr>
                <w:rFonts w:ascii="Times New Roman" w:hAnsi="Times New Roman"/>
                <w:b/>
                <w:sz w:val="28"/>
                <w:szCs w:val="28"/>
                <w:lang w:eastAsia="ru-RU"/>
              </w:rPr>
            </w:pPr>
            <w:r>
              <w:rPr>
                <w:rFonts w:ascii="Times New Roman" w:hAnsi="Times New Roman"/>
                <w:b/>
                <w:sz w:val="28"/>
                <w:szCs w:val="28"/>
                <w:lang w:val="uk-UA" w:eastAsia="ru-RU"/>
              </w:rPr>
              <w:t>Вимоги до компетентності</w:t>
            </w:r>
          </w:p>
        </w:tc>
      </w:tr>
      <w:tr w:rsidR="00146F8D" w14:paraId="44DF02AF" w14:textId="77777777" w:rsidTr="00146F8D">
        <w:trPr>
          <w:trHeight w:val="699"/>
        </w:trPr>
        <w:tc>
          <w:tcPr>
            <w:tcW w:w="2551" w:type="dxa"/>
            <w:tcBorders>
              <w:top w:val="nil"/>
              <w:left w:val="nil"/>
              <w:bottom w:val="nil"/>
              <w:right w:val="nil"/>
            </w:tcBorders>
            <w:hideMark/>
          </w:tcPr>
          <w:p w14:paraId="6A836B29" w14:textId="77777777" w:rsidR="00146F8D" w:rsidRDefault="00146F8D">
            <w:pPr>
              <w:spacing w:after="0" w:line="240" w:lineRule="auto"/>
              <w:rPr>
                <w:rFonts w:ascii="Times New Roman" w:hAnsi="Times New Roman"/>
                <w:b/>
                <w:sz w:val="28"/>
                <w:szCs w:val="28"/>
                <w:lang w:eastAsia="ru-RU"/>
              </w:rPr>
            </w:pPr>
            <w:r>
              <w:rPr>
                <w:rFonts w:ascii="Times New Roman" w:hAnsi="Times New Roman"/>
                <w:sz w:val="28"/>
                <w:szCs w:val="28"/>
                <w:lang w:val="uk-UA" w:eastAsia="ru-RU"/>
              </w:rPr>
              <w:t>1. Вміння працювати в колективі</w:t>
            </w:r>
          </w:p>
        </w:tc>
        <w:tc>
          <w:tcPr>
            <w:tcW w:w="7087" w:type="dxa"/>
            <w:tcBorders>
              <w:top w:val="nil"/>
              <w:left w:val="nil"/>
              <w:bottom w:val="nil"/>
              <w:right w:val="nil"/>
            </w:tcBorders>
            <w:hideMark/>
          </w:tcPr>
          <w:p w14:paraId="4EB3054C" w14:textId="77777777" w:rsidR="00146F8D" w:rsidRDefault="00146F8D">
            <w:pPr>
              <w:tabs>
                <w:tab w:val="left" w:pos="5670"/>
              </w:tabs>
              <w:spacing w:after="0" w:line="240" w:lineRule="auto"/>
              <w:ind w:left="-108"/>
              <w:jc w:val="both"/>
              <w:rPr>
                <w:rFonts w:ascii="Times New Roman" w:hAnsi="Times New Roman"/>
                <w:b/>
                <w:sz w:val="28"/>
                <w:szCs w:val="28"/>
                <w:lang w:eastAsia="ru-RU"/>
              </w:rPr>
            </w:pPr>
            <w:r>
              <w:rPr>
                <w:rFonts w:ascii="Times New Roman" w:hAnsi="Times New Roman"/>
                <w:sz w:val="28"/>
                <w:szCs w:val="28"/>
                <w:lang w:val="uk-UA" w:eastAsia="ru-RU"/>
              </w:rPr>
              <w:t>- щирість та відкритість;</w:t>
            </w:r>
            <w:r>
              <w:rPr>
                <w:rFonts w:ascii="Times New Roman" w:hAnsi="Times New Roman"/>
                <w:sz w:val="28"/>
                <w:szCs w:val="28"/>
                <w:lang w:eastAsia="ru-RU"/>
              </w:rPr>
              <w:t xml:space="preserve"> </w:t>
            </w:r>
            <w:r>
              <w:rPr>
                <w:rFonts w:ascii="Times New Roman" w:hAnsi="Times New Roman"/>
                <w:sz w:val="28"/>
                <w:szCs w:val="28"/>
                <w:lang w:val="uk-UA" w:eastAsia="ru-RU"/>
              </w:rPr>
              <w:t>орієнтація на досягнення ефективного результату діяльності; рівне ставлення та повага до колег.</w:t>
            </w:r>
          </w:p>
        </w:tc>
      </w:tr>
      <w:tr w:rsidR="00146F8D" w14:paraId="38CE2C03" w14:textId="77777777" w:rsidTr="00146F8D">
        <w:trPr>
          <w:trHeight w:val="699"/>
        </w:trPr>
        <w:tc>
          <w:tcPr>
            <w:tcW w:w="2551" w:type="dxa"/>
            <w:tcBorders>
              <w:top w:val="nil"/>
              <w:left w:val="nil"/>
              <w:bottom w:val="nil"/>
              <w:right w:val="nil"/>
            </w:tcBorders>
            <w:hideMark/>
          </w:tcPr>
          <w:p w14:paraId="3A76D7C1" w14:textId="77777777" w:rsidR="00146F8D" w:rsidRDefault="00146F8D">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2. Вміння приймати ефективні рішення</w:t>
            </w:r>
          </w:p>
        </w:tc>
        <w:tc>
          <w:tcPr>
            <w:tcW w:w="7087" w:type="dxa"/>
            <w:tcBorders>
              <w:top w:val="nil"/>
              <w:left w:val="nil"/>
              <w:bottom w:val="nil"/>
              <w:right w:val="nil"/>
            </w:tcBorders>
            <w:hideMark/>
          </w:tcPr>
          <w:p w14:paraId="7C3FDB54" w14:textId="77777777" w:rsidR="00146F8D" w:rsidRDefault="00146F8D">
            <w:pPr>
              <w:tabs>
                <w:tab w:val="left" w:pos="5670"/>
              </w:tabs>
              <w:spacing w:after="0" w:line="240" w:lineRule="auto"/>
              <w:ind w:left="-108"/>
              <w:jc w:val="both"/>
              <w:rPr>
                <w:rFonts w:ascii="Times New Roman" w:hAnsi="Times New Roman"/>
                <w:sz w:val="28"/>
                <w:szCs w:val="28"/>
                <w:lang w:val="uk-UA" w:eastAsia="ru-RU"/>
              </w:rPr>
            </w:pPr>
            <w:r>
              <w:rPr>
                <w:rFonts w:ascii="Times New Roman" w:hAnsi="Times New Roman"/>
                <w:sz w:val="28"/>
                <w:szCs w:val="28"/>
                <w:lang w:val="uk-UA" w:eastAsia="ru-RU"/>
              </w:rPr>
              <w:t>- здатність швидко приймати рішення у межах наданих повноважень та ефективно діяти в екстремальних ситуаціях.</w:t>
            </w:r>
          </w:p>
        </w:tc>
      </w:tr>
      <w:tr w:rsidR="00146F8D" w14:paraId="39A4731E" w14:textId="77777777" w:rsidTr="00146F8D">
        <w:trPr>
          <w:trHeight w:val="699"/>
        </w:trPr>
        <w:tc>
          <w:tcPr>
            <w:tcW w:w="2551" w:type="dxa"/>
            <w:tcBorders>
              <w:top w:val="nil"/>
              <w:left w:val="nil"/>
              <w:bottom w:val="nil"/>
              <w:right w:val="nil"/>
            </w:tcBorders>
            <w:hideMark/>
          </w:tcPr>
          <w:p w14:paraId="587B4ABA" w14:textId="77777777" w:rsidR="00146F8D" w:rsidRDefault="00146F8D">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3. Комунікація та взаємодія</w:t>
            </w:r>
          </w:p>
        </w:tc>
        <w:tc>
          <w:tcPr>
            <w:tcW w:w="7087" w:type="dxa"/>
            <w:tcBorders>
              <w:top w:val="nil"/>
              <w:left w:val="nil"/>
              <w:bottom w:val="nil"/>
              <w:right w:val="nil"/>
            </w:tcBorders>
            <w:hideMark/>
          </w:tcPr>
          <w:p w14:paraId="0CEEA108" w14:textId="77777777" w:rsidR="00146F8D" w:rsidRDefault="00146F8D">
            <w:pPr>
              <w:tabs>
                <w:tab w:val="left" w:pos="5670"/>
              </w:tabs>
              <w:spacing w:after="0" w:line="240" w:lineRule="auto"/>
              <w:ind w:left="-108"/>
              <w:jc w:val="both"/>
              <w:rPr>
                <w:rFonts w:ascii="Times New Roman" w:hAnsi="Times New Roman"/>
                <w:sz w:val="28"/>
                <w:szCs w:val="28"/>
                <w:lang w:val="uk-UA" w:eastAsia="ru-RU"/>
              </w:rPr>
            </w:pPr>
            <w:r>
              <w:rPr>
                <w:rFonts w:ascii="Times New Roman" w:hAnsi="Times New Roman"/>
                <w:sz w:val="28"/>
                <w:szCs w:val="28"/>
                <w:lang w:val="uk-UA" w:eastAsia="ru-RU"/>
              </w:rPr>
              <w:t>- вміння здійснювати ефективну комунікацію та проводити публічні виступи, перемовини тощо; відкритість.</w:t>
            </w:r>
          </w:p>
        </w:tc>
      </w:tr>
      <w:tr w:rsidR="00146F8D" w14:paraId="1A67872C" w14:textId="77777777" w:rsidTr="00146F8D">
        <w:trPr>
          <w:trHeight w:val="463"/>
        </w:trPr>
        <w:tc>
          <w:tcPr>
            <w:tcW w:w="2551" w:type="dxa"/>
            <w:tcBorders>
              <w:top w:val="nil"/>
              <w:left w:val="nil"/>
              <w:bottom w:val="nil"/>
              <w:right w:val="nil"/>
            </w:tcBorders>
            <w:hideMark/>
          </w:tcPr>
          <w:p w14:paraId="74E11D1D" w14:textId="77777777" w:rsidR="00146F8D" w:rsidRDefault="00146F8D">
            <w:pPr>
              <w:spacing w:after="0" w:line="240" w:lineRule="auto"/>
              <w:rPr>
                <w:rFonts w:ascii="Times New Roman" w:hAnsi="Times New Roman"/>
                <w:b/>
                <w:sz w:val="28"/>
                <w:szCs w:val="28"/>
                <w:lang w:eastAsia="ru-RU"/>
              </w:rPr>
            </w:pPr>
            <w:r>
              <w:rPr>
                <w:rFonts w:ascii="Times New Roman" w:hAnsi="Times New Roman"/>
                <w:sz w:val="28"/>
                <w:szCs w:val="28"/>
                <w:lang w:val="uk-UA" w:eastAsia="ru-RU"/>
              </w:rPr>
              <w:t>4. Аналітичні здібності</w:t>
            </w:r>
          </w:p>
        </w:tc>
        <w:tc>
          <w:tcPr>
            <w:tcW w:w="7087" w:type="dxa"/>
            <w:tcBorders>
              <w:top w:val="nil"/>
              <w:left w:val="nil"/>
              <w:bottom w:val="nil"/>
              <w:right w:val="nil"/>
            </w:tcBorders>
            <w:hideMark/>
          </w:tcPr>
          <w:p w14:paraId="7B26CBDB" w14:textId="77777777" w:rsidR="00146F8D" w:rsidRDefault="00146F8D">
            <w:pPr>
              <w:spacing w:after="0" w:line="240" w:lineRule="auto"/>
              <w:ind w:left="-108"/>
              <w:jc w:val="both"/>
              <w:rPr>
                <w:rFonts w:ascii="Times New Roman" w:hAnsi="Times New Roman"/>
                <w:b/>
                <w:sz w:val="28"/>
                <w:szCs w:val="28"/>
                <w:lang w:eastAsia="ru-RU"/>
              </w:rPr>
            </w:pPr>
            <w:r>
              <w:rPr>
                <w:rFonts w:ascii="Times New Roman" w:hAnsi="Times New Roman"/>
                <w:sz w:val="28"/>
                <w:szCs w:val="28"/>
                <w:lang w:val="uk-UA" w:eastAsia="ru-RU"/>
              </w:rPr>
              <w:t>- здатність систематизувати, узагальнювати інформацію; гнучкість; проникливість.</w:t>
            </w:r>
          </w:p>
        </w:tc>
      </w:tr>
      <w:tr w:rsidR="00146F8D" w14:paraId="0022B759" w14:textId="77777777" w:rsidTr="00146F8D">
        <w:trPr>
          <w:trHeight w:val="1839"/>
        </w:trPr>
        <w:tc>
          <w:tcPr>
            <w:tcW w:w="2551" w:type="dxa"/>
            <w:tcBorders>
              <w:top w:val="nil"/>
              <w:left w:val="nil"/>
              <w:bottom w:val="nil"/>
              <w:right w:val="nil"/>
            </w:tcBorders>
            <w:hideMark/>
          </w:tcPr>
          <w:p w14:paraId="10B96B25" w14:textId="77777777" w:rsidR="00146F8D" w:rsidRDefault="00146F8D">
            <w:pPr>
              <w:spacing w:after="0" w:line="240" w:lineRule="auto"/>
              <w:rPr>
                <w:rFonts w:ascii="Times New Roman" w:hAnsi="Times New Roman"/>
                <w:b/>
                <w:sz w:val="28"/>
                <w:szCs w:val="28"/>
                <w:lang w:eastAsia="ru-RU"/>
              </w:rPr>
            </w:pPr>
            <w:r>
              <w:rPr>
                <w:rFonts w:ascii="Times New Roman" w:hAnsi="Times New Roman"/>
                <w:sz w:val="28"/>
                <w:szCs w:val="28"/>
                <w:lang w:val="uk-UA" w:eastAsia="ru-RU"/>
              </w:rPr>
              <w:t>5.Особистісні компетенції</w:t>
            </w:r>
          </w:p>
        </w:tc>
        <w:tc>
          <w:tcPr>
            <w:tcW w:w="7087" w:type="dxa"/>
            <w:tcBorders>
              <w:top w:val="nil"/>
              <w:left w:val="nil"/>
              <w:bottom w:val="nil"/>
              <w:right w:val="nil"/>
            </w:tcBorders>
            <w:hideMark/>
          </w:tcPr>
          <w:p w14:paraId="34501AD9" w14:textId="77777777" w:rsidR="00146F8D" w:rsidRDefault="00146F8D">
            <w:pPr>
              <w:spacing w:after="0" w:line="240" w:lineRule="auto"/>
              <w:ind w:left="-108"/>
              <w:jc w:val="both"/>
              <w:rPr>
                <w:rFonts w:ascii="Times New Roman" w:hAnsi="Times New Roman"/>
                <w:b/>
                <w:sz w:val="28"/>
                <w:szCs w:val="28"/>
                <w:lang w:val="uk-UA" w:eastAsia="ru-RU"/>
              </w:rPr>
            </w:pPr>
            <w:r>
              <w:rPr>
                <w:rFonts w:ascii="Times New Roman" w:hAnsi="Times New Roman"/>
                <w:sz w:val="28"/>
                <w:szCs w:val="28"/>
                <w:lang w:val="uk-UA" w:eastAsia="ru-RU"/>
              </w:rP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146F8D" w14:paraId="3CE3D8D0" w14:textId="77777777" w:rsidTr="00146F8D">
        <w:trPr>
          <w:trHeight w:val="924"/>
        </w:trPr>
        <w:tc>
          <w:tcPr>
            <w:tcW w:w="2551" w:type="dxa"/>
            <w:tcBorders>
              <w:top w:val="nil"/>
              <w:left w:val="nil"/>
              <w:bottom w:val="nil"/>
              <w:right w:val="nil"/>
            </w:tcBorders>
            <w:hideMark/>
          </w:tcPr>
          <w:p w14:paraId="4EE093DE" w14:textId="77777777" w:rsidR="00146F8D" w:rsidRDefault="00146F8D">
            <w:pPr>
              <w:spacing w:after="0" w:line="240" w:lineRule="auto"/>
              <w:rPr>
                <w:rFonts w:ascii="Times New Roman" w:hAnsi="Times New Roman"/>
                <w:b/>
                <w:sz w:val="28"/>
                <w:szCs w:val="28"/>
                <w:lang w:val="uk-UA" w:eastAsia="ru-RU"/>
              </w:rPr>
            </w:pPr>
            <w:r>
              <w:rPr>
                <w:rFonts w:ascii="Times New Roman" w:hAnsi="Times New Roman"/>
                <w:sz w:val="28"/>
                <w:szCs w:val="28"/>
                <w:lang w:val="uk-UA" w:eastAsia="ru-RU"/>
              </w:rPr>
              <w:t>6. Забезпечення громадського порядку</w:t>
            </w:r>
          </w:p>
        </w:tc>
        <w:tc>
          <w:tcPr>
            <w:tcW w:w="7087" w:type="dxa"/>
            <w:tcBorders>
              <w:top w:val="nil"/>
              <w:left w:val="nil"/>
              <w:bottom w:val="nil"/>
              <w:right w:val="nil"/>
            </w:tcBorders>
            <w:hideMark/>
          </w:tcPr>
          <w:p w14:paraId="189590E1" w14:textId="77777777" w:rsidR="00146F8D" w:rsidRDefault="00146F8D">
            <w:pPr>
              <w:spacing w:after="0" w:line="240" w:lineRule="auto"/>
              <w:ind w:left="-108"/>
              <w:jc w:val="both"/>
              <w:rPr>
                <w:rFonts w:ascii="Times New Roman" w:hAnsi="Times New Roman"/>
                <w:b/>
                <w:sz w:val="28"/>
                <w:szCs w:val="28"/>
                <w:lang w:val="uk-UA" w:eastAsia="ru-RU"/>
              </w:rPr>
            </w:pPr>
            <w:r>
              <w:rPr>
                <w:rFonts w:ascii="Times New Roman" w:hAnsi="Times New Roman"/>
                <w:sz w:val="28"/>
                <w:szCs w:val="28"/>
                <w:lang w:val="uk-UA" w:eastAsia="ru-RU"/>
              </w:rP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146F8D" w14:paraId="2D8888DF" w14:textId="77777777" w:rsidTr="00146F8D">
        <w:trPr>
          <w:trHeight w:val="242"/>
        </w:trPr>
        <w:tc>
          <w:tcPr>
            <w:tcW w:w="9638" w:type="dxa"/>
            <w:gridSpan w:val="2"/>
            <w:tcBorders>
              <w:top w:val="nil"/>
              <w:left w:val="nil"/>
              <w:bottom w:val="nil"/>
              <w:right w:val="nil"/>
            </w:tcBorders>
            <w:hideMark/>
          </w:tcPr>
          <w:p w14:paraId="0C016B92" w14:textId="77777777" w:rsidR="00146F8D" w:rsidRDefault="00146F8D">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Професійні знання</w:t>
            </w:r>
          </w:p>
        </w:tc>
      </w:tr>
      <w:tr w:rsidR="00146F8D" w14:paraId="65D7E6F7" w14:textId="77777777" w:rsidTr="00146F8D">
        <w:trPr>
          <w:trHeight w:val="228"/>
        </w:trPr>
        <w:tc>
          <w:tcPr>
            <w:tcW w:w="2551" w:type="dxa"/>
            <w:tcBorders>
              <w:top w:val="nil"/>
              <w:left w:val="nil"/>
              <w:bottom w:val="nil"/>
              <w:right w:val="nil"/>
            </w:tcBorders>
            <w:hideMark/>
          </w:tcPr>
          <w:p w14:paraId="69F79BC4" w14:textId="77777777" w:rsidR="00146F8D" w:rsidRDefault="00146F8D">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1. Знання законодавства</w:t>
            </w:r>
          </w:p>
        </w:tc>
        <w:tc>
          <w:tcPr>
            <w:tcW w:w="7087" w:type="dxa"/>
            <w:tcBorders>
              <w:top w:val="nil"/>
              <w:left w:val="nil"/>
              <w:bottom w:val="nil"/>
              <w:right w:val="nil"/>
            </w:tcBorders>
            <w:hideMark/>
          </w:tcPr>
          <w:p w14:paraId="5B1F965A" w14:textId="77777777" w:rsidR="00146F8D" w:rsidRDefault="00146F8D">
            <w:pPr>
              <w:spacing w:after="0" w:line="240" w:lineRule="auto"/>
              <w:ind w:left="-108"/>
              <w:jc w:val="both"/>
              <w:rPr>
                <w:rFonts w:ascii="Times New Roman" w:hAnsi="Times New Roman"/>
                <w:sz w:val="28"/>
                <w:szCs w:val="28"/>
                <w:lang w:val="uk-UA" w:eastAsia="ru-RU"/>
              </w:rPr>
            </w:pPr>
            <w:r>
              <w:rPr>
                <w:rFonts w:ascii="Times New Roman" w:hAnsi="Times New Roman"/>
                <w:sz w:val="28"/>
                <w:szCs w:val="28"/>
                <w:lang w:val="uk-UA" w:eastAsia="ru-RU"/>
              </w:rPr>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«Про </w:t>
            </w:r>
            <w:r>
              <w:rPr>
                <w:rFonts w:ascii="Times New Roman" w:hAnsi="Times New Roman"/>
                <w:sz w:val="28"/>
                <w:szCs w:val="28"/>
                <w:lang w:val="uk-UA" w:eastAsia="ru-RU"/>
              </w:rPr>
              <w:lastRenderedPageBreak/>
              <w:t>адвокатуру та адвокатську діяльність», «Про Державну службу»,</w:t>
            </w:r>
            <w:r>
              <w:rPr>
                <w:rFonts w:ascii="Times New Roman" w:hAnsi="Times New Roman"/>
                <w:sz w:val="28"/>
                <w:szCs w:val="28"/>
                <w:lang w:val="uk-UA"/>
              </w:rPr>
              <w:t xml:space="preserve"> «Про Вищу раду правосуддя», «Про звернення</w:t>
            </w:r>
          </w:p>
        </w:tc>
      </w:tr>
      <w:tr w:rsidR="00146F8D" w14:paraId="35AF7C28" w14:textId="77777777" w:rsidTr="00146F8D">
        <w:trPr>
          <w:trHeight w:val="228"/>
        </w:trPr>
        <w:tc>
          <w:tcPr>
            <w:tcW w:w="2551" w:type="dxa"/>
            <w:tcBorders>
              <w:top w:val="nil"/>
              <w:left w:val="nil"/>
              <w:bottom w:val="nil"/>
              <w:right w:val="nil"/>
            </w:tcBorders>
            <w:hideMark/>
          </w:tcPr>
          <w:p w14:paraId="26C47DA1" w14:textId="77777777" w:rsidR="00146F8D" w:rsidRDefault="00146F8D">
            <w:pPr>
              <w:rPr>
                <w:rFonts w:ascii="Times New Roman" w:hAnsi="Times New Roman"/>
                <w:sz w:val="28"/>
                <w:szCs w:val="28"/>
                <w:lang w:val="uk-UA" w:eastAsia="ru-RU"/>
              </w:rPr>
            </w:pPr>
          </w:p>
        </w:tc>
        <w:tc>
          <w:tcPr>
            <w:tcW w:w="7087" w:type="dxa"/>
            <w:tcBorders>
              <w:top w:val="nil"/>
              <w:left w:val="nil"/>
              <w:bottom w:val="nil"/>
              <w:right w:val="nil"/>
            </w:tcBorders>
            <w:hideMark/>
          </w:tcPr>
          <w:p w14:paraId="5B14528B" w14:textId="77777777" w:rsidR="00146F8D" w:rsidRDefault="00146F8D">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громадян», «Про доступ до публічної інформації», «Про інформацію», «Про очищення влади», «Про захист персональних даних», «Про статус народного депутата»; </w:t>
            </w:r>
            <w:r>
              <w:rPr>
                <w:rFonts w:ascii="Times New Roman" w:hAnsi="Times New Roman"/>
                <w:sz w:val="28"/>
                <w:szCs w:val="28"/>
                <w:lang w:val="uk-UA" w:eastAsia="ru-RU"/>
              </w:rPr>
              <w:t>Кримінального кодексу України, Кодексу України про адміністративні правопорушення</w:t>
            </w:r>
            <w:r>
              <w:rPr>
                <w:rFonts w:ascii="Times New Roman" w:hAnsi="Times New Roman"/>
                <w:sz w:val="28"/>
                <w:szCs w:val="28"/>
                <w:lang w:val="uk-UA"/>
              </w:rPr>
              <w:t xml:space="preserve">, </w:t>
            </w:r>
            <w:r>
              <w:rPr>
                <w:rFonts w:ascii="Times New Roman" w:hAnsi="Times New Roman"/>
                <w:sz w:val="28"/>
                <w:szCs w:val="28"/>
                <w:lang w:val="uk-UA" w:eastAsia="ru-RU"/>
              </w:rPr>
              <w:t>Положення про проходження служби співробітниками Служби судової охорони,</w:t>
            </w:r>
            <w:r>
              <w:rPr>
                <w:rFonts w:ascii="Times New Roman" w:hAnsi="Times New Roman"/>
                <w:sz w:val="28"/>
                <w:szCs w:val="28"/>
                <w:lang w:val="uk-UA" w:eastAsia="uk-UA"/>
              </w:rPr>
              <w:t xml:space="preserve"> затвердженого Рішенням </w:t>
            </w:r>
            <w:r>
              <w:rPr>
                <w:rFonts w:ascii="Times New Roman" w:hAnsi="Times New Roman"/>
                <w:bCs/>
                <w:sz w:val="28"/>
                <w:szCs w:val="28"/>
                <w:lang w:val="uk-UA" w:eastAsia="uk-UA"/>
              </w:rPr>
              <w:t>Вищої ради правосуддя від 4 квітня 2019 року № 1052/0/15-19.</w:t>
            </w:r>
          </w:p>
        </w:tc>
      </w:tr>
    </w:tbl>
    <w:p w14:paraId="283AE652" w14:textId="77777777" w:rsidR="00146F8D" w:rsidRDefault="00146F8D" w:rsidP="00146F8D">
      <w:pPr>
        <w:spacing w:after="0" w:line="276" w:lineRule="auto"/>
        <w:jc w:val="both"/>
        <w:rPr>
          <w:rFonts w:ascii="Times New Roman" w:hAnsi="Times New Roman"/>
          <w:sz w:val="24"/>
          <w:szCs w:val="24"/>
          <w:lang w:val="uk-UA" w:eastAsia="ru-RU"/>
        </w:rPr>
      </w:pPr>
    </w:p>
    <w:p w14:paraId="76A29ED1" w14:textId="77777777" w:rsidR="00146F8D" w:rsidRDefault="00146F8D" w:rsidP="00146F8D">
      <w:pPr>
        <w:spacing w:after="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57B3BF9F" w14:textId="77777777" w:rsidR="00146F8D" w:rsidRDefault="00146F8D" w:rsidP="00146F8D">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10"/>
      <w:bookmarkEnd w:id="11"/>
    </w:p>
    <w:p w14:paraId="25CB0ECE" w14:textId="77777777" w:rsidR="00146F8D" w:rsidRDefault="00146F8D" w:rsidP="00146F8D">
      <w:pPr>
        <w:spacing w:after="0" w:line="240" w:lineRule="auto"/>
        <w:ind w:firstLine="709"/>
        <w:jc w:val="both"/>
        <w:rPr>
          <w:rFonts w:ascii="Times New Roman" w:hAnsi="Times New Roman"/>
          <w:b/>
          <w:sz w:val="28"/>
          <w:szCs w:val="28"/>
          <w:lang w:val="uk-UA"/>
        </w:rPr>
      </w:pPr>
    </w:p>
    <w:p w14:paraId="3FA90316" w14:textId="77777777" w:rsidR="00183C90" w:rsidRDefault="00183C90"/>
    <w:sectPr w:rsidR="00183C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43"/>
    <w:rsid w:val="00120799"/>
    <w:rsid w:val="00146F8D"/>
    <w:rsid w:val="00183C90"/>
    <w:rsid w:val="00330814"/>
    <w:rsid w:val="008B153E"/>
    <w:rsid w:val="00A845CC"/>
    <w:rsid w:val="00E756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6F96"/>
  <w15:chartTrackingRefBased/>
  <w15:docId w15:val="{9B93A0E0-E9EB-44AB-A542-488E29D4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6F8D"/>
    <w:pPr>
      <w:spacing w:line="252"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1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5078</Words>
  <Characters>2896</Characters>
  <Application>Microsoft Office Word</Application>
  <DocSecurity>0</DocSecurity>
  <Lines>24</Lines>
  <Paragraphs>15</Paragraphs>
  <ScaleCrop>false</ScaleCrop>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2026-02-04T15:05:00Z</dcterms:created>
  <dcterms:modified xsi:type="dcterms:W3CDTF">2026-02-05T14:23:00Z</dcterms:modified>
</cp:coreProperties>
</file>