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B7C" w:rsidRDefault="00AF1B7C" w:rsidP="00AF1B7C">
      <w:pPr>
        <w:spacing w:after="0" w:line="240" w:lineRule="auto"/>
        <w:rPr>
          <w:rFonts w:ascii="Times New Roman" w:hAnsi="Times New Roman"/>
          <w:sz w:val="28"/>
          <w:szCs w:val="28"/>
        </w:rPr>
      </w:pPr>
    </w:p>
    <w:p w:rsidR="00AF1B7C" w:rsidRPr="00421103" w:rsidRDefault="00AF1B7C" w:rsidP="00AF1B7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AF1B7C" w:rsidRPr="00421103" w:rsidRDefault="00AF1B7C" w:rsidP="00AF1B7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F1B7C" w:rsidRPr="00421103" w:rsidRDefault="00AF1B7C" w:rsidP="00AF1B7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F1B7C" w:rsidRPr="00421103" w:rsidRDefault="00AF1B7C" w:rsidP="00AF1B7C">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F1B7C" w:rsidRPr="00421103" w:rsidRDefault="00AF1B7C" w:rsidP="00AF1B7C">
      <w:pPr>
        <w:tabs>
          <w:tab w:val="left" w:pos="4536"/>
        </w:tabs>
        <w:spacing w:before="120"/>
        <w:ind w:left="5812"/>
        <w:contextualSpacing/>
        <w:rPr>
          <w:rFonts w:ascii="Times New Roman" w:hAnsi="Times New Roman"/>
          <w:sz w:val="28"/>
          <w:szCs w:val="28"/>
        </w:rPr>
      </w:pPr>
    </w:p>
    <w:p w:rsidR="00AF1B7C" w:rsidRPr="00421103" w:rsidRDefault="00AF1B7C" w:rsidP="00AF1B7C">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F1B7C" w:rsidRPr="00421103" w:rsidRDefault="00AF1B7C" w:rsidP="00AF1B7C">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F1B7C" w:rsidRPr="00421103" w:rsidRDefault="00AF1B7C" w:rsidP="00AF1B7C">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F1B7C" w:rsidRPr="00421103" w:rsidRDefault="00AF1B7C" w:rsidP="00AF1B7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F1B7C" w:rsidRDefault="00AF1B7C" w:rsidP="00AF1B7C">
      <w:pPr>
        <w:spacing w:after="0" w:line="240" w:lineRule="auto"/>
        <w:ind w:left="4962"/>
        <w:contextualSpacing/>
        <w:rPr>
          <w:rFonts w:ascii="Times New Roman" w:hAnsi="Times New Roman"/>
          <w:b/>
          <w:sz w:val="28"/>
          <w:szCs w:val="28"/>
          <w:lang w:eastAsia="ru-RU"/>
        </w:rPr>
      </w:pPr>
    </w:p>
    <w:p w:rsidR="00AF1B7C" w:rsidRDefault="00AF1B7C" w:rsidP="00AF1B7C">
      <w:pPr>
        <w:spacing w:after="0" w:line="240" w:lineRule="auto"/>
        <w:ind w:left="4962"/>
        <w:contextualSpacing/>
        <w:rPr>
          <w:rFonts w:ascii="Times New Roman" w:hAnsi="Times New Roman"/>
          <w:b/>
          <w:sz w:val="28"/>
          <w:szCs w:val="28"/>
          <w:lang w:eastAsia="ru-RU"/>
        </w:rPr>
      </w:pPr>
    </w:p>
    <w:p w:rsidR="00AF1B7C" w:rsidRDefault="00AF1B7C" w:rsidP="00AF1B7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AF1B7C" w:rsidRPr="003E1B74" w:rsidRDefault="00AF1B7C" w:rsidP="00AF1B7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проведення конкурсу на зайняття вакантної посади командира відділення підрозділу охорони Територіального управління Служби судової охорони у Кіровоградській області                     </w:t>
      </w:r>
    </w:p>
    <w:p w:rsidR="00AF1B7C" w:rsidRPr="003E1B74" w:rsidRDefault="00AF1B7C" w:rsidP="00AF1B7C">
      <w:pPr>
        <w:spacing w:after="0" w:line="240" w:lineRule="auto"/>
        <w:jc w:val="center"/>
        <w:rPr>
          <w:rFonts w:ascii="Times New Roman" w:hAnsi="Times New Roman"/>
          <w:b/>
          <w:sz w:val="28"/>
          <w:szCs w:val="28"/>
          <w:lang w:eastAsia="ru-RU"/>
        </w:rPr>
      </w:pPr>
    </w:p>
    <w:p w:rsidR="00AF1B7C" w:rsidRDefault="00AF1B7C" w:rsidP="00AF1B7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AF1B7C" w:rsidRDefault="00AF1B7C" w:rsidP="00AF1B7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1. Основні посадові обов’язки командира відділення підрозділу охорони Територіального управління Служби судової охорони у Кіровоградській області </w:t>
      </w:r>
    </w:p>
    <w:p w:rsidR="00AF1B7C" w:rsidRDefault="00AF1B7C" w:rsidP="00AF1B7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AF1B7C" w:rsidRDefault="00AF1B7C" w:rsidP="00AF1B7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326A9D">
        <w:rPr>
          <w:rFonts w:ascii="Times New Roman" w:hAnsi="Times New Roman"/>
          <w:sz w:val="28"/>
          <w:szCs w:val="28"/>
          <w:lang w:eastAsia="ru-RU"/>
        </w:rPr>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p w:rsidR="00AF1B7C" w:rsidRDefault="00AF1B7C" w:rsidP="00AF1B7C">
      <w:pPr>
        <w:spacing w:after="0" w:line="240" w:lineRule="auto"/>
        <w:ind w:firstLine="851"/>
        <w:rPr>
          <w:rFonts w:ascii="Times New Roman" w:hAnsi="Times New Roman"/>
          <w:b/>
          <w:sz w:val="28"/>
          <w:szCs w:val="28"/>
          <w:lang w:eastAsia="ru-RU"/>
        </w:rPr>
      </w:pPr>
    </w:p>
    <w:p w:rsidR="00AF1B7C" w:rsidRDefault="00AF1B7C" w:rsidP="00AF1B7C">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lastRenderedPageBreak/>
        <w:t>2. Умови оплати праці:</w:t>
      </w:r>
    </w:p>
    <w:p w:rsidR="00AF1B7C" w:rsidRDefault="00AF1B7C" w:rsidP="00AF1B7C">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F1B7C" w:rsidRDefault="00AF1B7C" w:rsidP="00AF1B7C">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 безстроково. </w:t>
      </w:r>
    </w:p>
    <w:p w:rsidR="00AF1B7C" w:rsidRDefault="00AF1B7C" w:rsidP="00AF1B7C">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AF1B7C" w:rsidRDefault="00AF1B7C" w:rsidP="00AF1B7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F1B7C" w:rsidRDefault="00AF1B7C" w:rsidP="00AF1B7C">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AF1B7C" w:rsidRDefault="00AF1B7C" w:rsidP="00AF1B7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F1B7C" w:rsidRDefault="00AF1B7C" w:rsidP="00AF1B7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У відповідності до частини 3 статті 54 Закону України «Про Національну поліцію», особа, яка бажає взяти участь у конкурсі, має право </w:t>
      </w:r>
      <w:r>
        <w:rPr>
          <w:rFonts w:ascii="Times New Roman" w:hAnsi="Times New Roman"/>
          <w:sz w:val="28"/>
          <w:szCs w:val="28"/>
          <w:lang w:eastAsia="ru-RU"/>
        </w:rPr>
        <w:lastRenderedPageBreak/>
        <w:t>додати до заяви про участь у конкурсі інші документи зокрема такі, що підтверджують її відповідність кваліфікаційним вимогам.</w:t>
      </w:r>
    </w:p>
    <w:p w:rsidR="00AF1B7C" w:rsidRDefault="00AF1B7C" w:rsidP="00AF1B7C">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Pr>
          <w:rFonts w:ascii="Times New Roman" w:hAnsi="Times New Roman"/>
          <w:color w:val="000000" w:themeColor="text1"/>
          <w:sz w:val="28"/>
          <w:szCs w:val="28"/>
          <w:lang w:eastAsia="ru-RU"/>
        </w:rPr>
        <w:t>з 08.00 год. 0</w:t>
      </w:r>
      <w:r>
        <w:rPr>
          <w:rFonts w:ascii="Times New Roman" w:hAnsi="Times New Roman"/>
          <w:color w:val="000000" w:themeColor="text1"/>
          <w:sz w:val="28"/>
          <w:szCs w:val="28"/>
          <w:lang w:eastAsia="ru-RU"/>
        </w:rPr>
        <w:t>6</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травня</w:t>
      </w:r>
      <w:r>
        <w:rPr>
          <w:rFonts w:ascii="Times New Roman" w:hAnsi="Times New Roman"/>
          <w:color w:val="000000" w:themeColor="text1"/>
          <w:sz w:val="28"/>
          <w:szCs w:val="28"/>
          <w:lang w:eastAsia="ru-RU"/>
        </w:rPr>
        <w:t xml:space="preserve"> до 16.30 год.                         </w:t>
      </w:r>
      <w:r>
        <w:rPr>
          <w:rFonts w:ascii="Times New Roman" w:hAnsi="Times New Roman"/>
          <w:color w:val="000000" w:themeColor="text1"/>
          <w:sz w:val="28"/>
          <w:szCs w:val="28"/>
          <w:lang w:eastAsia="ru-RU"/>
        </w:rPr>
        <w:t>21 травня</w:t>
      </w:r>
      <w:r>
        <w:rPr>
          <w:rFonts w:ascii="Times New Roman" w:hAnsi="Times New Roman"/>
          <w:color w:val="000000" w:themeColor="text1"/>
          <w:sz w:val="28"/>
          <w:szCs w:val="28"/>
          <w:lang w:eastAsia="ru-RU"/>
        </w:rPr>
        <w:t xml:space="preserve"> 2025 року, за </w:t>
      </w:r>
      <w:proofErr w:type="spellStart"/>
      <w:r>
        <w:rPr>
          <w:rFonts w:ascii="Times New Roman" w:hAnsi="Times New Roman"/>
          <w:color w:val="000000" w:themeColor="text1"/>
          <w:sz w:val="28"/>
          <w:szCs w:val="28"/>
          <w:lang w:eastAsia="ru-RU"/>
        </w:rPr>
        <w:t>адресою</w:t>
      </w:r>
      <w:proofErr w:type="spellEnd"/>
      <w:r>
        <w:rPr>
          <w:rFonts w:ascii="Times New Roman" w:hAnsi="Times New Roman"/>
          <w:color w:val="000000" w:themeColor="text1"/>
          <w:sz w:val="28"/>
          <w:szCs w:val="28"/>
          <w:lang w:eastAsia="ru-RU"/>
        </w:rPr>
        <w:t>: м. Кропивницький, вул. Велика Перспективна, 33.</w:t>
      </w:r>
    </w:p>
    <w:p w:rsidR="00AF1B7C" w:rsidRDefault="00AF1B7C" w:rsidP="00AF1B7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AF1B7C" w:rsidRPr="00023053" w:rsidTr="00E82527">
        <w:trPr>
          <w:trHeight w:val="1727"/>
        </w:trPr>
        <w:tc>
          <w:tcPr>
            <w:tcW w:w="9639" w:type="dxa"/>
            <w:hideMark/>
          </w:tcPr>
          <w:p w:rsidR="00AF1B7C" w:rsidRDefault="00AF1B7C" w:rsidP="00E82527">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AF1B7C" w:rsidRDefault="00AF1B7C" w:rsidP="00E82527">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 2</w:t>
            </w:r>
            <w:r>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травня</w:t>
            </w:r>
            <w:r>
              <w:rPr>
                <w:rFonts w:ascii="Times New Roman" w:hAnsi="Times New Roman"/>
                <w:color w:val="000000" w:themeColor="text1"/>
                <w:sz w:val="28"/>
                <w:szCs w:val="28"/>
                <w:lang w:eastAsia="ru-RU"/>
              </w:rPr>
              <w:t xml:space="preserve">                   2025 </w:t>
            </w:r>
            <w:r>
              <w:rPr>
                <w:rFonts w:ascii="Times New Roman" w:hAnsi="Times New Roman"/>
                <w:sz w:val="28"/>
                <w:szCs w:val="28"/>
                <w:lang w:eastAsia="ru-RU"/>
              </w:rPr>
              <w:t>року з 08.00. </w:t>
            </w:r>
          </w:p>
          <w:p w:rsidR="00AF1B7C" w:rsidRDefault="00AF1B7C" w:rsidP="00E82527">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5" w:type="dxa"/>
              <w:tblLayout w:type="fixed"/>
              <w:tblLook w:val="04A0" w:firstRow="1" w:lastRow="0" w:firstColumn="1" w:lastColumn="0" w:noHBand="0" w:noVBand="1"/>
            </w:tblPr>
            <w:tblGrid>
              <w:gridCol w:w="108"/>
              <w:gridCol w:w="3899"/>
              <w:gridCol w:w="108"/>
              <w:gridCol w:w="24"/>
              <w:gridCol w:w="5248"/>
              <w:gridCol w:w="108"/>
            </w:tblGrid>
            <w:tr w:rsidR="00AF1B7C" w:rsidTr="00E82527">
              <w:trPr>
                <w:gridBefore w:val="1"/>
                <w:wBefore w:w="108" w:type="dxa"/>
                <w:trHeight w:val="408"/>
              </w:trPr>
              <w:tc>
                <w:tcPr>
                  <w:tcW w:w="9390" w:type="dxa"/>
                  <w:gridSpan w:val="5"/>
                </w:tcPr>
                <w:p w:rsidR="00AF1B7C" w:rsidRDefault="00AF1B7C" w:rsidP="00E82527">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AF1B7C" w:rsidRDefault="00AF1B7C" w:rsidP="00E82527">
                  <w:pPr>
                    <w:spacing w:after="0" w:line="240" w:lineRule="auto"/>
                    <w:jc w:val="center"/>
                    <w:rPr>
                      <w:rFonts w:ascii="Times New Roman" w:hAnsi="Times New Roman"/>
                      <w:b/>
                      <w:sz w:val="28"/>
                      <w:szCs w:val="28"/>
                      <w:lang w:val="ru-RU" w:eastAsia="ru-RU"/>
                    </w:rPr>
                  </w:pPr>
                </w:p>
                <w:p w:rsidR="00AF1B7C" w:rsidRDefault="00AF1B7C" w:rsidP="00E8252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AF1B7C" w:rsidTr="00E82527">
              <w:trPr>
                <w:gridBefore w:val="1"/>
                <w:wBefore w:w="108" w:type="dxa"/>
                <w:trHeight w:val="408"/>
              </w:trPr>
              <w:tc>
                <w:tcPr>
                  <w:tcW w:w="9390" w:type="dxa"/>
                  <w:gridSpan w:val="5"/>
                </w:tcPr>
                <w:p w:rsidR="00AF1B7C" w:rsidRDefault="00AF1B7C" w:rsidP="00E82527">
                  <w:pPr>
                    <w:spacing w:after="0" w:line="240" w:lineRule="auto"/>
                    <w:jc w:val="center"/>
                    <w:rPr>
                      <w:rFonts w:ascii="Times New Roman" w:hAnsi="Times New Roman"/>
                      <w:b/>
                      <w:sz w:val="28"/>
                      <w:szCs w:val="28"/>
                      <w:lang w:eastAsia="ru-RU"/>
                    </w:rPr>
                  </w:pPr>
                </w:p>
              </w:tc>
            </w:tr>
            <w:tr w:rsidR="00AF1B7C" w:rsidTr="00E82527">
              <w:trPr>
                <w:gridBefore w:val="1"/>
                <w:wBefore w:w="108" w:type="dxa"/>
                <w:trHeight w:val="515"/>
              </w:trPr>
              <w:tc>
                <w:tcPr>
                  <w:tcW w:w="4032" w:type="dxa"/>
                  <w:gridSpan w:val="3"/>
                  <w:hideMark/>
                </w:tcPr>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hideMark/>
                </w:tcPr>
                <w:p w:rsidR="00AF1B7C" w:rsidRDefault="00AF1B7C" w:rsidP="00E8252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Повна загальна середня освіта.</w:t>
                  </w:r>
                </w:p>
              </w:tc>
            </w:tr>
            <w:tr w:rsidR="00AF1B7C" w:rsidTr="00E82527">
              <w:trPr>
                <w:gridBefore w:val="1"/>
                <w:wBefore w:w="108" w:type="dxa"/>
                <w:trHeight w:val="408"/>
              </w:trPr>
              <w:tc>
                <w:tcPr>
                  <w:tcW w:w="4032" w:type="dxa"/>
                  <w:gridSpan w:val="3"/>
                  <w:hideMark/>
                </w:tcPr>
                <w:p w:rsidR="00AF1B7C" w:rsidRDefault="00AF1B7C" w:rsidP="00E8252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rsidR="00AF1B7C" w:rsidRPr="0081546C" w:rsidRDefault="00AF1B7C" w:rsidP="00E82527">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81546C">
                    <w:rPr>
                      <w:rFonts w:ascii="Times New Roman" w:hAnsi="Times New Roman"/>
                      <w:b/>
                      <w:sz w:val="28"/>
                      <w:szCs w:val="28"/>
                      <w:lang w:eastAsia="ru-RU"/>
                    </w:rPr>
                    <w:t>- не менше ніж 1 рік.</w:t>
                  </w:r>
                </w:p>
                <w:p w:rsidR="00AF1B7C" w:rsidRDefault="00AF1B7C" w:rsidP="00E82527">
                  <w:pPr>
                    <w:spacing w:after="0" w:line="240" w:lineRule="auto"/>
                    <w:jc w:val="both"/>
                    <w:rPr>
                      <w:rFonts w:ascii="Times New Roman" w:hAnsi="Times New Roman"/>
                      <w:sz w:val="28"/>
                      <w:szCs w:val="28"/>
                      <w:lang w:eastAsia="ru-RU"/>
                    </w:rPr>
                  </w:pPr>
                </w:p>
              </w:tc>
            </w:tr>
            <w:tr w:rsidR="00AF1B7C" w:rsidRPr="00023053" w:rsidTr="00E82527">
              <w:trPr>
                <w:gridBefore w:val="1"/>
                <w:wBefore w:w="108" w:type="dxa"/>
                <w:trHeight w:val="408"/>
              </w:trPr>
              <w:tc>
                <w:tcPr>
                  <w:tcW w:w="4032" w:type="dxa"/>
                  <w:gridSpan w:val="3"/>
                  <w:hideMark/>
                </w:tcPr>
                <w:p w:rsidR="00AF1B7C" w:rsidRDefault="00AF1B7C" w:rsidP="00E82527">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rsidR="00AF1B7C" w:rsidRDefault="00AF1B7C" w:rsidP="00E82527">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r>
            <w:tr w:rsidR="00AF1B7C" w:rsidTr="00E82527">
              <w:trPr>
                <w:gridBefore w:val="1"/>
                <w:wBefore w:w="108" w:type="dxa"/>
                <w:trHeight w:val="408"/>
              </w:trPr>
              <w:tc>
                <w:tcPr>
                  <w:tcW w:w="9390" w:type="dxa"/>
                  <w:gridSpan w:val="5"/>
                </w:tcPr>
                <w:p w:rsidR="00AF1B7C" w:rsidRDefault="00AF1B7C" w:rsidP="00E82527">
                  <w:pPr>
                    <w:shd w:val="clear" w:color="auto" w:fill="FFFFFF"/>
                    <w:spacing w:after="0" w:line="240" w:lineRule="auto"/>
                    <w:jc w:val="center"/>
                    <w:rPr>
                      <w:rFonts w:ascii="Times New Roman" w:hAnsi="Times New Roman"/>
                      <w:b/>
                      <w:sz w:val="28"/>
                      <w:szCs w:val="28"/>
                      <w:lang w:eastAsia="ru-RU"/>
                    </w:rPr>
                  </w:pPr>
                </w:p>
                <w:p w:rsidR="00AF1B7C" w:rsidRDefault="00AF1B7C" w:rsidP="00E82527">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AF1B7C" w:rsidRDefault="00AF1B7C" w:rsidP="00E82527">
                  <w:pPr>
                    <w:shd w:val="clear" w:color="auto" w:fill="FFFFFF"/>
                    <w:spacing w:after="0" w:line="240" w:lineRule="auto"/>
                    <w:jc w:val="center"/>
                    <w:rPr>
                      <w:rFonts w:ascii="Times New Roman" w:hAnsi="Times New Roman"/>
                      <w:b/>
                      <w:sz w:val="28"/>
                      <w:szCs w:val="28"/>
                      <w:lang w:eastAsia="ru-RU"/>
                    </w:rPr>
                  </w:pPr>
                </w:p>
              </w:tc>
            </w:tr>
            <w:tr w:rsidR="00AF1B7C" w:rsidTr="00E82527">
              <w:trPr>
                <w:gridBefore w:val="1"/>
                <w:wBefore w:w="108" w:type="dxa"/>
                <w:trHeight w:val="408"/>
              </w:trPr>
              <w:tc>
                <w:tcPr>
                  <w:tcW w:w="4008" w:type="dxa"/>
                  <w:gridSpan w:val="2"/>
                  <w:hideMark/>
                </w:tcPr>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AF1B7C" w:rsidRDefault="00AF1B7C" w:rsidP="00E82527">
                  <w:pPr>
                    <w:spacing w:after="0" w:line="240" w:lineRule="auto"/>
                    <w:rPr>
                      <w:rFonts w:ascii="Times New Roman" w:hAnsi="Times New Roman"/>
                      <w:sz w:val="28"/>
                      <w:szCs w:val="28"/>
                      <w:lang w:eastAsia="ru-RU"/>
                    </w:rPr>
                  </w:pPr>
                </w:p>
              </w:tc>
            </w:tr>
            <w:tr w:rsidR="00AF1B7C" w:rsidTr="00E82527">
              <w:trPr>
                <w:gridBefore w:val="1"/>
                <w:wBefore w:w="108" w:type="dxa"/>
                <w:trHeight w:val="408"/>
              </w:trPr>
              <w:tc>
                <w:tcPr>
                  <w:tcW w:w="4008" w:type="dxa"/>
                  <w:gridSpan w:val="2"/>
                  <w:hideMark/>
                </w:tcPr>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2. Вміння працювати в колективі</w:t>
                  </w:r>
                </w:p>
              </w:tc>
              <w:tc>
                <w:tcPr>
                  <w:tcW w:w="5382" w:type="dxa"/>
                  <w:gridSpan w:val="3"/>
                  <w:shd w:val="clear" w:color="auto" w:fill="FFFFFF"/>
                  <w:hideMark/>
                </w:tcPr>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AF1B7C" w:rsidTr="00E82527">
              <w:trPr>
                <w:gridBefore w:val="1"/>
                <w:wBefore w:w="108" w:type="dxa"/>
                <w:trHeight w:val="408"/>
              </w:trPr>
              <w:tc>
                <w:tcPr>
                  <w:tcW w:w="4008" w:type="dxa"/>
                  <w:gridSpan w:val="2"/>
                  <w:hideMark/>
                </w:tcPr>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382" w:type="dxa"/>
                  <w:gridSpan w:val="3"/>
                  <w:shd w:val="clear" w:color="auto" w:fill="FFFFFF"/>
                </w:tcPr>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AF1B7C" w:rsidRDefault="00AF1B7C" w:rsidP="00E82527">
                  <w:pPr>
                    <w:spacing w:after="0" w:line="240" w:lineRule="auto"/>
                    <w:rPr>
                      <w:rFonts w:ascii="Times New Roman" w:hAnsi="Times New Roman"/>
                      <w:sz w:val="28"/>
                      <w:szCs w:val="28"/>
                      <w:lang w:eastAsia="ru-RU"/>
                    </w:rPr>
                  </w:pPr>
                </w:p>
              </w:tc>
            </w:tr>
            <w:tr w:rsidR="00AF1B7C" w:rsidTr="00E82527">
              <w:trPr>
                <w:gridBefore w:val="1"/>
                <w:wBefore w:w="108" w:type="dxa"/>
                <w:trHeight w:val="408"/>
              </w:trPr>
              <w:tc>
                <w:tcPr>
                  <w:tcW w:w="4008" w:type="dxa"/>
                  <w:gridSpan w:val="2"/>
                  <w:hideMark/>
                </w:tcPr>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hideMark/>
                </w:tcPr>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tc>
            </w:tr>
            <w:tr w:rsidR="00AF1B7C" w:rsidTr="00E82527">
              <w:trPr>
                <w:gridAfter w:val="1"/>
                <w:wAfter w:w="108" w:type="dxa"/>
                <w:trHeight w:val="408"/>
              </w:trPr>
              <w:tc>
                <w:tcPr>
                  <w:tcW w:w="9390" w:type="dxa"/>
                  <w:gridSpan w:val="5"/>
                </w:tcPr>
                <w:p w:rsidR="00AF1B7C" w:rsidRDefault="00AF1B7C" w:rsidP="00E82527">
                  <w:pPr>
                    <w:spacing w:after="0" w:line="240" w:lineRule="auto"/>
                    <w:jc w:val="center"/>
                    <w:rPr>
                      <w:rFonts w:ascii="Times New Roman" w:hAnsi="Times New Roman"/>
                      <w:b/>
                      <w:sz w:val="28"/>
                      <w:szCs w:val="28"/>
                      <w:lang w:eastAsia="ru-RU"/>
                    </w:rPr>
                  </w:pPr>
                </w:p>
                <w:p w:rsidR="00AF1B7C" w:rsidRDefault="00AF1B7C" w:rsidP="00E8252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AF1B7C" w:rsidRPr="00023053" w:rsidTr="00E82527">
              <w:trPr>
                <w:gridAfter w:val="1"/>
                <w:wAfter w:w="108" w:type="dxa"/>
                <w:trHeight w:val="408"/>
              </w:trPr>
              <w:tc>
                <w:tcPr>
                  <w:tcW w:w="4008" w:type="dxa"/>
                  <w:gridSpan w:val="2"/>
                  <w:hideMark/>
                </w:tcPr>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rsidR="00AF1B7C" w:rsidRDefault="00AF1B7C" w:rsidP="00E82527">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F1B7C" w:rsidRDefault="00AF1B7C" w:rsidP="00E82527">
                  <w:pPr>
                    <w:spacing w:after="0" w:line="240" w:lineRule="auto"/>
                    <w:jc w:val="both"/>
                    <w:rPr>
                      <w:rFonts w:ascii="Times New Roman" w:hAnsi="Times New Roman"/>
                      <w:sz w:val="28"/>
                      <w:szCs w:val="28"/>
                      <w:lang w:eastAsia="ru-RU"/>
                    </w:rPr>
                  </w:pPr>
                </w:p>
              </w:tc>
            </w:tr>
          </w:tbl>
          <w:p w:rsidR="00AF1B7C" w:rsidRDefault="00AF1B7C" w:rsidP="00E82527">
            <w:pPr>
              <w:spacing w:after="0" w:line="240" w:lineRule="auto"/>
              <w:ind w:firstLine="462"/>
              <w:jc w:val="both"/>
              <w:rPr>
                <w:rFonts w:ascii="Times New Roman" w:hAnsi="Times New Roman"/>
                <w:sz w:val="28"/>
                <w:szCs w:val="28"/>
                <w:lang w:eastAsia="ru-RU"/>
              </w:rPr>
            </w:pPr>
          </w:p>
        </w:tc>
      </w:tr>
    </w:tbl>
    <w:p w:rsidR="00AF1B7C" w:rsidRDefault="00AF1B7C" w:rsidP="00AF1B7C">
      <w:pPr>
        <w:spacing w:after="0" w:line="240" w:lineRule="auto"/>
        <w:rPr>
          <w:rFonts w:ascii="Times New Roman" w:hAnsi="Times New Roman"/>
          <w:sz w:val="28"/>
          <w:szCs w:val="28"/>
        </w:rPr>
      </w:pPr>
    </w:p>
    <w:p w:rsidR="00AF1B7C" w:rsidRPr="0095350E" w:rsidRDefault="00AF1B7C" w:rsidP="00AF1B7C">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r>
        <w:rPr>
          <w:rFonts w:ascii="Times New Roman" w:hAnsi="Times New Roman"/>
          <w:sz w:val="28"/>
          <w:szCs w:val="28"/>
        </w:rPr>
        <w:t>а</w:t>
      </w:r>
      <w:proofErr w:type="spellEnd"/>
      <w:r w:rsidRPr="0095350E">
        <w:rPr>
          <w:rFonts w:ascii="Times New Roman" w:hAnsi="Times New Roman"/>
          <w:sz w:val="28"/>
          <w:szCs w:val="28"/>
        </w:rPr>
        <w:t xml:space="preserve"> відділу по роботі з </w:t>
      </w:r>
    </w:p>
    <w:p w:rsidR="00AF1B7C" w:rsidRPr="0095350E" w:rsidRDefault="00AF1B7C" w:rsidP="00AF1B7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AF1B7C" w:rsidRDefault="00AF1B7C" w:rsidP="00AF1B7C">
      <w:pPr>
        <w:spacing w:after="0" w:line="240" w:lineRule="auto"/>
        <w:rPr>
          <w:rFonts w:ascii="Times New Roman" w:hAnsi="Times New Roman"/>
          <w:b/>
          <w:sz w:val="28"/>
          <w:szCs w:val="28"/>
        </w:rPr>
      </w:pPr>
      <w:r>
        <w:rPr>
          <w:rFonts w:ascii="Times New Roman" w:hAnsi="Times New Roman"/>
          <w:sz w:val="28"/>
          <w:szCs w:val="28"/>
        </w:rPr>
        <w:t>старший лейтенант</w:t>
      </w:r>
      <w:r>
        <w:rPr>
          <w:rFonts w:ascii="Times New Roman" w:hAnsi="Times New Roman"/>
          <w:sz w:val="28"/>
          <w:szCs w:val="28"/>
        </w:rPr>
        <w:t xml:space="preserve">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 xml:space="preserve">Анастасія  </w:t>
      </w:r>
      <w:r>
        <w:rPr>
          <w:rFonts w:ascii="Times New Roman" w:hAnsi="Times New Roman"/>
          <w:b/>
          <w:sz w:val="28"/>
          <w:szCs w:val="28"/>
        </w:rPr>
        <w:t>ЯКОВЛЄВА</w:t>
      </w:r>
    </w:p>
    <w:p w:rsidR="00AF1B7C" w:rsidRDefault="00AF1B7C" w:rsidP="00AF1B7C">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AF1B7C" w:rsidRDefault="00AF1B7C" w:rsidP="00572C22">
      <w:pPr>
        <w:tabs>
          <w:tab w:val="left" w:pos="4536"/>
        </w:tabs>
        <w:spacing w:before="120"/>
        <w:ind w:left="5812"/>
        <w:contextualSpacing/>
        <w:rPr>
          <w:rFonts w:ascii="Times New Roman" w:hAnsi="Times New Roman"/>
          <w:sz w:val="28"/>
          <w:szCs w:val="28"/>
        </w:rPr>
      </w:pPr>
    </w:p>
    <w:p w:rsidR="00AF1B7C" w:rsidRDefault="00AF1B7C" w:rsidP="00572C22">
      <w:pPr>
        <w:tabs>
          <w:tab w:val="left" w:pos="4536"/>
        </w:tabs>
        <w:spacing w:before="120"/>
        <w:ind w:left="5812"/>
        <w:contextualSpacing/>
        <w:rPr>
          <w:rFonts w:ascii="Times New Roman" w:hAnsi="Times New Roman"/>
          <w:sz w:val="28"/>
          <w:szCs w:val="28"/>
        </w:rPr>
      </w:pPr>
    </w:p>
    <w:p w:rsidR="00AF1B7C" w:rsidRDefault="00AF1B7C" w:rsidP="00572C22">
      <w:pPr>
        <w:tabs>
          <w:tab w:val="left" w:pos="4536"/>
        </w:tabs>
        <w:spacing w:before="120"/>
        <w:ind w:left="5812"/>
        <w:contextualSpacing/>
        <w:rPr>
          <w:rFonts w:ascii="Times New Roman" w:hAnsi="Times New Roman"/>
          <w:sz w:val="28"/>
          <w:szCs w:val="28"/>
        </w:rPr>
      </w:pPr>
    </w:p>
    <w:p w:rsidR="00AF1B7C" w:rsidRDefault="00AF1B7C" w:rsidP="00572C22">
      <w:pPr>
        <w:tabs>
          <w:tab w:val="left" w:pos="4536"/>
        </w:tabs>
        <w:spacing w:before="120"/>
        <w:ind w:left="5812"/>
        <w:contextualSpacing/>
        <w:rPr>
          <w:rFonts w:ascii="Times New Roman" w:hAnsi="Times New Roman"/>
          <w:sz w:val="28"/>
          <w:szCs w:val="28"/>
        </w:rPr>
      </w:pPr>
    </w:p>
    <w:p w:rsidR="00AF1B7C" w:rsidRDefault="00AF1B7C" w:rsidP="00572C22">
      <w:pPr>
        <w:tabs>
          <w:tab w:val="left" w:pos="4536"/>
        </w:tabs>
        <w:spacing w:before="120"/>
        <w:ind w:left="5812"/>
        <w:contextualSpacing/>
        <w:rPr>
          <w:rFonts w:ascii="Times New Roman" w:hAnsi="Times New Roman"/>
          <w:sz w:val="28"/>
          <w:szCs w:val="28"/>
        </w:rPr>
      </w:pPr>
    </w:p>
    <w:p w:rsidR="00AF1B7C" w:rsidRDefault="00AF1B7C"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AF1B7C">
        <w:rPr>
          <w:rFonts w:ascii="Times New Roman" w:hAnsi="Times New Roman"/>
          <w:color w:val="000000" w:themeColor="text1"/>
          <w:sz w:val="28"/>
          <w:szCs w:val="28"/>
          <w:lang w:eastAsia="ru-RU"/>
        </w:rPr>
        <w:t>06</w:t>
      </w:r>
      <w:r w:rsidR="00BA3882">
        <w:rPr>
          <w:rFonts w:ascii="Times New Roman" w:hAnsi="Times New Roman"/>
          <w:color w:val="000000" w:themeColor="text1"/>
          <w:sz w:val="28"/>
          <w:szCs w:val="28"/>
          <w:lang w:eastAsia="ru-RU"/>
        </w:rPr>
        <w:t xml:space="preserve"> </w:t>
      </w:r>
      <w:r w:rsidR="00AF1B7C">
        <w:rPr>
          <w:rFonts w:ascii="Times New Roman" w:hAnsi="Times New Roman"/>
          <w:color w:val="000000" w:themeColor="text1"/>
          <w:sz w:val="28"/>
          <w:szCs w:val="28"/>
          <w:lang w:eastAsia="ru-RU"/>
        </w:rPr>
        <w:t>травня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880A7D">
        <w:rPr>
          <w:rFonts w:ascii="Times New Roman" w:hAnsi="Times New Roman"/>
          <w:color w:val="000000" w:themeColor="text1"/>
          <w:sz w:val="28"/>
          <w:szCs w:val="28"/>
          <w:lang w:eastAsia="ru-RU"/>
        </w:rPr>
        <w:t>2</w:t>
      </w:r>
      <w:r w:rsidR="00AF1B7C">
        <w:rPr>
          <w:rFonts w:ascii="Times New Roman" w:hAnsi="Times New Roman"/>
          <w:color w:val="000000" w:themeColor="text1"/>
          <w:sz w:val="28"/>
          <w:szCs w:val="28"/>
          <w:lang w:eastAsia="ru-RU"/>
        </w:rPr>
        <w:t>1</w:t>
      </w:r>
      <w:r w:rsidR="002F108A">
        <w:rPr>
          <w:rFonts w:ascii="Times New Roman" w:hAnsi="Times New Roman"/>
          <w:color w:val="000000" w:themeColor="text1"/>
          <w:sz w:val="28"/>
          <w:szCs w:val="28"/>
          <w:lang w:eastAsia="ru-RU"/>
        </w:rPr>
        <w:t xml:space="preserve"> </w:t>
      </w:r>
      <w:r w:rsidR="00AF1B7C">
        <w:rPr>
          <w:rFonts w:ascii="Times New Roman" w:hAnsi="Times New Roman"/>
          <w:color w:val="000000" w:themeColor="text1"/>
          <w:sz w:val="28"/>
          <w:szCs w:val="28"/>
          <w:lang w:eastAsia="ru-RU"/>
        </w:rPr>
        <w:t>травня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r w:rsidR="00880A7D">
        <w:rPr>
          <w:rFonts w:ascii="Times New Roman" w:hAnsi="Times New Roman"/>
          <w:color w:val="000000" w:themeColor="text1"/>
          <w:sz w:val="28"/>
          <w:szCs w:val="28"/>
          <w:lang w:eastAsia="ru-RU"/>
        </w:rPr>
        <w:t xml:space="preserve">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AF1B7C">
              <w:rPr>
                <w:rFonts w:ascii="Times New Roman" w:hAnsi="Times New Roman"/>
                <w:color w:val="000000" w:themeColor="text1"/>
                <w:sz w:val="28"/>
                <w:szCs w:val="28"/>
                <w:lang w:eastAsia="ru-RU"/>
              </w:rPr>
              <w:t>23</w:t>
            </w:r>
            <w:r w:rsidR="00BA3882">
              <w:rPr>
                <w:rFonts w:ascii="Times New Roman" w:hAnsi="Times New Roman"/>
                <w:color w:val="000000" w:themeColor="text1"/>
                <w:sz w:val="28"/>
                <w:szCs w:val="28"/>
                <w:lang w:eastAsia="ru-RU"/>
              </w:rPr>
              <w:t xml:space="preserve"> </w:t>
            </w:r>
            <w:r w:rsidR="00880A7D">
              <w:rPr>
                <w:rFonts w:ascii="Times New Roman" w:hAnsi="Times New Roman"/>
                <w:color w:val="000000" w:themeColor="text1"/>
                <w:sz w:val="28"/>
                <w:szCs w:val="28"/>
                <w:lang w:eastAsia="ru-RU"/>
              </w:rPr>
              <w:t>травня</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7"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AF1B7C" w:rsidRPr="0095350E" w:rsidRDefault="00AF1B7C" w:rsidP="00AF1B7C">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r>
        <w:rPr>
          <w:rFonts w:ascii="Times New Roman" w:hAnsi="Times New Roman"/>
          <w:sz w:val="28"/>
          <w:szCs w:val="28"/>
        </w:rPr>
        <w:t>а</w:t>
      </w:r>
      <w:proofErr w:type="spellEnd"/>
      <w:r w:rsidRPr="0095350E">
        <w:rPr>
          <w:rFonts w:ascii="Times New Roman" w:hAnsi="Times New Roman"/>
          <w:sz w:val="28"/>
          <w:szCs w:val="28"/>
        </w:rPr>
        <w:t xml:space="preserve"> відділу по роботі з </w:t>
      </w:r>
    </w:p>
    <w:p w:rsidR="00AF1B7C" w:rsidRPr="0095350E" w:rsidRDefault="00AF1B7C" w:rsidP="00AF1B7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AF1B7C" w:rsidRDefault="00AF1B7C" w:rsidP="00AF1B7C">
      <w:pPr>
        <w:spacing w:after="0" w:line="240" w:lineRule="auto"/>
        <w:rPr>
          <w:rFonts w:ascii="Times New Roman" w:hAnsi="Times New Roman"/>
          <w:b/>
          <w:sz w:val="28"/>
          <w:szCs w:val="28"/>
        </w:rPr>
      </w:pPr>
      <w:r>
        <w:rPr>
          <w:rFonts w:ascii="Times New Roman" w:hAnsi="Times New Roman"/>
          <w:sz w:val="28"/>
          <w:szCs w:val="28"/>
        </w:rPr>
        <w:t xml:space="preserve">старший лейтенант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ЯКОВЛЄВА</w:t>
      </w:r>
    </w:p>
    <w:p w:rsidR="0081546C" w:rsidRDefault="0081546C" w:rsidP="0081546C">
      <w:pPr>
        <w:spacing w:after="0" w:line="240" w:lineRule="auto"/>
        <w:rPr>
          <w:rFonts w:ascii="Times New Roman" w:hAnsi="Times New Roman"/>
          <w:b/>
          <w:sz w:val="28"/>
          <w:szCs w:val="28"/>
        </w:rPr>
      </w:pP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bookmarkStart w:id="0" w:name="_GoBack"/>
      <w:bookmarkEnd w:id="0"/>
    </w:p>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08A"/>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0A7D"/>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658DF"/>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1B7C"/>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3882"/>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9713"/>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7FD67-506A-41BD-970F-63DD3B57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2145</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31</cp:revision>
  <cp:lastPrinted>2021-07-26T11:17:00Z</cp:lastPrinted>
  <dcterms:created xsi:type="dcterms:W3CDTF">2023-12-27T07:14:00Z</dcterms:created>
  <dcterms:modified xsi:type="dcterms:W3CDTF">2025-05-05T07:07:00Z</dcterms:modified>
</cp:coreProperties>
</file>