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B1" w:rsidRPr="00055E72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5E72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A62BB1" w:rsidRPr="000E1955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___.</w:t>
      </w:r>
      <w:r w:rsidR="00FD394A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055E72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88347B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____</w:t>
      </w:r>
    </w:p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BB1" w:rsidRPr="00091B9B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1B9B">
        <w:rPr>
          <w:rFonts w:ascii="Times New Roman" w:hAnsi="Times New Roman"/>
          <w:b/>
          <w:sz w:val="32"/>
          <w:szCs w:val="32"/>
        </w:rPr>
        <w:t>УМОВИ</w:t>
      </w:r>
    </w:p>
    <w:p w:rsidR="00A62BB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 w:rsidR="00B25ACB">
        <w:rPr>
          <w:rFonts w:ascii="Times New Roman" w:hAnsi="Times New Roman"/>
          <w:b/>
          <w:sz w:val="28"/>
          <w:szCs w:val="28"/>
        </w:rPr>
        <w:t>их</w:t>
      </w:r>
      <w:r w:rsidRPr="00EB65CD">
        <w:rPr>
          <w:rFonts w:ascii="Times New Roman" w:hAnsi="Times New Roman"/>
          <w:b/>
          <w:sz w:val="28"/>
          <w:szCs w:val="28"/>
        </w:rPr>
        <w:t xml:space="preserve"> посад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контролера І категорії відділення взводу охорони підрозді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лу охорони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територіаль</w:t>
      </w:r>
      <w:bookmarkStart w:id="0" w:name="_GoBack"/>
      <w:bookmarkEnd w:id="0"/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ного управління Служби судової охорони у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Дніпропетровській області</w:t>
      </w:r>
    </w:p>
    <w:p w:rsidR="00A62BB1" w:rsidRPr="00E80D3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(</w:t>
      </w:r>
      <w:r w:rsidR="0099787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посад</w:t>
      </w:r>
      <w:r w:rsidR="0099787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молодшого складу)</w:t>
      </w:r>
    </w:p>
    <w:p w:rsidR="00A62BB1" w:rsidRPr="00EB65CD" w:rsidRDefault="00A62BB1" w:rsidP="00A62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BB1" w:rsidRPr="003C7DF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>Загальні умови.</w:t>
      </w:r>
    </w:p>
    <w:p w:rsidR="00A62BB1" w:rsidRPr="003C7DF1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bookmarkStart w:id="1" w:name="_Hlk60045494"/>
      <w:r w:rsidRPr="003C7DF1">
        <w:rPr>
          <w:rFonts w:ascii="Times New Roman" w:hAnsi="Times New Roman"/>
          <w:b/>
          <w:bCs/>
          <w:sz w:val="28"/>
        </w:rPr>
        <w:t xml:space="preserve">контролера І категорії </w:t>
      </w:r>
      <w:r w:rsidRPr="003C7D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 Дніпропетровській області</w:t>
      </w:r>
      <w:bookmarkEnd w:id="1"/>
      <w:r w:rsidRPr="003C7DF1">
        <w:rPr>
          <w:rFonts w:ascii="Times New Roman" w:hAnsi="Times New Roman"/>
          <w:b/>
          <w:sz w:val="28"/>
          <w:szCs w:val="28"/>
        </w:rPr>
        <w:t>: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1) здійснює завдання по забезпеченню охорони судів, органів та установ системи правосуддя;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2) 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4) вживає заходи з охорони, забезпечення недоторка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правосуддя.</w:t>
      </w:r>
    </w:p>
    <w:p w:rsidR="00A62BB1" w:rsidRPr="00FD394A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62BB1" w:rsidRPr="00E463A5" w:rsidRDefault="00A62BB1" w:rsidP="00A62BB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A62BB1" w:rsidRPr="00E463A5" w:rsidTr="00BD1C2E">
        <w:trPr>
          <w:trHeight w:val="408"/>
        </w:trPr>
        <w:tc>
          <w:tcPr>
            <w:tcW w:w="9768" w:type="dxa"/>
          </w:tcPr>
          <w:p w:rsidR="00A62BB1" w:rsidRPr="00E463A5" w:rsidRDefault="00A62BB1" w:rsidP="00BD1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 xml:space="preserve">відповідно до постанови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Кабінету Міністрів України від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A62BB1" w:rsidRPr="00CD0B02" w:rsidTr="00BD1C2E">
        <w:trPr>
          <w:trHeight w:val="408"/>
        </w:trPr>
        <w:tc>
          <w:tcPr>
            <w:tcW w:w="9768" w:type="dxa"/>
          </w:tcPr>
          <w:p w:rsidR="00A62BB1" w:rsidRPr="003603CE" w:rsidRDefault="00A62BB1" w:rsidP="00BD1C2E">
            <w:pPr>
              <w:shd w:val="clear" w:color="auto" w:fill="FFFFFF"/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lastRenderedPageBreak/>
        <w:t>3. Інформація про строковість чи безстроковість призначення на посаду: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A62BB1" w:rsidRPr="00FD394A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6"/>
          <w:szCs w:val="6"/>
        </w:rPr>
      </w:pP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>я</w:t>
      </w:r>
      <w:r w:rsidRPr="00EB65CD">
        <w:rPr>
          <w:rFonts w:ascii="Times New Roman" w:hAnsi="Times New Roman"/>
          <w:sz w:val="28"/>
        </w:rPr>
        <w:t xml:space="preserve"> (копії) документа (документів) про освіту;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5) декларація, визначена Законом України «Про запобігання корупції» (</w:t>
      </w:r>
      <w:r w:rsidR="00CB434E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CB434E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812ACD">
        <w:rPr>
          <w:rFonts w:ascii="Times New Roman" w:hAnsi="Times New Roman"/>
          <w:sz w:val="28"/>
        </w:rPr>
        <w:t>7) медична</w:t>
      </w:r>
      <w:r w:rsidRPr="00EB65CD">
        <w:rPr>
          <w:rFonts w:ascii="Times New Roman" w:hAnsi="Times New Roman"/>
          <w:sz w:val="28"/>
        </w:rPr>
        <w:t xml:space="preserve">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навантажень;</w:t>
      </w:r>
    </w:p>
    <w:p w:rsid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141D28" w:rsidRPr="00141D28">
        <w:rPr>
          <w:rFonts w:ascii="Times New Roman" w:hAnsi="Times New Roman"/>
          <w:sz w:val="28"/>
          <w:szCs w:val="28"/>
        </w:rPr>
        <w:t>копі</w:t>
      </w:r>
      <w:r w:rsidR="00141D28">
        <w:rPr>
          <w:rFonts w:ascii="Times New Roman" w:hAnsi="Times New Roman"/>
          <w:sz w:val="28"/>
          <w:szCs w:val="28"/>
        </w:rPr>
        <w:t>я</w:t>
      </w:r>
      <w:r w:rsidR="00141D28" w:rsidRPr="00141D28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A62BB1" w:rsidRP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D28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62BB1" w:rsidRPr="005C731C" w:rsidRDefault="00A62BB1" w:rsidP="00A62BB1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CB434E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43730966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2BB1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E0F">
        <w:rPr>
          <w:rFonts w:ascii="Times New Roman" w:hAnsi="Times New Roman"/>
          <w:b/>
          <w:sz w:val="28"/>
          <w:szCs w:val="28"/>
        </w:rPr>
        <w:lastRenderedPageBreak/>
        <w:t xml:space="preserve">Документи приймаються з </w:t>
      </w:r>
      <w:r w:rsidR="00055E72">
        <w:rPr>
          <w:rFonts w:ascii="Times New Roman" w:hAnsi="Times New Roman"/>
          <w:b/>
          <w:sz w:val="28"/>
          <w:szCs w:val="28"/>
        </w:rPr>
        <w:t>0</w:t>
      </w:r>
      <w:r w:rsidR="00450A6B">
        <w:rPr>
          <w:rFonts w:ascii="Times New Roman" w:hAnsi="Times New Roman"/>
          <w:b/>
          <w:sz w:val="28"/>
          <w:szCs w:val="28"/>
        </w:rPr>
        <w:t>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="0099787D">
        <w:rPr>
          <w:rFonts w:ascii="Times New Roman" w:hAnsi="Times New Roman"/>
          <w:b/>
          <w:sz w:val="28"/>
          <w:szCs w:val="28"/>
        </w:rPr>
        <w:t xml:space="preserve">по </w:t>
      </w:r>
      <w:r w:rsidR="00055E72">
        <w:rPr>
          <w:rFonts w:ascii="Times New Roman" w:hAnsi="Times New Roman"/>
          <w:b/>
          <w:sz w:val="28"/>
          <w:szCs w:val="28"/>
        </w:rPr>
        <w:t>13</w:t>
      </w:r>
      <w:r w:rsidR="0099787D">
        <w:rPr>
          <w:rFonts w:ascii="Times New Roman" w:hAnsi="Times New Roman"/>
          <w:b/>
          <w:sz w:val="28"/>
          <w:szCs w:val="28"/>
        </w:rPr>
        <w:t xml:space="preserve"> </w:t>
      </w:r>
      <w:r w:rsidR="00055E72">
        <w:rPr>
          <w:rFonts w:ascii="Times New Roman" w:hAnsi="Times New Roman"/>
          <w:b/>
          <w:sz w:val="28"/>
          <w:szCs w:val="28"/>
        </w:rPr>
        <w:t>липня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CB434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</w:t>
      </w:r>
      <w:r w:rsidRPr="00DC7E0F">
        <w:rPr>
          <w:rFonts w:ascii="Times New Roman" w:hAnsi="Times New Roman"/>
          <w:b/>
          <w:sz w:val="28"/>
          <w:szCs w:val="28"/>
        </w:rPr>
        <w:t>Космонавта Волкова</w:t>
      </w:r>
      <w:r>
        <w:rPr>
          <w:rFonts w:ascii="Times New Roman" w:hAnsi="Times New Roman"/>
          <w:b/>
          <w:sz w:val="28"/>
          <w:szCs w:val="28"/>
        </w:rPr>
        <w:t>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CB434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 31</w:t>
      </w:r>
      <w:r w:rsidR="00CB434E">
        <w:rPr>
          <w:rFonts w:ascii="Times New Roman" w:hAnsi="Times New Roman"/>
          <w:b/>
          <w:sz w:val="28"/>
          <w:szCs w:val="28"/>
        </w:rPr>
        <w:t>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192166687"/>
      <w:r w:rsidR="00030B13">
        <w:rPr>
          <w:rFonts w:ascii="Times New Roman" w:hAnsi="Times New Roman"/>
          <w:b/>
          <w:sz w:val="28"/>
          <w:szCs w:val="28"/>
        </w:rPr>
        <w:t>(в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bookmarkEnd w:id="3"/>
    <w:p w:rsidR="00A62BB1" w:rsidRPr="00FD394A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bookmarkEnd w:id="2"/>
    <w:p w:rsidR="00A62BB1" w:rsidRDefault="00A62BB1" w:rsidP="00A62BB1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 </w:t>
      </w:r>
      <w:hyperlink r:id="rId7" w:history="1"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7E74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(цілодобово)</w:t>
      </w:r>
      <w:r w:rsidRPr="00DC7E0F">
        <w:rPr>
          <w:rFonts w:ascii="Times New Roman" w:hAnsi="Times New Roman"/>
          <w:sz w:val="28"/>
        </w:rPr>
        <w:t>.</w:t>
      </w:r>
    </w:p>
    <w:p w:rsidR="00A62BB1" w:rsidRPr="00FD394A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A62BB1" w:rsidRPr="00EB65CD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На </w:t>
      </w:r>
      <w:r w:rsidRPr="00F172F9">
        <w:rPr>
          <w:rFonts w:ascii="Times New Roman" w:hAnsi="Times New Roman"/>
          <w:sz w:val="28"/>
        </w:rPr>
        <w:t xml:space="preserve">контролера І категорії 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EB65CD">
        <w:rPr>
          <w:rFonts w:ascii="Times New Roman" w:hAnsi="Times New Roman"/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5700B1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2BB1" w:rsidRPr="00461860" w:rsidRDefault="00A62BB1" w:rsidP="00BD1C2E">
            <w:pPr>
              <w:spacing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18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A62BB1" w:rsidRPr="00C24C3B" w:rsidRDefault="00A62BB1" w:rsidP="00193195">
            <w:pPr>
              <w:spacing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Леоніда Каденюка (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>Космонавта Волкова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буд. 6 Б, територіальне управління Служби судової охорони у Дніпропетровській області, з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.00 год. </w:t>
            </w:r>
            <w:r w:rsidR="00055E72">
              <w:rPr>
                <w:rFonts w:ascii="Times New Roman" w:eastAsia="Times New Roman" w:hAnsi="Times New Roman"/>
                <w:b/>
                <w:sz w:val="28"/>
                <w:szCs w:val="28"/>
              </w:rPr>
              <w:t>17 липня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2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02</w:t>
            </w:r>
            <w:r w:rsidR="00CB434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</w:tc>
      </w:tr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954EF5" w:rsidRDefault="00A62BB1" w:rsidP="00BD1C2E">
            <w:pPr>
              <w:spacing w:after="0" w:line="257" w:lineRule="auto"/>
              <w:ind w:firstLine="746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6. 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Прізвище, ім’я та по батькові, номер телефону та адреса електронної пошти ос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іб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, як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нада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ють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додаткову інформацію з питань проведення конкурсу: </w:t>
            </w:r>
          </w:p>
          <w:p w:rsidR="00CB434E" w:rsidRDefault="00FD394A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</w:p>
          <w:p w:rsidR="00A62BB1" w:rsidRPr="00461860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461860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hyperlink r:id="rId8" w:history="1"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  <w:p w:rsidR="00A62BB1" w:rsidRPr="00954EF5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2BB1" w:rsidRPr="00EB65CD" w:rsidTr="00BD1C2E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226"/>
              <w:gridCol w:w="6056"/>
              <w:gridCol w:w="108"/>
              <w:gridCol w:w="270"/>
            </w:tblGrid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A62BB1" w:rsidRPr="00EB65CD" w:rsidTr="00CB434E">
              <w:trPr>
                <w:gridBefore w:val="1"/>
                <w:gridAfter w:val="1"/>
                <w:wBefore w:w="108" w:type="dxa"/>
                <w:wAfter w:w="270" w:type="dxa"/>
                <w:trHeight w:val="1206"/>
              </w:trPr>
              <w:tc>
                <w:tcPr>
                  <w:tcW w:w="3226" w:type="dxa"/>
                  <w:hideMark/>
                </w:tcPr>
                <w:p w:rsidR="00A62BB1" w:rsidRPr="00CB434E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  <w:p w:rsidR="00A62BB1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2BB1" w:rsidRPr="00EB65CD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</w:tcPr>
                <w:p w:rsidR="00A62BB1" w:rsidRPr="00954EF5" w:rsidRDefault="00CB434E" w:rsidP="00BD1C2E">
                  <w:pPr>
                    <w:spacing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uk-UA" w:bidi="uk-UA"/>
                    </w:rPr>
                    <w:t>досвід роботи в державних органах влади, органах системи правосуддя, правоохоронних органах чи військових формуваннях – не менше ніж один рік.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ефективного результату діяльності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A62BB1" w:rsidRPr="00EB65CD" w:rsidTr="00461860">
              <w:trPr>
                <w:trHeight w:val="408"/>
              </w:trPr>
              <w:tc>
                <w:tcPr>
                  <w:tcW w:w="333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Забезпечення охорони об’єктів системи правосуддя</w:t>
                  </w:r>
                </w:p>
              </w:tc>
              <w:tc>
                <w:tcPr>
                  <w:tcW w:w="6434" w:type="dxa"/>
                  <w:gridSpan w:val="3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62BB1" w:rsidRPr="00EB65CD" w:rsidTr="00BD1C2E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hideMark/>
                </w:tcPr>
                <w:p w:rsidR="00A62BB1" w:rsidRPr="00EB65CD" w:rsidRDefault="00A62BB1" w:rsidP="00BD1C2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A62BB1" w:rsidRPr="00EB65CD" w:rsidTr="00461860">
              <w:trPr>
                <w:gridAfter w:val="2"/>
                <w:wAfter w:w="378" w:type="dxa"/>
                <w:trHeight w:val="408"/>
              </w:trPr>
              <w:tc>
                <w:tcPr>
                  <w:tcW w:w="3334" w:type="dxa"/>
                  <w:gridSpan w:val="2"/>
                  <w:hideMark/>
                </w:tcPr>
                <w:p w:rsidR="00A62BB1" w:rsidRPr="004668A9" w:rsidRDefault="00A62BB1" w:rsidP="00A62BB1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 w:rsidR="002D09E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Знання законодавства</w:t>
                  </w:r>
                </w:p>
              </w:tc>
              <w:tc>
                <w:tcPr>
                  <w:tcW w:w="6056" w:type="dxa"/>
                </w:tcPr>
                <w:p w:rsidR="00A62BB1" w:rsidRPr="004668A9" w:rsidRDefault="00A62BB1" w:rsidP="00BD1C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A62BB1" w:rsidRPr="00EB65CD" w:rsidRDefault="00A62BB1" w:rsidP="00BD1C2E">
            <w:pPr>
              <w:spacing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 w:rsidP="00A62BB1"/>
    <w:sectPr w:rsidR="002B4910" w:rsidSect="00FD394A">
      <w:headerReference w:type="default" r:id="rId9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173" w:rsidRDefault="00025173" w:rsidP="00A62BB1">
      <w:pPr>
        <w:spacing w:after="0" w:line="240" w:lineRule="auto"/>
      </w:pPr>
      <w:r>
        <w:separator/>
      </w:r>
    </w:p>
  </w:endnote>
  <w:endnote w:type="continuationSeparator" w:id="0">
    <w:p w:rsidR="00025173" w:rsidRDefault="00025173" w:rsidP="00A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173" w:rsidRDefault="00025173" w:rsidP="00A62BB1">
      <w:pPr>
        <w:spacing w:after="0" w:line="240" w:lineRule="auto"/>
      </w:pPr>
      <w:r>
        <w:separator/>
      </w:r>
    </w:p>
  </w:footnote>
  <w:footnote w:type="continuationSeparator" w:id="0">
    <w:p w:rsidR="00025173" w:rsidRDefault="00025173" w:rsidP="00A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950380"/>
      <w:docPartObj>
        <w:docPartGallery w:val="Page Numbers (Top of Page)"/>
        <w:docPartUnique/>
      </w:docPartObj>
    </w:sdtPr>
    <w:sdtEndPr/>
    <w:sdtContent>
      <w:p w:rsidR="00461860" w:rsidRDefault="00461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95" w:rsidRPr="00193195">
          <w:rPr>
            <w:noProof/>
            <w:lang w:val="ru-RU"/>
          </w:rPr>
          <w:t>4</w:t>
        </w:r>
        <w:r>
          <w:fldChar w:fldCharType="end"/>
        </w:r>
      </w:p>
    </w:sdtContent>
  </w:sdt>
  <w:p w:rsidR="00461860" w:rsidRDefault="00461860" w:rsidP="004618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E1"/>
    <w:rsid w:val="00025173"/>
    <w:rsid w:val="00030B13"/>
    <w:rsid w:val="0004279E"/>
    <w:rsid w:val="00043056"/>
    <w:rsid w:val="00055E72"/>
    <w:rsid w:val="000608D4"/>
    <w:rsid w:val="000B5D61"/>
    <w:rsid w:val="00141D28"/>
    <w:rsid w:val="00193195"/>
    <w:rsid w:val="001C4DAC"/>
    <w:rsid w:val="002B4910"/>
    <w:rsid w:val="002D09E5"/>
    <w:rsid w:val="003B4E3B"/>
    <w:rsid w:val="00450570"/>
    <w:rsid w:val="00450A6B"/>
    <w:rsid w:val="00461860"/>
    <w:rsid w:val="004E65BE"/>
    <w:rsid w:val="00604C6F"/>
    <w:rsid w:val="0072045C"/>
    <w:rsid w:val="0088347B"/>
    <w:rsid w:val="008F7F4B"/>
    <w:rsid w:val="00974488"/>
    <w:rsid w:val="0098215A"/>
    <w:rsid w:val="0099787D"/>
    <w:rsid w:val="009F68BE"/>
    <w:rsid w:val="00A62BB1"/>
    <w:rsid w:val="00A67FC5"/>
    <w:rsid w:val="00AD2273"/>
    <w:rsid w:val="00B25ACB"/>
    <w:rsid w:val="00B571FC"/>
    <w:rsid w:val="00C14574"/>
    <w:rsid w:val="00C27628"/>
    <w:rsid w:val="00C82606"/>
    <w:rsid w:val="00CB434E"/>
    <w:rsid w:val="00D05A9F"/>
    <w:rsid w:val="00D162C0"/>
    <w:rsid w:val="00D235D0"/>
    <w:rsid w:val="00E4453C"/>
    <w:rsid w:val="00E56A85"/>
    <w:rsid w:val="00E817E1"/>
    <w:rsid w:val="00F40515"/>
    <w:rsid w:val="00FB00A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111D"/>
  <w15:chartTrackingRefBased/>
  <w15:docId w15:val="{66D7B7FA-9346-43DE-A79F-070D062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6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62B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A62BB1"/>
  </w:style>
  <w:style w:type="character" w:styleId="a4">
    <w:name w:val="Hyperlink"/>
    <w:uiPriority w:val="99"/>
    <w:unhideWhenUsed/>
    <w:rsid w:val="00A62BB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62B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62BB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D09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D0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4887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31</cp:revision>
  <cp:lastPrinted>2024-10-30T21:30:00Z</cp:lastPrinted>
  <dcterms:created xsi:type="dcterms:W3CDTF">2024-07-23T05:00:00Z</dcterms:created>
  <dcterms:modified xsi:type="dcterms:W3CDTF">2025-07-03T10:47:00Z</dcterms:modified>
</cp:coreProperties>
</file>