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0552E479"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C571B4">
        <w:rPr>
          <w:rFonts w:ascii="Times New Roman" w:hAnsi="Times New Roman"/>
          <w:bCs/>
          <w:sz w:val="28"/>
          <w:szCs w:val="28"/>
          <w:bdr w:val="none" w:sz="0" w:space="0" w:color="auto" w:frame="1"/>
          <w:lang w:val="uk-UA" w:eastAsia="uk-UA"/>
        </w:rPr>
        <w:t>25</w:t>
      </w:r>
      <w:r w:rsidR="00990EE5">
        <w:rPr>
          <w:rFonts w:ascii="Times New Roman" w:hAnsi="Times New Roman"/>
          <w:bCs/>
          <w:sz w:val="28"/>
          <w:szCs w:val="28"/>
          <w:bdr w:val="none" w:sz="0" w:space="0" w:color="auto" w:frame="1"/>
          <w:lang w:val="uk-UA" w:eastAsia="uk-UA"/>
        </w:rPr>
        <w:t>.0</w:t>
      </w:r>
      <w:r w:rsidR="0023262A">
        <w:rPr>
          <w:rFonts w:ascii="Times New Roman" w:hAnsi="Times New Roman"/>
          <w:bCs/>
          <w:sz w:val="28"/>
          <w:szCs w:val="28"/>
          <w:bdr w:val="none" w:sz="0" w:space="0" w:color="auto" w:frame="1"/>
          <w:lang w:val="uk-UA" w:eastAsia="uk-UA"/>
        </w:rPr>
        <w:t>5</w:t>
      </w:r>
      <w:r w:rsidR="00990EE5">
        <w:rPr>
          <w:rFonts w:ascii="Times New Roman" w:hAnsi="Times New Roman"/>
          <w:bCs/>
          <w:sz w:val="28"/>
          <w:szCs w:val="28"/>
          <w:bdr w:val="none" w:sz="0" w:space="0" w:color="auto" w:frame="1"/>
          <w:lang w:val="uk-UA" w:eastAsia="uk-UA"/>
        </w:rPr>
        <w:t xml:space="preserve">.2026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C813C7">
        <w:rPr>
          <w:rFonts w:ascii="Times New Roman" w:hAnsi="Times New Roman"/>
          <w:bCs/>
          <w:sz w:val="28"/>
          <w:szCs w:val="28"/>
          <w:bdr w:val="none" w:sz="0" w:space="0" w:color="auto" w:frame="1"/>
          <w:lang w:val="uk-UA" w:eastAsia="uk-UA"/>
        </w:rPr>
        <w:t>130</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1B0C956E" w14:textId="45B58E25"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C571B4">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C571B4">
        <w:rPr>
          <w:rFonts w:ascii="Times New Roman" w:hAnsi="Times New Roman"/>
          <w:sz w:val="28"/>
          <w:szCs w:val="28"/>
          <w:lang w:val="uk-UA"/>
        </w:rPr>
        <w:t>1</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r w:rsidR="00C571B4">
        <w:rPr>
          <w:rFonts w:ascii="Times New Roman" w:hAnsi="Times New Roman"/>
          <w:sz w:val="28"/>
          <w:szCs w:val="28"/>
          <w:lang w:val="uk-UA"/>
        </w:rPr>
        <w:t>Миколаївський апеляційний</w:t>
      </w:r>
      <w:r w:rsidR="00E876FD" w:rsidRPr="00F449E2">
        <w:rPr>
          <w:rFonts w:ascii="Times New Roman" w:hAnsi="Times New Roman"/>
          <w:sz w:val="28"/>
          <w:szCs w:val="28"/>
          <w:lang w:val="uk-UA"/>
        </w:rPr>
        <w:t xml:space="preserve">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10D1E66C" w:rsidR="00F173BD" w:rsidRDefault="00F173BD" w:rsidP="0023262A">
      <w:pPr>
        <w:spacing w:after="0" w:line="232" w:lineRule="auto"/>
        <w:ind w:firstLine="709"/>
        <w:contextualSpacing/>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23262A">
        <w:rPr>
          <w:rFonts w:ascii="Times New Roman" w:hAnsi="Times New Roman"/>
          <w:sz w:val="28"/>
          <w:szCs w:val="28"/>
          <w:lang w:val="uk-UA"/>
        </w:rPr>
        <w:t>4</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Вознесенський міськ</w:t>
      </w:r>
      <w:r w:rsidR="0023262A" w:rsidRPr="00553D7E">
        <w:rPr>
          <w:rFonts w:ascii="Times New Roman" w:eastAsia="Times New Roman" w:hAnsi="Times New Roman"/>
          <w:sz w:val="28"/>
          <w:szCs w:val="28"/>
          <w:lang w:val="uk-UA" w:eastAsia="ru-RU"/>
        </w:rPr>
        <w:t>районний суд</w:t>
      </w:r>
      <w:r w:rsidR="0023262A">
        <w:rPr>
          <w:rFonts w:ascii="Times New Roman" w:eastAsia="Times New Roman" w:hAnsi="Times New Roman"/>
          <w:sz w:val="28"/>
          <w:szCs w:val="28"/>
          <w:lang w:val="uk-UA" w:eastAsia="ru-RU"/>
        </w:rPr>
        <w:t>,</w:t>
      </w:r>
      <w:r w:rsidR="0023262A" w:rsidRPr="00553D7E">
        <w:rPr>
          <w:rFonts w:ascii="Times New Roman" w:eastAsia="Times New Roman" w:hAnsi="Times New Roman"/>
          <w:sz w:val="28"/>
          <w:szCs w:val="28"/>
          <w:lang w:val="uk-UA" w:eastAsia="ru-RU"/>
        </w:rPr>
        <w:t xml:space="preserve"> м. </w:t>
      </w:r>
      <w:r w:rsidR="0023262A">
        <w:rPr>
          <w:rFonts w:ascii="Times New Roman" w:eastAsia="Times New Roman" w:hAnsi="Times New Roman"/>
          <w:sz w:val="28"/>
          <w:szCs w:val="28"/>
          <w:lang w:val="uk-UA" w:eastAsia="ru-RU"/>
        </w:rPr>
        <w:t>Вознесенськ</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 xml:space="preserve"> </w:t>
      </w:r>
      <w:r w:rsidRPr="00F449E2">
        <w:rPr>
          <w:rFonts w:ascii="Times New Roman" w:hAnsi="Times New Roman"/>
          <w:sz w:val="28"/>
          <w:szCs w:val="28"/>
          <w:lang w:val="uk-UA"/>
        </w:rPr>
        <w:t xml:space="preserve">-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bookmarkStart w:id="2"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318B9820"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C571B4">
        <w:rPr>
          <w:rFonts w:ascii="Times New Roman" w:hAnsi="Times New Roman"/>
          <w:b/>
          <w:sz w:val="28"/>
          <w:szCs w:val="28"/>
          <w:lang w:val="uk-UA"/>
        </w:rPr>
        <w:t>26</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C571B4">
        <w:rPr>
          <w:rFonts w:ascii="Times New Roman" w:hAnsi="Times New Roman"/>
          <w:sz w:val="28"/>
          <w:szCs w:val="28"/>
          <w:lang w:val="uk-UA"/>
        </w:rPr>
        <w:t>15</w:t>
      </w:r>
      <w:r w:rsidRPr="00E37F8E">
        <w:rPr>
          <w:rFonts w:ascii="Times New Roman" w:hAnsi="Times New Roman"/>
          <w:sz w:val="28"/>
          <w:szCs w:val="28"/>
          <w:lang w:val="uk-UA"/>
        </w:rPr>
        <w:t xml:space="preserve"> год. </w:t>
      </w:r>
      <w:r w:rsidR="00C571B4">
        <w:rPr>
          <w:rFonts w:ascii="Times New Roman" w:hAnsi="Times New Roman"/>
          <w:sz w:val="28"/>
          <w:szCs w:val="28"/>
          <w:lang w:val="uk-UA"/>
        </w:rPr>
        <w:t>45</w:t>
      </w:r>
      <w:r w:rsidRPr="00E37F8E">
        <w:rPr>
          <w:rFonts w:ascii="Times New Roman" w:hAnsi="Times New Roman"/>
          <w:sz w:val="28"/>
          <w:szCs w:val="28"/>
          <w:lang w:val="uk-UA"/>
        </w:rPr>
        <w:t xml:space="preserve"> хв. </w:t>
      </w:r>
      <w:r w:rsidR="00C571B4">
        <w:rPr>
          <w:rFonts w:ascii="Times New Roman" w:hAnsi="Times New Roman"/>
          <w:b/>
          <w:sz w:val="28"/>
          <w:szCs w:val="28"/>
          <w:lang w:val="uk-UA"/>
        </w:rPr>
        <w:t>29</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4CAADC07"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C571B4">
        <w:rPr>
          <w:rFonts w:ascii="Times New Roman" w:hAnsi="Times New Roman"/>
          <w:b/>
          <w:sz w:val="28"/>
          <w:szCs w:val="28"/>
          <w:lang w:val="uk-UA"/>
        </w:rPr>
        <w:t>04</w:t>
      </w:r>
      <w:r w:rsidR="00860E3A">
        <w:rPr>
          <w:rFonts w:ascii="Times New Roman" w:hAnsi="Times New Roman"/>
          <w:b/>
          <w:sz w:val="28"/>
          <w:szCs w:val="28"/>
          <w:lang w:val="uk-UA"/>
        </w:rPr>
        <w:t xml:space="preserve"> </w:t>
      </w:r>
      <w:r w:rsidR="00C571B4">
        <w:rPr>
          <w:rFonts w:ascii="Times New Roman" w:hAnsi="Times New Roman"/>
          <w:b/>
          <w:sz w:val="28"/>
          <w:szCs w:val="28"/>
          <w:lang w:val="uk-UA"/>
        </w:rPr>
        <w:t>червня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2"/>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lastRenderedPageBreak/>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C813C7"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знання: Конституції України, Законів України «Про судоустрій і статус суддів», «Про Національну поліцію», «Про запобігання корупції», Дисциплінарного статуту </w:t>
            </w:r>
            <w:r>
              <w:rPr>
                <w:rFonts w:ascii="Times New Roman" w:hAnsi="Times New Roman"/>
                <w:sz w:val="28"/>
                <w:szCs w:val="28"/>
                <w:lang w:val="uk-UA"/>
              </w:rPr>
              <w:lastRenderedPageBreak/>
              <w:t>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3262A"/>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60FB2"/>
    <w:rsid w:val="00AF05BC"/>
    <w:rsid w:val="00C23140"/>
    <w:rsid w:val="00C571B4"/>
    <w:rsid w:val="00C813C7"/>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1196</Words>
  <Characters>6818</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51</cp:revision>
  <cp:lastPrinted>2026-04-06T06:02:00Z</cp:lastPrinted>
  <dcterms:created xsi:type="dcterms:W3CDTF">2025-10-21T09:12:00Z</dcterms:created>
  <dcterms:modified xsi:type="dcterms:W3CDTF">2026-05-25T12:19:00Z</dcterms:modified>
</cp:coreProperties>
</file>