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06" w:rsidRDefault="00B11195" w:rsidP="00B11195">
      <w:pPr>
        <w:jc w:val="center"/>
        <w:rPr>
          <w:lang w:val="uk-UA"/>
        </w:rPr>
      </w:pPr>
      <w:r>
        <w:rPr>
          <w:noProof/>
        </w:rPr>
        <w:drawing>
          <wp:inline distT="0" distB="0" distL="0" distR="0" wp14:anchorId="64BACC21" wp14:editId="6D35F2FD">
            <wp:extent cx="390525" cy="495300"/>
            <wp:effectExtent l="19050" t="0" r="9525" b="0"/>
            <wp:docPr id="33" name="Рисунок 3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4"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D47D06" w:rsidRPr="0093631D" w:rsidRDefault="00D47D06" w:rsidP="00D47D06">
      <w:pPr>
        <w:ind w:firstLine="851"/>
        <w:jc w:val="center"/>
        <w:rPr>
          <w:lang w:val="uk-UA"/>
        </w:rPr>
      </w:pPr>
    </w:p>
    <w:p w:rsidR="00D47D06" w:rsidRPr="00236DB3" w:rsidRDefault="00D47D06" w:rsidP="00D47D06">
      <w:pPr>
        <w:jc w:val="center"/>
        <w:rPr>
          <w:sz w:val="28"/>
          <w:szCs w:val="28"/>
          <w:lang w:val="uk-UA"/>
        </w:rPr>
      </w:pPr>
      <w:r w:rsidRPr="00236DB3">
        <w:rPr>
          <w:sz w:val="28"/>
          <w:szCs w:val="28"/>
          <w:lang w:val="uk-UA"/>
        </w:rPr>
        <w:t>ОРДЖОНІКІДЗЕВСЬКИЙ  РАЙОННИЙ  СУД  МІСТА  ХАРКОВА</w:t>
      </w:r>
    </w:p>
    <w:p w:rsidR="00D47D06" w:rsidRPr="00236DB3" w:rsidRDefault="00D47D06" w:rsidP="00D47D06">
      <w:pPr>
        <w:widowControl/>
        <w:suppressAutoHyphens w:val="0"/>
        <w:jc w:val="center"/>
        <w:rPr>
          <w:rFonts w:eastAsia="Times New Roman"/>
          <w:sz w:val="22"/>
          <w:szCs w:val="22"/>
          <w:lang w:val="uk-UA"/>
        </w:rPr>
      </w:pPr>
      <w:r w:rsidRPr="00236DB3">
        <w:rPr>
          <w:rFonts w:eastAsia="Times New Roman"/>
          <w:sz w:val="22"/>
          <w:szCs w:val="22"/>
          <w:lang w:val="uk-UA"/>
        </w:rPr>
        <w:t xml:space="preserve">ідентифікаційний код 02894094, індекс </w:t>
      </w:r>
      <w:smartTag w:uri="urn:schemas-microsoft-com:office:smarttags" w:element="metricconverter">
        <w:smartTagPr>
          <w:attr w:name="ProductID" w:val="61007, м"/>
        </w:smartTagPr>
        <w:r w:rsidRPr="00236DB3">
          <w:rPr>
            <w:rFonts w:eastAsia="Times New Roman"/>
            <w:sz w:val="22"/>
            <w:szCs w:val="22"/>
            <w:lang w:val="uk-UA"/>
          </w:rPr>
          <w:t>61007, м</w:t>
        </w:r>
      </w:smartTag>
      <w:r w:rsidRPr="00236DB3">
        <w:rPr>
          <w:rFonts w:eastAsia="Times New Roman"/>
          <w:sz w:val="22"/>
          <w:szCs w:val="22"/>
          <w:lang w:val="uk-UA"/>
        </w:rPr>
        <w:t xml:space="preserve">. Харків, проспект </w:t>
      </w:r>
      <w:r w:rsidRPr="003F540D">
        <w:rPr>
          <w:rFonts w:eastAsia="Times New Roman"/>
          <w:sz w:val="22"/>
          <w:szCs w:val="22"/>
          <w:lang w:val="uk-UA"/>
        </w:rPr>
        <w:t>Архітектора Альошина</w:t>
      </w:r>
      <w:r w:rsidRPr="00236DB3">
        <w:rPr>
          <w:rFonts w:eastAsia="Times New Roman"/>
          <w:sz w:val="22"/>
          <w:szCs w:val="22"/>
          <w:lang w:val="uk-UA"/>
        </w:rPr>
        <w:t>, 7,</w:t>
      </w:r>
    </w:p>
    <w:p w:rsidR="00D47D06" w:rsidRPr="00236DB3" w:rsidRDefault="00D47D06" w:rsidP="00D47D06">
      <w:pPr>
        <w:widowControl/>
        <w:suppressAutoHyphens w:val="0"/>
        <w:jc w:val="center"/>
        <w:rPr>
          <w:rFonts w:eastAsia="Times New Roman"/>
          <w:sz w:val="22"/>
          <w:szCs w:val="22"/>
          <w:lang w:val="uk-UA"/>
        </w:rPr>
      </w:pPr>
      <w:r>
        <w:rPr>
          <w:rFonts w:eastAsia="Times New Roman"/>
          <w:sz w:val="22"/>
          <w:szCs w:val="22"/>
          <w:lang w:val="uk-UA"/>
        </w:rPr>
        <w:t>телефон/факс (057</w:t>
      </w:r>
      <w:r w:rsidRPr="00236DB3">
        <w:rPr>
          <w:rFonts w:eastAsia="Times New Roman"/>
          <w:sz w:val="22"/>
          <w:szCs w:val="22"/>
          <w:lang w:val="uk-UA"/>
        </w:rPr>
        <w:t>)</w:t>
      </w:r>
      <w:r>
        <w:rPr>
          <w:rFonts w:eastAsia="Times New Roman"/>
          <w:sz w:val="22"/>
          <w:szCs w:val="22"/>
          <w:lang w:val="uk-UA"/>
        </w:rPr>
        <w:t>3</w:t>
      </w:r>
      <w:r w:rsidRPr="00236DB3">
        <w:rPr>
          <w:rFonts w:eastAsia="Times New Roman"/>
          <w:sz w:val="22"/>
          <w:szCs w:val="22"/>
          <w:lang w:val="uk-UA"/>
        </w:rPr>
        <w:t>93-</w:t>
      </w:r>
      <w:r>
        <w:rPr>
          <w:rFonts w:eastAsia="Times New Roman"/>
          <w:sz w:val="22"/>
          <w:szCs w:val="22"/>
          <w:lang w:val="uk-UA"/>
        </w:rPr>
        <w:t>14</w:t>
      </w:r>
      <w:r w:rsidRPr="00236DB3">
        <w:rPr>
          <w:rFonts w:eastAsia="Times New Roman"/>
          <w:sz w:val="22"/>
          <w:szCs w:val="22"/>
          <w:lang w:val="uk-UA"/>
        </w:rPr>
        <w:t>-</w:t>
      </w:r>
      <w:r>
        <w:rPr>
          <w:rFonts w:eastAsia="Times New Roman"/>
          <w:sz w:val="22"/>
          <w:szCs w:val="22"/>
          <w:lang w:val="uk-UA"/>
        </w:rPr>
        <w:t>32</w:t>
      </w:r>
      <w:r w:rsidRPr="00236DB3">
        <w:rPr>
          <w:rFonts w:eastAsia="Times New Roman"/>
          <w:sz w:val="22"/>
          <w:szCs w:val="22"/>
          <w:lang w:val="uk-UA"/>
        </w:rPr>
        <w:t>, е-mail: inbox@og.hr.court.gov.ua</w:t>
      </w:r>
    </w:p>
    <w:p w:rsidR="00D47D06" w:rsidRPr="0093631D" w:rsidRDefault="00D47D06" w:rsidP="00D47D06">
      <w:pPr>
        <w:ind w:firstLine="851"/>
        <w:jc w:val="center"/>
        <w:rPr>
          <w:lang w:val="uk-UA"/>
        </w:rPr>
      </w:pPr>
      <w:r>
        <w:rPr>
          <w:b/>
          <w:noProof/>
        </w:rPr>
        <mc:AlternateContent>
          <mc:Choice Requires="wps">
            <w:drawing>
              <wp:anchor distT="0" distB="0" distL="114300" distR="114300" simplePos="0" relativeHeight="251659264" behindDoc="0" locked="0" layoutInCell="1" allowOverlap="1" wp14:anchorId="326B0C94" wp14:editId="4FCE4F13">
                <wp:simplePos x="0" y="0"/>
                <wp:positionH relativeFrom="column">
                  <wp:posOffset>190500</wp:posOffset>
                </wp:positionH>
                <wp:positionV relativeFrom="paragraph">
                  <wp:posOffset>142240</wp:posOffset>
                </wp:positionV>
                <wp:extent cx="5829300" cy="0"/>
                <wp:effectExtent l="19050" t="27940" r="19050" b="1968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B06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U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" strokeweight="3pt"/>
            </w:pict>
          </mc:Fallback>
        </mc:AlternateContent>
      </w:r>
    </w:p>
    <w:p w:rsidR="00D47D06" w:rsidRDefault="00D47D06" w:rsidP="00D47D06">
      <w:pPr>
        <w:ind w:firstLine="851"/>
        <w:jc w:val="center"/>
        <w:rPr>
          <w:lang w:val="uk-UA"/>
        </w:rPr>
      </w:pPr>
      <w:r>
        <w:rPr>
          <w:b/>
          <w:noProof/>
        </w:rPr>
        <mc:AlternateContent>
          <mc:Choice Requires="wps">
            <w:drawing>
              <wp:anchor distT="0" distB="0" distL="114300" distR="114300" simplePos="0" relativeHeight="251660288" behindDoc="0" locked="0" layoutInCell="1" allowOverlap="1" wp14:anchorId="38BC666B" wp14:editId="2EB1DA88">
                <wp:simplePos x="0" y="0"/>
                <wp:positionH relativeFrom="column">
                  <wp:posOffset>190500</wp:posOffset>
                </wp:positionH>
                <wp:positionV relativeFrom="paragraph">
                  <wp:posOffset>71755</wp:posOffset>
                </wp:positionV>
                <wp:extent cx="5829300" cy="0"/>
                <wp:effectExtent l="9525" t="5080" r="9525" b="1397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3A5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5pt" to="4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2P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"/>
            </w:pict>
          </mc:Fallback>
        </mc:AlternateContent>
      </w:r>
    </w:p>
    <w:p w:rsidR="00B11195" w:rsidRPr="00B11195" w:rsidRDefault="00B11195" w:rsidP="00B11195">
      <w:pPr>
        <w:tabs>
          <w:tab w:val="left" w:pos="2175"/>
        </w:tabs>
        <w:rPr>
          <w:b/>
          <w:lang w:val="uk-UA"/>
        </w:rPr>
      </w:pPr>
      <w:r>
        <w:rPr>
          <w:lang w:val="uk-UA"/>
        </w:rPr>
        <w:t xml:space="preserve">     </w:t>
      </w:r>
      <w:r w:rsidR="00704EFF">
        <w:rPr>
          <w:b/>
          <w:szCs w:val="24"/>
          <w:lang w:val="uk-UA"/>
        </w:rPr>
        <w:tab/>
      </w:r>
    </w:p>
    <w:p w:rsidR="00B11195" w:rsidRPr="00B11195" w:rsidRDefault="00B11195" w:rsidP="00B11195">
      <w:pPr>
        <w:spacing w:line="360" w:lineRule="auto"/>
        <w:ind w:left="-357" w:firstLine="357"/>
        <w:jc w:val="center"/>
        <w:rPr>
          <w:rFonts w:eastAsia="Times New Roman"/>
          <w:b/>
          <w:color w:val="auto"/>
          <w:szCs w:val="24"/>
          <w:lang w:val="uk-UA"/>
        </w:rPr>
      </w:pPr>
      <w:r w:rsidRPr="00B11195">
        <w:rPr>
          <w:rFonts w:eastAsia="Times New Roman"/>
          <w:b/>
          <w:color w:val="auto"/>
          <w:szCs w:val="24"/>
          <w:lang w:val="uk-UA"/>
        </w:rPr>
        <w:t>А Н А Л І З</w:t>
      </w:r>
    </w:p>
    <w:p w:rsidR="00B11195" w:rsidRPr="00B11195" w:rsidRDefault="00B11195" w:rsidP="00B11195">
      <w:pPr>
        <w:spacing w:line="360" w:lineRule="auto"/>
        <w:ind w:left="-357" w:firstLine="357"/>
        <w:jc w:val="center"/>
        <w:rPr>
          <w:rFonts w:eastAsia="Times New Roman"/>
          <w:b/>
          <w:color w:val="auto"/>
          <w:sz w:val="21"/>
          <w:lang w:val="uk-UA"/>
        </w:rPr>
      </w:pPr>
      <w:r w:rsidRPr="00B11195">
        <w:rPr>
          <w:rFonts w:eastAsia="Times New Roman"/>
          <w:b/>
          <w:color w:val="auto"/>
          <w:szCs w:val="24"/>
          <w:lang w:val="uk-UA"/>
        </w:rPr>
        <w:t>роботи зі зверненнями громадян у Орджонікідзевському</w:t>
      </w:r>
    </w:p>
    <w:p w:rsidR="00B11195" w:rsidRDefault="00B11195" w:rsidP="00B11195">
      <w:pPr>
        <w:spacing w:line="360" w:lineRule="auto"/>
        <w:ind w:left="-357" w:firstLine="357"/>
        <w:jc w:val="center"/>
        <w:rPr>
          <w:rFonts w:eastAsia="Times New Roman"/>
          <w:b/>
          <w:color w:val="auto"/>
          <w:szCs w:val="24"/>
          <w:lang w:val="uk-UA"/>
        </w:rPr>
      </w:pPr>
      <w:r w:rsidRPr="00B11195">
        <w:rPr>
          <w:rFonts w:eastAsia="Times New Roman"/>
          <w:b/>
          <w:color w:val="auto"/>
          <w:szCs w:val="24"/>
          <w:lang w:val="uk-UA"/>
        </w:rPr>
        <w:t>районному суді м</w:t>
      </w:r>
      <w:r w:rsidR="00B378D0">
        <w:rPr>
          <w:rFonts w:eastAsia="Times New Roman"/>
          <w:b/>
          <w:color w:val="auto"/>
          <w:szCs w:val="24"/>
          <w:lang w:val="uk-UA"/>
        </w:rPr>
        <w:t>. Харкова за перше півріччя 2017</w:t>
      </w:r>
      <w:r w:rsidRPr="00B11195">
        <w:rPr>
          <w:rFonts w:eastAsia="Times New Roman"/>
          <w:b/>
          <w:color w:val="auto"/>
          <w:szCs w:val="24"/>
          <w:lang w:val="uk-UA"/>
        </w:rPr>
        <w:t xml:space="preserve"> року у  по</w:t>
      </w:r>
      <w:r w:rsidR="006661AF">
        <w:rPr>
          <w:rFonts w:eastAsia="Times New Roman"/>
          <w:b/>
          <w:color w:val="auto"/>
          <w:szCs w:val="24"/>
          <w:lang w:val="uk-UA"/>
        </w:rPr>
        <w:t>рівнянні з першим півріччям 2016</w:t>
      </w:r>
      <w:r w:rsidRPr="00B11195">
        <w:rPr>
          <w:rFonts w:eastAsia="Times New Roman"/>
          <w:b/>
          <w:color w:val="auto"/>
          <w:szCs w:val="24"/>
          <w:lang w:val="uk-UA"/>
        </w:rPr>
        <w:t xml:space="preserve"> року.</w:t>
      </w:r>
    </w:p>
    <w:p w:rsidR="00E70EE8" w:rsidRPr="00B11195" w:rsidRDefault="00E70EE8" w:rsidP="00B11195">
      <w:pPr>
        <w:spacing w:line="360" w:lineRule="auto"/>
        <w:ind w:left="-357" w:firstLine="357"/>
        <w:jc w:val="center"/>
        <w:rPr>
          <w:rFonts w:eastAsia="Times New Roman"/>
          <w:b/>
          <w:color w:val="auto"/>
          <w:szCs w:val="24"/>
          <w:lang w:val="uk-UA"/>
        </w:rPr>
      </w:pPr>
    </w:p>
    <w:p w:rsidR="00B11195" w:rsidRPr="00B11195" w:rsidRDefault="00E70EE8" w:rsidP="00E70EE8">
      <w:pPr>
        <w:spacing w:line="360" w:lineRule="auto"/>
        <w:jc w:val="both"/>
        <w:rPr>
          <w:rFonts w:eastAsia="Times New Roman"/>
          <w:b/>
          <w:color w:val="auto"/>
          <w:szCs w:val="24"/>
          <w:lang w:val="uk-UA"/>
        </w:rPr>
      </w:pPr>
      <w:r>
        <w:rPr>
          <w:rFonts w:eastAsia="Times New Roman"/>
          <w:b/>
          <w:color w:val="auto"/>
          <w:lang w:val="uk-UA"/>
        </w:rPr>
        <w:tab/>
      </w:r>
      <w:r w:rsidRPr="00B11195">
        <w:rPr>
          <w:rFonts w:eastAsia="Times New Roman"/>
          <w:b/>
          <w:color w:val="auto"/>
          <w:szCs w:val="24"/>
          <w:lang w:val="uk-UA"/>
        </w:rPr>
        <w:t>На вик</w:t>
      </w:r>
      <w:r>
        <w:rPr>
          <w:rFonts w:eastAsia="Times New Roman"/>
          <w:b/>
          <w:color w:val="auto"/>
          <w:szCs w:val="24"/>
          <w:lang w:val="uk-UA"/>
        </w:rPr>
        <w:t>онання плану роботи суду на 2017</w:t>
      </w:r>
      <w:r w:rsidRPr="00B11195">
        <w:rPr>
          <w:rFonts w:eastAsia="Times New Roman"/>
          <w:b/>
          <w:color w:val="auto"/>
          <w:szCs w:val="24"/>
          <w:lang w:val="uk-UA"/>
        </w:rPr>
        <w:t xml:space="preserve"> рік </w:t>
      </w:r>
      <w:r>
        <w:rPr>
          <w:rFonts w:eastAsia="Times New Roman"/>
          <w:b/>
          <w:color w:val="auto"/>
          <w:lang w:val="uk-UA"/>
        </w:rPr>
        <w:t>та з</w:t>
      </w:r>
      <w:r w:rsidRPr="00E70EE8">
        <w:rPr>
          <w:rFonts w:eastAsia="Times New Roman"/>
          <w:b/>
          <w:color w:val="auto"/>
          <w:lang w:val="uk-UA"/>
        </w:rPr>
        <w:t xml:space="preserve"> метою забезпечення реалізації та гарантування закріплених Конституцією Україн</w:t>
      </w:r>
      <w:r w:rsidR="003455B7">
        <w:rPr>
          <w:rFonts w:eastAsia="Times New Roman"/>
          <w:b/>
          <w:color w:val="auto"/>
          <w:lang w:val="uk-UA"/>
        </w:rPr>
        <w:t>и прав</w:t>
      </w:r>
      <w:r w:rsidRPr="00E70EE8">
        <w:rPr>
          <w:rFonts w:eastAsia="Times New Roman"/>
          <w:b/>
          <w:color w:val="auto"/>
          <w:lang w:val="uk-UA"/>
        </w:rPr>
        <w:t xml:space="preserve"> громадян на звернен</w:t>
      </w:r>
      <w:r w:rsidR="00C9793C">
        <w:rPr>
          <w:rFonts w:eastAsia="Times New Roman"/>
          <w:b/>
          <w:color w:val="auto"/>
          <w:lang w:val="uk-UA"/>
        </w:rPr>
        <w:t xml:space="preserve">ня, </w:t>
      </w:r>
      <w:proofErr w:type="spellStart"/>
      <w:r w:rsidRPr="00E70EE8">
        <w:rPr>
          <w:rFonts w:eastAsia="Times New Roman"/>
          <w:b/>
          <w:color w:val="auto"/>
          <w:szCs w:val="24"/>
          <w:lang w:val="uk-UA"/>
        </w:rPr>
        <w:t>Орджонікідзевским</w:t>
      </w:r>
      <w:proofErr w:type="spellEnd"/>
      <w:r w:rsidRPr="00E70EE8">
        <w:rPr>
          <w:rFonts w:eastAsia="Times New Roman"/>
          <w:b/>
          <w:color w:val="auto"/>
          <w:szCs w:val="24"/>
          <w:lang w:val="uk-UA"/>
        </w:rPr>
        <w:t xml:space="preserve"> районним судом м. Харкова</w:t>
      </w:r>
      <w:r>
        <w:rPr>
          <w:rFonts w:eastAsia="Times New Roman"/>
          <w:b/>
          <w:color w:val="auto"/>
          <w:szCs w:val="24"/>
          <w:lang w:val="uk-UA"/>
        </w:rPr>
        <w:t>,</w:t>
      </w:r>
      <w:r w:rsidRPr="00E70EE8">
        <w:rPr>
          <w:rFonts w:eastAsia="Times New Roman"/>
          <w:b/>
          <w:color w:val="auto"/>
          <w:szCs w:val="24"/>
          <w:lang w:val="uk-UA"/>
        </w:rPr>
        <w:t xml:space="preserve"> проводиться систематичне спостереження та вивчення роботи з обліку та розгляду звернень громадян ( заяв, скарг, пропозицій) з метою їх оцінки, контролю, прогнозу. </w:t>
      </w:r>
    </w:p>
    <w:p w:rsidR="00B11195" w:rsidRDefault="00B11195" w:rsidP="00B11195">
      <w:pPr>
        <w:spacing w:line="360" w:lineRule="auto"/>
        <w:ind w:firstLine="708"/>
        <w:jc w:val="both"/>
        <w:rPr>
          <w:rFonts w:eastAsia="Times New Roman"/>
          <w:b/>
          <w:color w:val="auto"/>
          <w:szCs w:val="24"/>
          <w:lang w:val="uk-UA"/>
        </w:rPr>
      </w:pPr>
      <w:r w:rsidRPr="00B11195">
        <w:rPr>
          <w:rFonts w:eastAsia="Times New Roman"/>
          <w:b/>
          <w:color w:val="auto"/>
          <w:szCs w:val="24"/>
          <w:lang w:val="uk-UA"/>
        </w:rPr>
        <w:t xml:space="preserve">Викладені в письмовій або в усній формі пропозиції (зауваження), заяви (клопотання), скарги громадян, що не підлягають розгляду відповідно до кримінального, цивільного чи адміністративного судочинства розглядаються в порядку визначеному Законом України « Про звернення громадян »,  ЗУ « Про статус народного депутата України », </w:t>
      </w:r>
      <w:r w:rsidRPr="00B11195">
        <w:rPr>
          <w:rFonts w:eastAsia="Times New Roman"/>
          <w:b/>
          <w:color w:val="auto"/>
          <w:szCs w:val="24"/>
          <w:lang w:val="uk-UA"/>
        </w:rPr>
        <w:tab/>
        <w:t>ЗУ « Про статус депутатів місцевих рад » .</w:t>
      </w:r>
    </w:p>
    <w:p w:rsidR="00B11195" w:rsidRPr="00C9793C" w:rsidRDefault="00C9793C" w:rsidP="00C9793C">
      <w:pPr>
        <w:spacing w:line="360" w:lineRule="auto"/>
        <w:ind w:firstLine="708"/>
        <w:jc w:val="both"/>
        <w:rPr>
          <w:rFonts w:eastAsia="Times New Roman"/>
          <w:b/>
          <w:color w:val="auto"/>
          <w:szCs w:val="24"/>
          <w:lang w:val="uk-UA"/>
        </w:rPr>
      </w:pPr>
      <w:r>
        <w:rPr>
          <w:rFonts w:eastAsia="Calibri"/>
          <w:b/>
          <w:color w:val="auto"/>
          <w:szCs w:val="24"/>
          <w:lang w:val="uk-UA" w:eastAsia="en-US"/>
        </w:rPr>
        <w:t>Однією</w:t>
      </w:r>
      <w:r w:rsidR="00B11195" w:rsidRPr="00C9793C">
        <w:rPr>
          <w:rFonts w:eastAsia="Calibri"/>
          <w:b/>
          <w:color w:val="auto"/>
          <w:szCs w:val="24"/>
          <w:lang w:val="uk-UA" w:eastAsia="en-US"/>
        </w:rPr>
        <w:t xml:space="preserve"> з дієвих форм забезпечення</w:t>
      </w:r>
      <w:r w:rsidRPr="00C9793C">
        <w:rPr>
          <w:rFonts w:eastAsia="Times New Roman"/>
          <w:b/>
          <w:color w:val="auto"/>
          <w:lang w:val="uk-UA"/>
        </w:rPr>
        <w:t xml:space="preserve"> </w:t>
      </w:r>
      <w:r w:rsidRPr="00E70EE8">
        <w:rPr>
          <w:rFonts w:eastAsia="Times New Roman"/>
          <w:b/>
          <w:color w:val="auto"/>
          <w:lang w:val="uk-UA"/>
        </w:rPr>
        <w:t>об’єктивного, всебічного і вчасного розгляду звернень громадян</w:t>
      </w:r>
      <w:r>
        <w:rPr>
          <w:rFonts w:eastAsia="Times New Roman"/>
          <w:b/>
          <w:color w:val="auto"/>
          <w:szCs w:val="24"/>
          <w:lang w:val="uk-UA"/>
        </w:rPr>
        <w:t xml:space="preserve"> є</w:t>
      </w:r>
      <w:r w:rsidR="00B11195" w:rsidRPr="00C9793C">
        <w:rPr>
          <w:rFonts w:eastAsia="Calibri"/>
          <w:b/>
          <w:color w:val="auto"/>
          <w:szCs w:val="24"/>
          <w:lang w:val="uk-UA" w:eastAsia="en-US"/>
        </w:rPr>
        <w:t xml:space="preserve"> проведення особистого прийому громадян керівництвом суду. </w:t>
      </w:r>
      <w:r w:rsidR="00B11195" w:rsidRPr="00C9793C">
        <w:rPr>
          <w:rFonts w:eastAsia="Times New Roman"/>
          <w:b/>
          <w:color w:val="auto"/>
          <w:szCs w:val="24"/>
          <w:lang w:val="uk-UA"/>
        </w:rPr>
        <w:t>У приміщенні Орджонікідзевського районного суду м. Харкова на першому поверсі, у доступному для вільного огляду місці, на інформаційному стенді, розміщений графік прийому громадян головою суду, його заступником, керівником апарату суду та його заступником. Графік прийому громадян затверджений розпорядженням голови суду від 12</w:t>
      </w:r>
      <w:r w:rsidR="00B11195" w:rsidRPr="00C9793C">
        <w:rPr>
          <w:rFonts w:eastAsia="Calibri"/>
          <w:b/>
          <w:color w:val="auto"/>
          <w:szCs w:val="24"/>
          <w:lang w:val="uk-UA" w:eastAsia="en-US"/>
        </w:rPr>
        <w:t xml:space="preserve"> </w:t>
      </w:r>
      <w:r w:rsidR="00B11195" w:rsidRPr="00C9793C">
        <w:rPr>
          <w:rFonts w:eastAsia="Times New Roman"/>
          <w:b/>
          <w:color w:val="auto"/>
          <w:szCs w:val="24"/>
          <w:lang w:val="uk-UA"/>
        </w:rPr>
        <w:t xml:space="preserve">грудня 2012 року № 9. Громадяни пільгових категорій населення приймаються поза графіком прийому громадян. </w:t>
      </w:r>
    </w:p>
    <w:p w:rsidR="00B11195" w:rsidRPr="00B11195" w:rsidRDefault="00B11195" w:rsidP="00B11195">
      <w:pPr>
        <w:spacing w:line="360" w:lineRule="auto"/>
        <w:ind w:firstLine="708"/>
        <w:jc w:val="both"/>
        <w:rPr>
          <w:rFonts w:eastAsia="Times New Roman"/>
          <w:b/>
          <w:color w:val="auto"/>
          <w:szCs w:val="24"/>
          <w:lang w:val="uk-UA"/>
        </w:rPr>
      </w:pPr>
      <w:r w:rsidRPr="00B11195">
        <w:rPr>
          <w:rFonts w:eastAsia="Times New Roman"/>
          <w:b/>
          <w:color w:val="auto"/>
          <w:szCs w:val="24"/>
          <w:lang w:val="uk-UA"/>
        </w:rPr>
        <w:t>Облік особистого при</w:t>
      </w:r>
      <w:r w:rsidR="00111C2C">
        <w:rPr>
          <w:rFonts w:eastAsia="Times New Roman"/>
          <w:b/>
          <w:color w:val="auto"/>
          <w:szCs w:val="24"/>
          <w:lang w:val="uk-UA"/>
        </w:rPr>
        <w:t>йому громадян ведеться в журналах</w:t>
      </w:r>
      <w:r w:rsidRPr="00B11195">
        <w:rPr>
          <w:rFonts w:eastAsia="Times New Roman"/>
          <w:b/>
          <w:color w:val="auto"/>
          <w:szCs w:val="24"/>
          <w:lang w:val="uk-UA"/>
        </w:rPr>
        <w:t xml:space="preserve"> особистого прийому громадян. Зокрема, згідно журналу прийому громадян головою суду та заступником гол</w:t>
      </w:r>
      <w:r w:rsidR="006661AF">
        <w:rPr>
          <w:rFonts w:eastAsia="Times New Roman"/>
          <w:b/>
          <w:color w:val="auto"/>
          <w:szCs w:val="24"/>
          <w:lang w:val="uk-UA"/>
        </w:rPr>
        <w:t>ови суду  за перше півріччя 2017 року зареєстровано 10</w:t>
      </w:r>
      <w:r w:rsidRPr="00B11195">
        <w:rPr>
          <w:rFonts w:eastAsia="Times New Roman"/>
          <w:b/>
          <w:color w:val="auto"/>
          <w:szCs w:val="24"/>
          <w:lang w:val="uk-UA"/>
        </w:rPr>
        <w:t xml:space="preserve"> з</w:t>
      </w:r>
      <w:r w:rsidR="006661AF">
        <w:rPr>
          <w:rFonts w:eastAsia="Times New Roman"/>
          <w:b/>
          <w:color w:val="auto"/>
          <w:szCs w:val="24"/>
          <w:lang w:val="uk-UA"/>
        </w:rPr>
        <w:t>вернень, що на 3 звернення менше ніж у першому півріччі 2016</w:t>
      </w:r>
      <w:r w:rsidRPr="00B11195">
        <w:rPr>
          <w:rFonts w:eastAsia="Times New Roman"/>
          <w:b/>
          <w:color w:val="auto"/>
          <w:szCs w:val="24"/>
          <w:lang w:val="uk-UA"/>
        </w:rPr>
        <w:t xml:space="preserve"> року. Згідно журналу прийому громадян керівником апарату та його за</w:t>
      </w:r>
      <w:r w:rsidR="006661AF">
        <w:rPr>
          <w:rFonts w:eastAsia="Times New Roman"/>
          <w:b/>
          <w:color w:val="auto"/>
          <w:szCs w:val="24"/>
          <w:lang w:val="uk-UA"/>
        </w:rPr>
        <w:t>ступником за перше півріччя 2017</w:t>
      </w:r>
      <w:r w:rsidRPr="00B11195">
        <w:rPr>
          <w:rFonts w:eastAsia="Times New Roman"/>
          <w:b/>
          <w:color w:val="auto"/>
          <w:szCs w:val="24"/>
          <w:lang w:val="uk-UA"/>
        </w:rPr>
        <w:t xml:space="preserve"> року </w:t>
      </w:r>
      <w:r w:rsidRPr="00B11195">
        <w:rPr>
          <w:rFonts w:eastAsia="Times New Roman"/>
          <w:b/>
          <w:color w:val="auto"/>
          <w:szCs w:val="24"/>
          <w:lang w:val="uk-UA"/>
        </w:rPr>
        <w:lastRenderedPageBreak/>
        <w:t xml:space="preserve">зареєстровано 5 звернень громадян,  так само </w:t>
      </w:r>
      <w:r w:rsidR="006661AF">
        <w:rPr>
          <w:rFonts w:eastAsia="Times New Roman"/>
          <w:b/>
          <w:color w:val="auto"/>
          <w:szCs w:val="24"/>
          <w:lang w:val="uk-UA"/>
        </w:rPr>
        <w:t>як і у аналогічному періоді 2016</w:t>
      </w:r>
      <w:r w:rsidRPr="00B11195">
        <w:rPr>
          <w:rFonts w:eastAsia="Times New Roman"/>
          <w:b/>
          <w:color w:val="auto"/>
          <w:szCs w:val="24"/>
          <w:lang w:val="uk-UA"/>
        </w:rPr>
        <w:t xml:space="preserve"> року.</w:t>
      </w:r>
    </w:p>
    <w:p w:rsidR="00B11195" w:rsidRPr="00B11195" w:rsidRDefault="00B11195" w:rsidP="00B11195">
      <w:pPr>
        <w:spacing w:line="360" w:lineRule="auto"/>
        <w:ind w:firstLine="708"/>
        <w:jc w:val="both"/>
        <w:rPr>
          <w:rFonts w:eastAsia="Times New Roman"/>
          <w:b/>
          <w:color w:val="auto"/>
          <w:szCs w:val="24"/>
          <w:lang w:val="uk-UA"/>
        </w:rPr>
      </w:pPr>
      <w:r w:rsidRPr="00B11195">
        <w:rPr>
          <w:rFonts w:eastAsia="Times New Roman"/>
          <w:b/>
          <w:color w:val="auto"/>
          <w:szCs w:val="24"/>
          <w:lang w:val="uk-UA"/>
        </w:rPr>
        <w:t>Усі письмові звернення, що надходять до суду, реєструються в той же день в автоматизованій системі докуме</w:t>
      </w:r>
      <w:r w:rsidR="00205B35">
        <w:rPr>
          <w:rFonts w:eastAsia="Times New Roman"/>
          <w:b/>
          <w:color w:val="auto"/>
          <w:szCs w:val="24"/>
          <w:lang w:val="uk-UA"/>
        </w:rPr>
        <w:t>нтообігу суду</w:t>
      </w:r>
      <w:r w:rsidRPr="00B11195">
        <w:rPr>
          <w:rFonts w:eastAsia="Times New Roman"/>
          <w:b/>
          <w:color w:val="auto"/>
          <w:szCs w:val="24"/>
          <w:lang w:val="uk-UA"/>
        </w:rPr>
        <w:t>, у журналі реєс</w:t>
      </w:r>
      <w:r w:rsidR="00205B35">
        <w:rPr>
          <w:rFonts w:eastAsia="Times New Roman"/>
          <w:b/>
          <w:color w:val="auto"/>
          <w:szCs w:val="24"/>
          <w:lang w:val="uk-UA"/>
        </w:rPr>
        <w:t xml:space="preserve">трації звернень </w:t>
      </w:r>
      <w:r w:rsidRPr="00B11195">
        <w:rPr>
          <w:rFonts w:eastAsia="Times New Roman"/>
          <w:b/>
          <w:color w:val="auto"/>
          <w:szCs w:val="24"/>
          <w:lang w:val="uk-UA"/>
        </w:rPr>
        <w:t>громадян</w:t>
      </w:r>
      <w:r w:rsidR="00205B35">
        <w:rPr>
          <w:rFonts w:eastAsia="Times New Roman"/>
          <w:b/>
          <w:color w:val="auto"/>
          <w:szCs w:val="24"/>
          <w:lang w:val="uk-UA"/>
        </w:rPr>
        <w:t xml:space="preserve"> та організацій, </w:t>
      </w:r>
      <w:r w:rsidRPr="00B11195">
        <w:rPr>
          <w:rFonts w:eastAsia="Times New Roman"/>
          <w:b/>
          <w:color w:val="auto"/>
          <w:szCs w:val="24"/>
          <w:lang w:val="uk-UA"/>
        </w:rPr>
        <w:t xml:space="preserve">у алфавітному покажчику реєстрації звернень громадян та </w:t>
      </w:r>
      <w:r w:rsidR="00205B35">
        <w:rPr>
          <w:rFonts w:eastAsia="Times New Roman"/>
          <w:b/>
          <w:color w:val="auto"/>
          <w:szCs w:val="24"/>
          <w:lang w:val="uk-UA"/>
        </w:rPr>
        <w:t xml:space="preserve">організацій або у журналі обліку звернень та запитів народних депутатів, </w:t>
      </w:r>
      <w:r w:rsidRPr="00B11195">
        <w:rPr>
          <w:rFonts w:eastAsia="Times New Roman"/>
          <w:b/>
          <w:color w:val="auto"/>
          <w:szCs w:val="24"/>
          <w:lang w:val="uk-UA"/>
        </w:rPr>
        <w:t xml:space="preserve">у </w:t>
      </w:r>
      <w:proofErr w:type="spellStart"/>
      <w:r w:rsidRPr="00B11195">
        <w:rPr>
          <w:rFonts w:eastAsia="Times New Roman"/>
          <w:b/>
          <w:color w:val="auto"/>
          <w:szCs w:val="24"/>
          <w:lang w:val="uk-UA"/>
        </w:rPr>
        <w:t>реєстраційно</w:t>
      </w:r>
      <w:proofErr w:type="spellEnd"/>
      <w:r w:rsidRPr="00B11195">
        <w:rPr>
          <w:rFonts w:eastAsia="Times New Roman"/>
          <w:b/>
          <w:color w:val="auto"/>
          <w:szCs w:val="24"/>
          <w:lang w:val="uk-UA"/>
        </w:rPr>
        <w:t>-контрольній картці.</w:t>
      </w:r>
    </w:p>
    <w:p w:rsidR="00C56028" w:rsidRPr="00CF52A0" w:rsidRDefault="006661AF" w:rsidP="00B11195">
      <w:pPr>
        <w:spacing w:line="360" w:lineRule="auto"/>
        <w:ind w:firstLine="708"/>
        <w:jc w:val="both"/>
        <w:rPr>
          <w:rFonts w:eastAsia="Times New Roman"/>
          <w:b/>
          <w:color w:val="auto"/>
          <w:szCs w:val="24"/>
          <w:lang w:val="uk-UA"/>
        </w:rPr>
      </w:pPr>
      <w:r w:rsidRPr="00CF52A0">
        <w:rPr>
          <w:rFonts w:eastAsia="Times New Roman"/>
          <w:b/>
          <w:color w:val="auto"/>
          <w:szCs w:val="24"/>
          <w:lang w:val="uk-UA"/>
        </w:rPr>
        <w:t>За перше півріччя 2017 року до суду надійшло 7 скарг та 7</w:t>
      </w:r>
      <w:r w:rsidR="00B11195" w:rsidRPr="00CF52A0">
        <w:rPr>
          <w:rFonts w:eastAsia="Times New Roman"/>
          <w:b/>
          <w:color w:val="auto"/>
          <w:szCs w:val="24"/>
          <w:lang w:val="uk-UA"/>
        </w:rPr>
        <w:t xml:space="preserve"> </w:t>
      </w:r>
      <w:r w:rsidRPr="00CF52A0">
        <w:rPr>
          <w:rFonts w:eastAsia="Times New Roman"/>
          <w:b/>
          <w:color w:val="auto"/>
          <w:szCs w:val="24"/>
          <w:lang w:val="uk-UA"/>
        </w:rPr>
        <w:t>заяв . За такий саме період 2016 року зареєстровано 17</w:t>
      </w:r>
      <w:r w:rsidR="00B11195" w:rsidRPr="00CF52A0">
        <w:rPr>
          <w:rFonts w:eastAsia="Times New Roman"/>
          <w:b/>
          <w:color w:val="auto"/>
          <w:szCs w:val="24"/>
          <w:lang w:val="uk-UA"/>
        </w:rPr>
        <w:t xml:space="preserve"> ска</w:t>
      </w:r>
      <w:r w:rsidRPr="00CF52A0">
        <w:rPr>
          <w:rFonts w:eastAsia="Times New Roman"/>
          <w:b/>
          <w:color w:val="auto"/>
          <w:szCs w:val="24"/>
          <w:lang w:val="uk-UA"/>
        </w:rPr>
        <w:t>рг та 12</w:t>
      </w:r>
      <w:r w:rsidR="00B11195" w:rsidRPr="00CF52A0">
        <w:rPr>
          <w:rFonts w:eastAsia="Times New Roman"/>
          <w:b/>
          <w:color w:val="auto"/>
          <w:szCs w:val="24"/>
          <w:lang w:val="uk-UA"/>
        </w:rPr>
        <w:t xml:space="preserve"> заяв. </w:t>
      </w:r>
      <w:r w:rsidR="00C56028" w:rsidRPr="00CF52A0">
        <w:rPr>
          <w:rFonts w:eastAsia="Times New Roman"/>
          <w:b/>
          <w:color w:val="auto"/>
          <w:szCs w:val="24"/>
          <w:lang w:val="uk-UA"/>
        </w:rPr>
        <w:t>Спостерігається коливання динаміки надходження звернень громадян у бік зменшення їх кількості.</w:t>
      </w:r>
    </w:p>
    <w:p w:rsidR="00C56028" w:rsidRPr="00A16659" w:rsidRDefault="00CF52A0" w:rsidP="00B11195">
      <w:pPr>
        <w:spacing w:line="360" w:lineRule="auto"/>
        <w:ind w:firstLine="708"/>
        <w:jc w:val="both"/>
        <w:rPr>
          <w:rFonts w:eastAsia="Calibri"/>
          <w:b/>
          <w:color w:val="auto"/>
          <w:szCs w:val="24"/>
          <w:lang w:val="uk-UA" w:eastAsia="en-US"/>
        </w:rPr>
      </w:pPr>
      <w:r w:rsidRPr="00CF52A0">
        <w:rPr>
          <w:rFonts w:eastAsia="Calibri"/>
          <w:b/>
          <w:color w:val="auto"/>
          <w:szCs w:val="24"/>
          <w:lang w:val="uk-UA" w:eastAsia="en-US"/>
        </w:rPr>
        <w:t xml:space="preserve">По фактах, викладених у заявах </w:t>
      </w:r>
      <w:r>
        <w:rPr>
          <w:rFonts w:eastAsia="Calibri"/>
          <w:b/>
          <w:color w:val="auto"/>
          <w:szCs w:val="24"/>
          <w:lang w:val="uk-UA" w:eastAsia="en-US"/>
        </w:rPr>
        <w:t>та скаргах громадян, проводиться</w:t>
      </w:r>
      <w:r w:rsidRPr="00CF52A0">
        <w:rPr>
          <w:rFonts w:eastAsia="Calibri"/>
          <w:b/>
          <w:color w:val="auto"/>
          <w:szCs w:val="24"/>
          <w:lang w:val="uk-UA" w:eastAsia="en-US"/>
        </w:rPr>
        <w:t xml:space="preserve"> ретельна перевірка, за результатами якої заявникам надаються обґрунтовані та вичерпні відповіді, роз’ясняються положення чинного законодавства.</w:t>
      </w:r>
    </w:p>
    <w:p w:rsidR="00433D06" w:rsidRPr="00433D06" w:rsidRDefault="00B11195" w:rsidP="00B11195">
      <w:pPr>
        <w:widowControl/>
        <w:spacing w:line="360" w:lineRule="auto"/>
        <w:jc w:val="both"/>
        <w:rPr>
          <w:rFonts w:eastAsia="Calibri"/>
          <w:b/>
          <w:color w:val="auto"/>
          <w:szCs w:val="24"/>
          <w:lang w:val="uk-UA" w:eastAsia="en-US"/>
        </w:rPr>
      </w:pPr>
      <w:r w:rsidRPr="00B11195">
        <w:rPr>
          <w:rFonts w:eastAsia="Calibri"/>
          <w:b/>
          <w:color w:val="auto"/>
          <w:szCs w:val="24"/>
          <w:lang w:val="uk-UA" w:eastAsia="en-US"/>
        </w:rPr>
        <w:tab/>
      </w:r>
      <w:r w:rsidR="00CF52A0" w:rsidRPr="00433D06">
        <w:rPr>
          <w:rFonts w:eastAsia="Calibri"/>
          <w:b/>
          <w:color w:val="auto"/>
          <w:szCs w:val="24"/>
          <w:lang w:val="uk-UA" w:eastAsia="en-US"/>
        </w:rPr>
        <w:t>Чотири звернення</w:t>
      </w:r>
      <w:r w:rsidRPr="00433D06">
        <w:rPr>
          <w:rFonts w:eastAsia="Calibri"/>
          <w:b/>
          <w:color w:val="auto"/>
          <w:szCs w:val="24"/>
          <w:lang w:val="uk-UA" w:eastAsia="en-US"/>
        </w:rPr>
        <w:t xml:space="preserve"> громадян стосувались орг</w:t>
      </w:r>
      <w:r w:rsidR="00CA5354" w:rsidRPr="00433D06">
        <w:rPr>
          <w:rFonts w:eastAsia="Calibri"/>
          <w:b/>
          <w:color w:val="auto"/>
          <w:szCs w:val="24"/>
          <w:lang w:val="uk-UA" w:eastAsia="en-US"/>
        </w:rPr>
        <w:t>анізації роботи суду, три звернення</w:t>
      </w:r>
      <w:r w:rsidRPr="00433D06">
        <w:rPr>
          <w:rFonts w:eastAsia="Calibri"/>
          <w:b/>
          <w:color w:val="auto"/>
          <w:szCs w:val="24"/>
          <w:lang w:val="uk-UA" w:eastAsia="en-US"/>
        </w:rPr>
        <w:t xml:space="preserve"> стосувалис</w:t>
      </w:r>
      <w:r w:rsidR="00CA5354" w:rsidRPr="00433D06">
        <w:rPr>
          <w:rFonts w:eastAsia="Calibri"/>
          <w:b/>
          <w:color w:val="auto"/>
          <w:szCs w:val="24"/>
          <w:lang w:val="uk-UA" w:eastAsia="en-US"/>
        </w:rPr>
        <w:t>ь процесуальних дій суддів, три</w:t>
      </w:r>
      <w:r w:rsidRPr="00433D06">
        <w:rPr>
          <w:rFonts w:eastAsia="Calibri"/>
          <w:b/>
          <w:color w:val="auto"/>
          <w:szCs w:val="24"/>
          <w:lang w:val="uk-UA" w:eastAsia="en-US"/>
        </w:rPr>
        <w:t xml:space="preserve"> зве</w:t>
      </w:r>
      <w:r w:rsidR="00CA5354" w:rsidRPr="00433D06">
        <w:rPr>
          <w:rFonts w:eastAsia="Calibri"/>
          <w:b/>
          <w:color w:val="auto"/>
          <w:szCs w:val="24"/>
          <w:lang w:val="uk-UA" w:eastAsia="en-US"/>
        </w:rPr>
        <w:t>рнення відносно  тривалого не розгляду справ, одне звернення про незгоду з судовим рішенням, три</w:t>
      </w:r>
      <w:r w:rsidR="008D7432" w:rsidRPr="00433D06">
        <w:rPr>
          <w:rFonts w:eastAsia="Calibri"/>
          <w:b/>
          <w:color w:val="auto"/>
          <w:szCs w:val="24"/>
          <w:lang w:val="uk-UA" w:eastAsia="en-US"/>
        </w:rPr>
        <w:t xml:space="preserve"> звернення стосувались</w:t>
      </w:r>
      <w:r w:rsidR="00CA5354" w:rsidRPr="00433D06">
        <w:rPr>
          <w:rFonts w:eastAsia="Calibri"/>
          <w:b/>
          <w:color w:val="auto"/>
          <w:szCs w:val="24"/>
          <w:lang w:val="uk-UA" w:eastAsia="en-US"/>
        </w:rPr>
        <w:t xml:space="preserve"> інших питань</w:t>
      </w:r>
      <w:r w:rsidR="008D7432" w:rsidRPr="00433D06">
        <w:rPr>
          <w:rFonts w:eastAsia="Calibri"/>
          <w:b/>
          <w:color w:val="auto"/>
          <w:szCs w:val="24"/>
          <w:lang w:val="uk-UA" w:eastAsia="en-US"/>
        </w:rPr>
        <w:t>.</w:t>
      </w:r>
    </w:p>
    <w:p w:rsidR="00433D06" w:rsidRDefault="00433D06" w:rsidP="00B11195">
      <w:pPr>
        <w:widowControl/>
        <w:spacing w:line="360" w:lineRule="auto"/>
        <w:jc w:val="both"/>
        <w:rPr>
          <w:rFonts w:eastAsia="Calibri"/>
          <w:b/>
          <w:color w:val="auto"/>
          <w:szCs w:val="24"/>
          <w:lang w:val="uk-UA" w:eastAsia="en-US"/>
        </w:rPr>
      </w:pPr>
      <w:r w:rsidRPr="00433D06">
        <w:rPr>
          <w:rFonts w:eastAsia="Calibri"/>
          <w:b/>
          <w:color w:val="auto"/>
          <w:szCs w:val="24"/>
          <w:lang w:val="uk-UA" w:eastAsia="en-US"/>
        </w:rPr>
        <w:tab/>
      </w:r>
      <w:r w:rsidRPr="00DD538E">
        <w:rPr>
          <w:rFonts w:eastAsia="Calibri"/>
          <w:b/>
          <w:color w:val="auto"/>
          <w:szCs w:val="24"/>
          <w:lang w:val="uk-UA" w:eastAsia="en-US"/>
        </w:rPr>
        <w:t xml:space="preserve">У ході перевірки звернень щодо тривалого не розгляду справ встановлено, що тривалий розгляд справ зумовлений об’єктивними причинами. Що стосується процесуальних дій суддів чи організації роботи суду, то такі звернення в більшості випадків є наслідком правової необізнаності та нерозуміння громадянами норм цивільно-процесуального та кримінально-процесуального законодавства. </w:t>
      </w:r>
      <w:r w:rsidR="00DD538E" w:rsidRPr="00DD538E">
        <w:rPr>
          <w:rFonts w:eastAsia="Calibri"/>
          <w:b/>
          <w:color w:val="auto"/>
          <w:szCs w:val="24"/>
          <w:lang w:val="uk-UA" w:eastAsia="en-US"/>
        </w:rPr>
        <w:t>Так, зокрема, особи, що звернулися до суду зі зверненнями на дії суддів, посилаючись при цьому на незгоду з їх процесуальними діями та рішеннями під час розгляду справ, - не оскаржують при цьому ці рішення та дії в</w:t>
      </w:r>
      <w:r w:rsidR="00205B35">
        <w:rPr>
          <w:rFonts w:eastAsia="Calibri"/>
          <w:b/>
          <w:color w:val="auto"/>
          <w:szCs w:val="24"/>
          <w:lang w:val="uk-UA" w:eastAsia="en-US"/>
        </w:rPr>
        <w:t xml:space="preserve"> передбаченому законом порядку, </w:t>
      </w:r>
      <w:r w:rsidR="00DD538E" w:rsidRPr="00DD538E">
        <w:rPr>
          <w:rFonts w:eastAsia="Calibri"/>
          <w:b/>
          <w:color w:val="auto"/>
          <w:szCs w:val="24"/>
          <w:lang w:val="uk-UA" w:eastAsia="en-US"/>
        </w:rPr>
        <w:t>а вимагають вжити заходи адміністративного впливу</w:t>
      </w:r>
      <w:r w:rsidR="00205B35">
        <w:rPr>
          <w:rFonts w:eastAsia="Calibri"/>
          <w:b/>
          <w:color w:val="auto"/>
          <w:szCs w:val="24"/>
          <w:lang w:val="uk-UA" w:eastAsia="en-US"/>
        </w:rPr>
        <w:t xml:space="preserve"> на суддів</w:t>
      </w:r>
      <w:r w:rsidR="00DD538E" w:rsidRPr="00DD538E">
        <w:rPr>
          <w:rFonts w:eastAsia="Calibri"/>
          <w:b/>
          <w:color w:val="auto"/>
          <w:szCs w:val="24"/>
          <w:lang w:val="uk-UA" w:eastAsia="en-US"/>
        </w:rPr>
        <w:t xml:space="preserve">. Розглянуті звернення визнані необґрунтованими. </w:t>
      </w:r>
      <w:r w:rsidR="00DD538E" w:rsidRPr="00DD538E">
        <w:rPr>
          <w:rFonts w:eastAsia="Times New Roman"/>
          <w:b/>
          <w:color w:val="auto"/>
          <w:szCs w:val="24"/>
          <w:lang w:val="uk-UA"/>
        </w:rPr>
        <w:t xml:space="preserve">Простежується </w:t>
      </w:r>
      <w:r w:rsidR="00C045EA">
        <w:rPr>
          <w:rFonts w:eastAsia="Times New Roman"/>
          <w:b/>
          <w:color w:val="auto"/>
          <w:szCs w:val="24"/>
          <w:lang w:val="uk-UA"/>
        </w:rPr>
        <w:t>тенденція відсутності повторних</w:t>
      </w:r>
      <w:r w:rsidR="00DD538E" w:rsidRPr="00DD538E">
        <w:rPr>
          <w:rFonts w:eastAsia="Times New Roman"/>
          <w:b/>
          <w:color w:val="auto"/>
          <w:szCs w:val="24"/>
          <w:lang w:val="uk-UA"/>
        </w:rPr>
        <w:t xml:space="preserve">, дублетних  та анонімних звернень. </w:t>
      </w:r>
    </w:p>
    <w:p w:rsidR="00A16659" w:rsidRDefault="008A2F54" w:rsidP="00A16659">
      <w:pPr>
        <w:spacing w:line="360" w:lineRule="auto"/>
        <w:ind w:firstLine="708"/>
        <w:jc w:val="both"/>
        <w:rPr>
          <w:rFonts w:eastAsia="Times New Roman"/>
          <w:b/>
          <w:color w:val="auto"/>
          <w:szCs w:val="24"/>
          <w:lang w:val="uk-UA"/>
        </w:rPr>
      </w:pPr>
      <w:r>
        <w:rPr>
          <w:rFonts w:eastAsia="Times New Roman"/>
          <w:b/>
          <w:color w:val="auto"/>
          <w:szCs w:val="24"/>
          <w:lang w:val="uk-UA"/>
        </w:rPr>
        <w:t>Основними завданнями а</w:t>
      </w:r>
      <w:r w:rsidR="00A16659" w:rsidRPr="00A16659">
        <w:rPr>
          <w:rFonts w:eastAsia="Times New Roman"/>
          <w:b/>
          <w:color w:val="auto"/>
          <w:szCs w:val="24"/>
          <w:lang w:val="uk-UA"/>
        </w:rPr>
        <w:t>наліз</w:t>
      </w:r>
      <w:r>
        <w:rPr>
          <w:rFonts w:eastAsia="Times New Roman"/>
          <w:b/>
          <w:color w:val="auto"/>
          <w:szCs w:val="24"/>
          <w:lang w:val="uk-UA"/>
        </w:rPr>
        <w:t>у</w:t>
      </w:r>
      <w:r w:rsidR="00A16659" w:rsidRPr="00A16659">
        <w:rPr>
          <w:rFonts w:eastAsia="Times New Roman"/>
          <w:b/>
          <w:color w:val="auto"/>
          <w:szCs w:val="24"/>
          <w:lang w:val="uk-UA"/>
        </w:rPr>
        <w:t xml:space="preserve"> роботи зі зверненнями громадян </w:t>
      </w:r>
      <w:r>
        <w:rPr>
          <w:rFonts w:eastAsia="Times New Roman"/>
          <w:b/>
          <w:color w:val="auto"/>
          <w:szCs w:val="24"/>
          <w:lang w:val="uk-UA"/>
        </w:rPr>
        <w:t xml:space="preserve">є </w:t>
      </w:r>
      <w:r w:rsidR="00A16659" w:rsidRPr="00A16659">
        <w:rPr>
          <w:rFonts w:eastAsia="Times New Roman"/>
          <w:b/>
          <w:color w:val="auto"/>
          <w:szCs w:val="24"/>
          <w:lang w:val="uk-UA"/>
        </w:rPr>
        <w:t>виявлення найбільш поширених недоліків, що мають місце у цій роботі та їх причин,</w:t>
      </w:r>
      <w:r>
        <w:rPr>
          <w:rFonts w:eastAsia="Times New Roman"/>
          <w:b/>
          <w:color w:val="auto"/>
          <w:szCs w:val="24"/>
          <w:lang w:val="uk-UA"/>
        </w:rPr>
        <w:t xml:space="preserve"> </w:t>
      </w:r>
      <w:r w:rsidR="00A16659" w:rsidRPr="00A16659">
        <w:rPr>
          <w:rFonts w:eastAsia="Times New Roman"/>
          <w:b/>
          <w:color w:val="auto"/>
          <w:szCs w:val="24"/>
          <w:lang w:val="uk-UA"/>
        </w:rPr>
        <w:t>усунення та недопущення в подальшій роботі. Саме тому дане питання постійно перебуває на контролі голови суду</w:t>
      </w:r>
      <w:r>
        <w:rPr>
          <w:rFonts w:eastAsia="Times New Roman"/>
          <w:b/>
          <w:color w:val="auto"/>
          <w:szCs w:val="24"/>
          <w:lang w:val="uk-UA"/>
        </w:rPr>
        <w:t xml:space="preserve"> та керівника апарату</w:t>
      </w:r>
      <w:r w:rsidR="00A16659" w:rsidRPr="00A16659">
        <w:rPr>
          <w:rFonts w:eastAsia="Times New Roman"/>
          <w:b/>
          <w:color w:val="auto"/>
          <w:szCs w:val="24"/>
          <w:lang w:val="uk-UA"/>
        </w:rPr>
        <w:t>.</w:t>
      </w:r>
    </w:p>
    <w:p w:rsidR="00AA5BF3" w:rsidRDefault="00AA5BF3" w:rsidP="00AA5BF3">
      <w:pPr>
        <w:spacing w:line="276" w:lineRule="auto"/>
        <w:jc w:val="both"/>
        <w:rPr>
          <w:rFonts w:eastAsia="Times New Roman"/>
          <w:b/>
          <w:color w:val="auto"/>
          <w:szCs w:val="24"/>
          <w:lang w:val="uk-UA"/>
        </w:rPr>
      </w:pPr>
      <w:r>
        <w:rPr>
          <w:rFonts w:eastAsia="Times New Roman"/>
          <w:b/>
          <w:color w:val="auto"/>
          <w:szCs w:val="24"/>
          <w:lang w:val="uk-UA"/>
        </w:rPr>
        <w:tab/>
      </w:r>
      <w:r w:rsidRPr="00AA5BF3">
        <w:rPr>
          <w:rFonts w:eastAsia="Times New Roman"/>
          <w:b/>
          <w:color w:val="auto"/>
          <w:szCs w:val="24"/>
          <w:lang w:val="uk-UA"/>
        </w:rPr>
        <w:t xml:space="preserve">З метою покращення організації роботи суду та зменшення кількості надходження заяв та скарг  з  працівниками апарату суду  проводяться систематичні навчання по вивченню </w:t>
      </w:r>
      <w:r>
        <w:rPr>
          <w:rFonts w:eastAsia="Times New Roman"/>
          <w:b/>
          <w:color w:val="auto"/>
          <w:szCs w:val="24"/>
          <w:lang w:val="uk-UA"/>
        </w:rPr>
        <w:t xml:space="preserve">діючого законодавства та наради, на яких наголошується про необхідність уважного та чемного ставлення до громадян, зв’язування всіх обставин проблеми, з якою звертається той чи інший громадянин та надання зрозумілої, </w:t>
      </w:r>
      <w:r>
        <w:rPr>
          <w:rFonts w:eastAsia="Times New Roman"/>
          <w:b/>
          <w:color w:val="auto"/>
          <w:szCs w:val="24"/>
          <w:lang w:val="uk-UA"/>
        </w:rPr>
        <w:lastRenderedPageBreak/>
        <w:t xml:space="preserve">обґрунтованої та вичерпної відповіді з усіх порушених питань у зверненні. </w:t>
      </w:r>
    </w:p>
    <w:p w:rsidR="00AA5BF3" w:rsidRPr="00AA5BF3" w:rsidRDefault="00AA5BF3" w:rsidP="00AA5BF3">
      <w:pPr>
        <w:spacing w:line="276" w:lineRule="auto"/>
        <w:jc w:val="both"/>
        <w:rPr>
          <w:rFonts w:eastAsia="Times New Roman"/>
          <w:b/>
          <w:color w:val="auto"/>
          <w:szCs w:val="24"/>
          <w:lang w:val="uk-UA"/>
        </w:rPr>
      </w:pPr>
      <w:r>
        <w:rPr>
          <w:rFonts w:eastAsia="Times New Roman"/>
          <w:b/>
          <w:color w:val="auto"/>
          <w:szCs w:val="24"/>
          <w:lang w:val="uk-UA"/>
        </w:rPr>
        <w:tab/>
      </w:r>
      <w:r w:rsidRPr="00AA5BF3">
        <w:rPr>
          <w:rFonts w:eastAsia="Times New Roman"/>
          <w:b/>
          <w:color w:val="auto"/>
          <w:szCs w:val="24"/>
          <w:lang w:val="uk-UA"/>
        </w:rPr>
        <w:t>Також дають ефективні результати такі форми роботи з вирішення невідкладних питань громадян, як наявність на офіційному веб-сайті суду повної та достовірної інформації про порядок організації роботи суду , що забезпечує доступ громадян до публічної інформації та підвищує рівень правового інформування населення.</w:t>
      </w:r>
    </w:p>
    <w:p w:rsidR="00AA5BF3" w:rsidRPr="00AA5BF3" w:rsidRDefault="00AA5BF3" w:rsidP="00AA5BF3">
      <w:pPr>
        <w:spacing w:line="276" w:lineRule="auto"/>
        <w:jc w:val="both"/>
        <w:rPr>
          <w:rFonts w:eastAsia="Times New Roman"/>
          <w:b/>
          <w:color w:val="auto"/>
          <w:szCs w:val="24"/>
          <w:lang w:val="uk-UA"/>
        </w:rPr>
      </w:pPr>
    </w:p>
    <w:p w:rsidR="00AA5BF3" w:rsidRDefault="00AA5BF3" w:rsidP="00A16659">
      <w:pPr>
        <w:spacing w:line="360" w:lineRule="auto"/>
        <w:ind w:firstLine="708"/>
        <w:jc w:val="both"/>
        <w:rPr>
          <w:rFonts w:eastAsia="Times New Roman"/>
          <w:b/>
          <w:color w:val="auto"/>
          <w:szCs w:val="24"/>
          <w:lang w:val="uk-UA"/>
        </w:rPr>
      </w:pPr>
    </w:p>
    <w:p w:rsidR="00AA5BF3" w:rsidRDefault="00AA5BF3" w:rsidP="00A16659">
      <w:pPr>
        <w:spacing w:line="360" w:lineRule="auto"/>
        <w:ind w:firstLine="708"/>
        <w:jc w:val="both"/>
        <w:rPr>
          <w:rFonts w:eastAsia="Times New Roman"/>
          <w:b/>
          <w:color w:val="auto"/>
          <w:szCs w:val="24"/>
          <w:lang w:val="uk-UA"/>
        </w:rPr>
      </w:pPr>
    </w:p>
    <w:p w:rsidR="00AA5BF3" w:rsidRPr="00A16659" w:rsidRDefault="00AA5BF3" w:rsidP="00A16659">
      <w:pPr>
        <w:spacing w:line="360" w:lineRule="auto"/>
        <w:ind w:firstLine="708"/>
        <w:jc w:val="both"/>
        <w:rPr>
          <w:rFonts w:eastAsia="Times New Roman"/>
          <w:b/>
          <w:color w:val="auto"/>
          <w:szCs w:val="24"/>
          <w:lang w:val="uk-UA"/>
        </w:rPr>
      </w:pPr>
    </w:p>
    <w:p w:rsidR="00B11195" w:rsidRPr="00B11195" w:rsidRDefault="00C045EA" w:rsidP="00AA5BF3">
      <w:pPr>
        <w:widowControl/>
        <w:spacing w:line="360" w:lineRule="auto"/>
        <w:jc w:val="both"/>
        <w:rPr>
          <w:rFonts w:eastAsia="Times New Roman"/>
          <w:b/>
          <w:color w:val="auto"/>
          <w:szCs w:val="24"/>
          <w:lang w:val="uk-UA"/>
        </w:rPr>
      </w:pPr>
      <w:r>
        <w:rPr>
          <w:rFonts w:eastAsia="Calibri"/>
          <w:b/>
          <w:i/>
          <w:color w:val="auto"/>
          <w:szCs w:val="24"/>
          <w:lang w:val="uk-UA" w:eastAsia="en-US"/>
        </w:rPr>
        <w:tab/>
      </w:r>
    </w:p>
    <w:p w:rsidR="00B11195" w:rsidRPr="00B11195" w:rsidRDefault="00B11195" w:rsidP="00B11195">
      <w:pPr>
        <w:spacing w:line="360" w:lineRule="auto"/>
        <w:ind w:left="-357" w:firstLine="357"/>
        <w:jc w:val="both"/>
        <w:rPr>
          <w:rFonts w:eastAsia="Times New Roman"/>
          <w:b/>
          <w:color w:val="auto"/>
          <w:szCs w:val="24"/>
          <w:lang w:val="uk-UA"/>
        </w:rPr>
      </w:pPr>
    </w:p>
    <w:p w:rsidR="00B11195" w:rsidRPr="00B11195" w:rsidRDefault="00B11195" w:rsidP="00B11195">
      <w:pPr>
        <w:spacing w:line="360" w:lineRule="auto"/>
        <w:ind w:left="-357" w:firstLine="357"/>
        <w:jc w:val="both"/>
        <w:rPr>
          <w:rFonts w:eastAsia="Times New Roman"/>
          <w:b/>
          <w:color w:val="auto"/>
          <w:szCs w:val="24"/>
          <w:lang w:val="uk-UA"/>
        </w:rPr>
      </w:pPr>
    </w:p>
    <w:p w:rsidR="00B11195" w:rsidRPr="00B11195" w:rsidRDefault="00EE3F1F" w:rsidP="00B11195">
      <w:pPr>
        <w:spacing w:line="360" w:lineRule="auto"/>
        <w:ind w:left="-357" w:firstLine="357"/>
        <w:jc w:val="both"/>
        <w:rPr>
          <w:rFonts w:eastAsia="Times New Roman"/>
          <w:b/>
          <w:color w:val="auto"/>
          <w:szCs w:val="24"/>
          <w:lang w:val="uk-UA"/>
        </w:rPr>
      </w:pPr>
      <w:r>
        <w:rPr>
          <w:rFonts w:eastAsia="Times New Roman"/>
          <w:b/>
          <w:color w:val="auto"/>
          <w:szCs w:val="24"/>
          <w:lang w:val="uk-UA"/>
        </w:rPr>
        <w:tab/>
        <w:t>Голова суду</w:t>
      </w:r>
      <w:r>
        <w:rPr>
          <w:rFonts w:eastAsia="Times New Roman"/>
          <w:b/>
          <w:color w:val="auto"/>
          <w:szCs w:val="24"/>
          <w:lang w:val="uk-UA"/>
        </w:rPr>
        <w:tab/>
      </w:r>
      <w:r>
        <w:rPr>
          <w:rFonts w:eastAsia="Times New Roman"/>
          <w:b/>
          <w:color w:val="auto"/>
          <w:szCs w:val="24"/>
          <w:lang w:val="uk-UA"/>
        </w:rPr>
        <w:tab/>
      </w:r>
      <w:r>
        <w:rPr>
          <w:rFonts w:eastAsia="Times New Roman"/>
          <w:b/>
          <w:color w:val="auto"/>
          <w:szCs w:val="24"/>
          <w:lang w:val="uk-UA"/>
        </w:rPr>
        <w:tab/>
      </w:r>
      <w:r>
        <w:rPr>
          <w:rFonts w:eastAsia="Times New Roman"/>
          <w:b/>
          <w:color w:val="auto"/>
          <w:szCs w:val="24"/>
          <w:lang w:val="uk-UA"/>
        </w:rPr>
        <w:tab/>
      </w:r>
      <w:r>
        <w:rPr>
          <w:rFonts w:eastAsia="Times New Roman"/>
          <w:b/>
          <w:color w:val="auto"/>
          <w:szCs w:val="24"/>
          <w:lang w:val="uk-UA"/>
        </w:rPr>
        <w:tab/>
      </w:r>
      <w:r w:rsidR="00B11195" w:rsidRPr="00B11195">
        <w:rPr>
          <w:rFonts w:eastAsia="Times New Roman"/>
          <w:b/>
          <w:color w:val="auto"/>
          <w:szCs w:val="24"/>
          <w:lang w:val="uk-UA"/>
        </w:rPr>
        <w:t>В.Г. Черняк</w:t>
      </w:r>
    </w:p>
    <w:p w:rsidR="00B11195" w:rsidRPr="00B11195" w:rsidRDefault="00B11195" w:rsidP="00B11195">
      <w:pPr>
        <w:spacing w:line="360" w:lineRule="auto"/>
        <w:ind w:left="-357" w:firstLine="357"/>
        <w:jc w:val="both"/>
        <w:rPr>
          <w:rFonts w:eastAsia="Times New Roman"/>
          <w:b/>
          <w:color w:val="auto"/>
          <w:szCs w:val="24"/>
          <w:lang w:val="uk-UA"/>
        </w:rPr>
      </w:pPr>
    </w:p>
    <w:p w:rsidR="00B11195" w:rsidRPr="00B11195" w:rsidRDefault="00B11195" w:rsidP="00B11195">
      <w:pPr>
        <w:spacing w:line="360" w:lineRule="auto"/>
        <w:jc w:val="both"/>
        <w:rPr>
          <w:rFonts w:eastAsia="Times New Roman"/>
          <w:color w:val="auto"/>
          <w:szCs w:val="24"/>
          <w:lang w:val="uk-UA"/>
        </w:rPr>
      </w:pPr>
    </w:p>
    <w:p w:rsidR="00B11195" w:rsidRPr="00B11195" w:rsidRDefault="00B11195" w:rsidP="00B11195">
      <w:pPr>
        <w:ind w:left="-357" w:firstLine="357"/>
        <w:jc w:val="both"/>
        <w:rPr>
          <w:rFonts w:ascii="Arial Narrow" w:eastAsia="Times New Roman" w:hAnsi="Arial Narrow"/>
          <w:color w:val="auto"/>
          <w:sz w:val="16"/>
          <w:szCs w:val="16"/>
          <w:lang w:val="uk-UA"/>
        </w:rPr>
      </w:pP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p>
    <w:p w:rsidR="00B11195" w:rsidRPr="00B11195" w:rsidRDefault="00B11195" w:rsidP="00B11195">
      <w:pPr>
        <w:ind w:left="-357" w:firstLine="357"/>
        <w:jc w:val="both"/>
        <w:rPr>
          <w:rFonts w:eastAsia="Times New Roman"/>
          <w:color w:val="auto"/>
          <w:sz w:val="20"/>
          <w:lang w:val="uk-UA"/>
        </w:rPr>
      </w:pPr>
      <w:r w:rsidRPr="00B11195">
        <w:rPr>
          <w:rFonts w:eastAsia="Times New Roman"/>
          <w:color w:val="auto"/>
          <w:sz w:val="20"/>
          <w:lang w:val="uk-UA"/>
        </w:rPr>
        <w:t xml:space="preserve">Виконавець : </w:t>
      </w:r>
    </w:p>
    <w:p w:rsidR="00B11195" w:rsidRPr="00B11195" w:rsidRDefault="00B11195" w:rsidP="00B11195">
      <w:pPr>
        <w:ind w:left="-357" w:firstLine="357"/>
        <w:jc w:val="both"/>
        <w:rPr>
          <w:rFonts w:eastAsia="Times New Roman"/>
          <w:color w:val="auto"/>
          <w:sz w:val="20"/>
          <w:lang w:val="uk-UA"/>
        </w:rPr>
      </w:pPr>
      <w:r w:rsidRPr="00B11195">
        <w:rPr>
          <w:rFonts w:eastAsia="Times New Roman"/>
          <w:color w:val="auto"/>
          <w:sz w:val="20"/>
          <w:lang w:val="uk-UA"/>
        </w:rPr>
        <w:t xml:space="preserve">заступник  керівника </w:t>
      </w:r>
    </w:p>
    <w:p w:rsidR="00B11195" w:rsidRPr="00B11195" w:rsidRDefault="00B11195" w:rsidP="00B11195">
      <w:pPr>
        <w:ind w:left="-357" w:firstLine="357"/>
        <w:jc w:val="both"/>
        <w:rPr>
          <w:rFonts w:eastAsia="Times New Roman"/>
          <w:color w:val="auto"/>
          <w:sz w:val="20"/>
          <w:lang w:val="uk-UA"/>
        </w:rPr>
      </w:pPr>
      <w:r w:rsidRPr="00B11195">
        <w:rPr>
          <w:rFonts w:eastAsia="Times New Roman"/>
          <w:color w:val="auto"/>
          <w:sz w:val="20"/>
          <w:lang w:val="uk-UA"/>
        </w:rPr>
        <w:t>апарату Попова Г.В.</w:t>
      </w:r>
    </w:p>
    <w:p w:rsidR="00B11195" w:rsidRPr="00B11195" w:rsidRDefault="00B11195" w:rsidP="00B11195">
      <w:pPr>
        <w:widowControl/>
        <w:rPr>
          <w:rFonts w:eastAsia="Times New Roman"/>
          <w:color w:val="auto"/>
          <w:sz w:val="20"/>
          <w:lang w:val="uk-UA"/>
        </w:rPr>
      </w:pPr>
      <w:proofErr w:type="spellStart"/>
      <w:r w:rsidRPr="00B11195">
        <w:rPr>
          <w:rFonts w:eastAsia="Times New Roman"/>
          <w:color w:val="auto"/>
          <w:sz w:val="20"/>
          <w:lang w:val="uk-UA"/>
        </w:rPr>
        <w:t>тел</w:t>
      </w:r>
      <w:proofErr w:type="spellEnd"/>
      <w:r w:rsidRPr="00B11195">
        <w:rPr>
          <w:rFonts w:eastAsia="Times New Roman"/>
          <w:color w:val="auto"/>
          <w:sz w:val="20"/>
          <w:lang w:val="uk-UA"/>
        </w:rPr>
        <w:t>.  93-50-23</w:t>
      </w:r>
      <w:r w:rsidRPr="00B11195">
        <w:rPr>
          <w:rFonts w:eastAsia="Times New Roman"/>
          <w:b/>
          <w:color w:val="auto"/>
          <w:sz w:val="20"/>
          <w:lang w:val="uk-UA"/>
        </w:rPr>
        <w:tab/>
      </w:r>
    </w:p>
    <w:p w:rsidR="001F42BD" w:rsidRDefault="001F42BD" w:rsidP="00B11195">
      <w:pPr>
        <w:jc w:val="both"/>
        <w:rPr>
          <w:lang w:val="uk-UA"/>
        </w:rPr>
      </w:pPr>
    </w:p>
    <w:p w:rsidR="001D63C6" w:rsidRDefault="001D63C6">
      <w:pPr>
        <w:rPr>
          <w:lang w:val="uk-UA"/>
        </w:rPr>
      </w:pPr>
      <w:bookmarkStart w:id="0" w:name="_GoBack"/>
      <w:bookmarkEnd w:id="0"/>
    </w:p>
    <w:sectPr w:rsidR="001D6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2B"/>
    <w:rsid w:val="000243E8"/>
    <w:rsid w:val="00111C2C"/>
    <w:rsid w:val="001A132B"/>
    <w:rsid w:val="001D63C6"/>
    <w:rsid w:val="001F42BD"/>
    <w:rsid w:val="00205B35"/>
    <w:rsid w:val="00210F6D"/>
    <w:rsid w:val="00274874"/>
    <w:rsid w:val="002D11EB"/>
    <w:rsid w:val="003455B7"/>
    <w:rsid w:val="0037237D"/>
    <w:rsid w:val="003827D7"/>
    <w:rsid w:val="00386DB7"/>
    <w:rsid w:val="003C2E8F"/>
    <w:rsid w:val="003E1D71"/>
    <w:rsid w:val="00407E9A"/>
    <w:rsid w:val="004239E9"/>
    <w:rsid w:val="00433D06"/>
    <w:rsid w:val="005B64A1"/>
    <w:rsid w:val="00610834"/>
    <w:rsid w:val="006661AF"/>
    <w:rsid w:val="006D556B"/>
    <w:rsid w:val="00704EFF"/>
    <w:rsid w:val="007931EB"/>
    <w:rsid w:val="008404E9"/>
    <w:rsid w:val="008A2F54"/>
    <w:rsid w:val="008D7432"/>
    <w:rsid w:val="009E2E63"/>
    <w:rsid w:val="00A16659"/>
    <w:rsid w:val="00AA5BF3"/>
    <w:rsid w:val="00B11195"/>
    <w:rsid w:val="00B378D0"/>
    <w:rsid w:val="00B40FC7"/>
    <w:rsid w:val="00C00C52"/>
    <w:rsid w:val="00C045EA"/>
    <w:rsid w:val="00C56028"/>
    <w:rsid w:val="00C9793C"/>
    <w:rsid w:val="00CA5354"/>
    <w:rsid w:val="00CA6757"/>
    <w:rsid w:val="00CD7C8F"/>
    <w:rsid w:val="00CF52A0"/>
    <w:rsid w:val="00D26520"/>
    <w:rsid w:val="00D47D06"/>
    <w:rsid w:val="00DB38BB"/>
    <w:rsid w:val="00DD538E"/>
    <w:rsid w:val="00E70EE8"/>
    <w:rsid w:val="00E90D73"/>
    <w:rsid w:val="00E915C9"/>
    <w:rsid w:val="00EE0911"/>
    <w:rsid w:val="00EE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DC01E4-0671-4D09-9DFD-2744E484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06"/>
    <w:pPr>
      <w:widowControl w:val="0"/>
      <w:suppressAutoHyphens/>
      <w:spacing w:after="0" w:line="240" w:lineRule="auto"/>
    </w:pPr>
    <w:rPr>
      <w:rFonts w:ascii="Times New Roman" w:eastAsia="HG Mincho Light J"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D06"/>
    <w:rPr>
      <w:rFonts w:ascii="Tahoma" w:hAnsi="Tahoma" w:cs="Tahoma"/>
      <w:sz w:val="16"/>
      <w:szCs w:val="16"/>
    </w:rPr>
  </w:style>
  <w:style w:type="character" w:customStyle="1" w:styleId="a4">
    <w:name w:val="Текст выноски Знак"/>
    <w:basedOn w:val="a0"/>
    <w:link w:val="a3"/>
    <w:uiPriority w:val="99"/>
    <w:semiHidden/>
    <w:rsid w:val="00D47D06"/>
    <w:rPr>
      <w:rFonts w:ascii="Tahoma" w:eastAsia="HG Mincho Light J"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2016-07-12T07:26:00Z</cp:lastPrinted>
  <dcterms:created xsi:type="dcterms:W3CDTF">2017-07-06T12:42:00Z</dcterms:created>
  <dcterms:modified xsi:type="dcterms:W3CDTF">2017-08-08T10:03:00Z</dcterms:modified>
</cp:coreProperties>
</file>