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5"/>
      </w:tblGrid>
      <w:tr w:rsidR="00B03277" w:rsidTr="00555644">
        <w:trPr>
          <w:trHeight w:val="1941"/>
        </w:trPr>
        <w:tc>
          <w:tcPr>
            <w:tcW w:w="5070" w:type="dxa"/>
          </w:tcPr>
          <w:p w:rsidR="00B03277" w:rsidRDefault="00B03277" w:rsidP="00B03277">
            <w:pPr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F03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3277" w:rsidRDefault="00B03277" w:rsidP="00B03277">
            <w:pPr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277" w:rsidRDefault="00B03277" w:rsidP="00B03277">
            <w:pPr>
              <w:spacing w:after="0" w:line="240" w:lineRule="auto"/>
              <w:ind w:left="4956" w:hanging="49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  <w:p w:rsidR="00B03277" w:rsidRDefault="00B03277" w:rsidP="00B03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F03"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5E5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5A39">
              <w:rPr>
                <w:rFonts w:ascii="Times New Roman" w:hAnsi="Times New Roman"/>
                <w:sz w:val="28"/>
                <w:szCs w:val="28"/>
                <w:lang w:val="uk-UA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95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4551">
              <w:rPr>
                <w:rFonts w:ascii="Times New Roman" w:hAnsi="Times New Roman"/>
                <w:sz w:val="28"/>
                <w:szCs w:val="28"/>
                <w:lang w:val="uk-UA"/>
              </w:rPr>
              <w:t>правосуддя</w:t>
            </w:r>
          </w:p>
          <w:p w:rsidR="00B03277" w:rsidRDefault="00C56317" w:rsidP="00555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5556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 </w:t>
            </w:r>
            <w:r w:rsidR="00B03277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555644">
              <w:rPr>
                <w:rFonts w:ascii="Times New Roman" w:hAnsi="Times New Roman"/>
                <w:sz w:val="28"/>
                <w:szCs w:val="28"/>
                <w:lang w:val="uk-UA"/>
              </w:rPr>
              <w:t>7 року</w:t>
            </w:r>
            <w:r w:rsidR="00B03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5556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1547/0/15-17</w:t>
            </w:r>
          </w:p>
        </w:tc>
        <w:tc>
          <w:tcPr>
            <w:tcW w:w="4395" w:type="dxa"/>
          </w:tcPr>
          <w:p w:rsidR="00B03277" w:rsidRDefault="00B03277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F0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B03277" w:rsidRDefault="00B03277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277" w:rsidRPr="00095A39" w:rsidRDefault="00FF7204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B03277" w:rsidRPr="005E5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аказ </w:t>
            </w:r>
            <w:r w:rsidR="00B03277" w:rsidRPr="00095A39">
              <w:rPr>
                <w:rFonts w:ascii="Times New Roman" w:hAnsi="Times New Roman"/>
                <w:sz w:val="28"/>
                <w:szCs w:val="28"/>
                <w:lang w:val="uk-UA"/>
              </w:rPr>
              <w:t>Державної</w:t>
            </w:r>
          </w:p>
          <w:p w:rsidR="00B03277" w:rsidRDefault="00B03277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4551">
              <w:rPr>
                <w:rFonts w:ascii="Times New Roman" w:hAnsi="Times New Roman"/>
                <w:sz w:val="28"/>
                <w:szCs w:val="28"/>
                <w:lang w:val="uk-UA"/>
              </w:rPr>
              <w:t>судової адміністрації України</w:t>
            </w:r>
          </w:p>
          <w:p w:rsidR="00B03277" w:rsidRDefault="00391E08" w:rsidP="005556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20.07.</w:t>
            </w:r>
            <w:r w:rsidR="00B03277" w:rsidRPr="006428C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55564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815</w:t>
            </w:r>
            <w:bookmarkStart w:id="0" w:name="_GoBack"/>
            <w:bookmarkEnd w:id="0"/>
          </w:p>
        </w:tc>
      </w:tr>
    </w:tbl>
    <w:p w:rsidR="00BA715C" w:rsidRDefault="00BA715C" w:rsidP="00BA71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1ED" w:rsidRPr="006428C4" w:rsidRDefault="008301ED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7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F8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77F84" w:rsidRPr="00C77F84" w:rsidRDefault="00C77F84" w:rsidP="00C7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F84">
        <w:rPr>
          <w:rFonts w:ascii="Times New Roman" w:hAnsi="Times New Roman"/>
          <w:b/>
          <w:sz w:val="28"/>
          <w:szCs w:val="28"/>
          <w:lang w:val="uk-UA"/>
        </w:rPr>
        <w:t>про порядок створення та діяльності служби судових розпорядників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Це Положення розроблене відповідно до статті 159 Закону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і визначає порядок створення та організації діяльності служби судових розпорядників.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У кожному суді для забезпечення додержання особами, які перебувають у суді, встановлених правил, виконання ними розпоряджень головуючого в судовому засіданні створюється служба судових розпорядників (далі – служба), діяльність якої організовують Державна судова адміністрація України (далі – ДСА України) та її територіальні управління (далі – територіальні управління).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У своїй діяльності служба керується Конституцією України, законами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запобігання корупції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, Цивільним процесуальним кодексом України, Кодексом адміністративного судочинства України, Господарським процесуальним кодексом України, Кодексом України про адміністративні правопорушення, Кримінальним процесуальним кодексом України, наказами ДСА України, іншими нормативно-правовими актами, розпорядженнями голови суду та судді, а також цим Положенням.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3. Основними завданнями служби є забезпечення: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додержання особами, які перебувають у суді, встановлених правил;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виконання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взаємодія зі Службою судової охорони</w:t>
      </w:r>
      <w:r w:rsidR="00CC3236">
        <w:rPr>
          <w:rFonts w:ascii="Times New Roman" w:hAnsi="Times New Roman"/>
          <w:sz w:val="28"/>
          <w:szCs w:val="28"/>
          <w:lang w:val="uk-UA"/>
        </w:rPr>
        <w:t>, 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щодо підтримання громадського порядку в залі судового засідання та у приміщенні суду.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lastRenderedPageBreak/>
        <w:t>II. Створення та організація роботи служби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Про створення служби керівник апарату суду видає наказ.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Служба є структурним підрозділом апарату суду. До складу служби входять старші судові розпорядники та судові розпорядники. Очолює службу її керівник.  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3. В апаратах місцевих судів, де штатна чисельність служби не перевищує трьох осіб, обов’язки керівника служби покладаються на старшого судового розпорядника.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4. В апаратах місцевих судів, де штатним розписом передбачено лише одну посаду судового розпорядника, завдання та обов’язки керівника служби судових розпорядників покладаються на цього судового розпорядника (старшого судового розпорядника).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IІІ. Правовий статус працівників служби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Правовий статус працівників служби (керівника служби, старшого судового розпорядника, судового розпорядника) визначається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з урахуванням особливостей, визначених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На посаду судового розпорядника призначається особа, яка має ступінь вищої освіти  не нижче молодшого бакалавра або бакалавра в галузі знань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, вільно володіє державною мовою.</w:t>
      </w: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На посаду старшого судового розпорядника призначається особа, яка має ступінь вищої освіти не нижче бакалавра в галузі знань «Право», вільно володіє державною мовою.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3. Посадові обов’язки та повноваження працівників служби визначаються нормами процесуального законодавства, цим Положенням, </w:t>
      </w:r>
      <w:proofErr w:type="spellStart"/>
      <w:r w:rsidRPr="00C77F84">
        <w:rPr>
          <w:rFonts w:ascii="Times New Roman" w:hAnsi="Times New Roman"/>
          <w:sz w:val="28"/>
          <w:szCs w:val="28"/>
          <w:lang w:val="uk-UA"/>
        </w:rPr>
        <w:t>положенням</w:t>
      </w:r>
      <w:proofErr w:type="spellEnd"/>
      <w:r w:rsidRPr="00C77F84">
        <w:rPr>
          <w:rFonts w:ascii="Times New Roman" w:hAnsi="Times New Roman"/>
          <w:sz w:val="28"/>
          <w:szCs w:val="28"/>
          <w:lang w:val="uk-UA"/>
        </w:rPr>
        <w:t xml:space="preserve"> про відповідний структурний підрозділ апарату суду, а також посадовими інструкціями, які затверджуються керівником апарату суду.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4. Працівники служби забезпечуються одностроєм, зразки якого затверджуються Головою ДСА України за погодженням із Радою суддів України.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5. Працівники служби мають право: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1) за дорученням головуючого судді робити зауваження учасникам судового процесу та іншим особам, присутнім у залі судового засідання, у разі порушення ними встановлених правил або невиконання розпоряджень </w:t>
      </w: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головуючого в судовому засіданні, вимагати від таких осіб додержання порядку та вживати відповідних заходів щодо усунення порушень;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2) звертатися до Служби судової охорони, 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>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поліці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України, 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гварді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>у випадках порушень громадського порядку в приміщенні суду та з метою затримання осіб, які чинять протиправні дії;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видаляти із зали судового засідання за розпорядженням головуючого судді осіб, які відмовляються виконувати його законні вимоги, проявляють неповагу до суду та порушують процесуальний порядок здійснення судочинства;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видаляти із приміщення суду за розпорядженням голови суду осіб, які проявляють неповагу до суду та порушують громадський порядок у приміщенні суду.</w:t>
      </w: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У разі неможливості видалення правопорушника з приміщення суду судовий розпорядник повинен звернутися до Служби судової охорони;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складати протоколи про адміністративні правопорушення, передбачені частинами першою та другою статті 185</w:t>
      </w:r>
      <w:r w:rsidRPr="00105A9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6. Працівники служби зобов’язані: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забезпечувати неухильне виконання розпоряджень головуючого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забезпечувати належний стан зали судового засідання, підготовку її до слухання справи й доповідати про готовність головуючому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визначати з урахуванням кількості місць конкретні місця розміщення та можливу кількість осіб, які можуть бути присутніми в залі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оголошувати про вхід суду до зали судового засідання і  вихід з неї та пропонувати всім присутнім встати;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запрошувати за розпорядженням головуючого судді до зали судового засідання свідків, експертів, перекладачів, приводити їх до присяги;</w:t>
      </w:r>
    </w:p>
    <w:p w:rsidR="00105A96" w:rsidRDefault="00105A96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6) запрошувати за розпорядженням головуючого судді до зали судового засідання інших учасників судового процесу;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7) за розпорядженням головуючого судді приймати від учасників судового процесу документи, докази та інші матеріали, що стосуються </w:t>
      </w: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розгляду справи, і передавати їх головуючому судді під час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8) забезпечувати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9) забезпечувати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10) сприяти доступу до приміщень суду та зали судового засідання осіб з обмеженими фізичними можливостями під час реалізації ними своїх прав;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11) забезпечувати координацію діяльності щодо</w:t>
      </w:r>
      <w:r w:rsidR="00105A96">
        <w:rPr>
          <w:rFonts w:ascii="Times New Roman" w:hAnsi="Times New Roman"/>
          <w:sz w:val="28"/>
          <w:szCs w:val="28"/>
          <w:lang w:val="uk-UA"/>
        </w:rPr>
        <w:t xml:space="preserve"> доставки в судове засідання підозрюваних і обвинувачени</w:t>
      </w:r>
      <w:r w:rsidRPr="00C77F84">
        <w:rPr>
          <w:rFonts w:ascii="Times New Roman" w:hAnsi="Times New Roman"/>
          <w:sz w:val="28"/>
          <w:szCs w:val="28"/>
          <w:lang w:val="uk-UA"/>
        </w:rPr>
        <w:t>х, які тримаються під вартою, та інформувати головуючого суддю про затримку чи неможливість доставки цих осіб у суд;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12) виконувати інші розпорядження головуючого судді, пов’язані із створенням умов, необхідних для розгляду справи;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13) забезпечувати взаємодію з працівниками Національної поліції України, Національної гвардії України, Служби судової охорони; 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14) вживати заходів безпеки щодо недопущення виведення з ладу засобів фіксування судового процесу особами, присутніми в залі судового засідання;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15) забезпечувати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7. Працівники служби не повинні допускати дій і вчинків, які можуть зашкодити інтересам державної служби, заподіяти шкоду підприємствам, установам, організаціям і громадянам, 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8. Працівники служби у випадку невиконання чи неналежного виконання своїх посадових обов’язків несуть відповідальність згідно із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9. Працівники служби під час виконання своїх обов’язків та завдань взаємодіють з ДСА України, її територіальним управлінням, працівниками </w:t>
      </w: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апарату суду та  іншими підприємствами, установами, організаціями, у тому числі зі Службою судової охорони</w:t>
      </w:r>
      <w:r w:rsidR="00A3549B">
        <w:rPr>
          <w:rFonts w:ascii="Times New Roman" w:hAnsi="Times New Roman"/>
          <w:sz w:val="28"/>
          <w:szCs w:val="28"/>
          <w:lang w:val="uk-UA"/>
        </w:rPr>
        <w:t>,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>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10. Працівники служби виконують свої повноваження в однострої.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>ІV. Керівник служби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Керівник служби призначається на посаду та звільняється з посади керівником апарату суду.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На посаду керівника служби місцевого загального суду призначається особа, яка має ступінь вищої освіти магістр в галузі знань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та досвід роботи на посадах державної служби категорій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Б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В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року, вільно володіє державною мовою.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На посаду керівника служби інших судів призначається особа, яка має ступінь вищої освіти магістр в галузі знань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та досвід роботи на посадах державної служби категорій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Б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В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вільно володіє державною мовою.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Керівник служби, крім виконання обов’язків судового розпорядника, організовує роботу служби, вносить пропозиції керівнику апарату суду щодо поліпшення умов, удосконалення форм і методів роботи судових розпорядників, забезпечення належної взаємодії зі Службою судової охорони,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 xml:space="preserve">Національною поліцією України, Національною гвардією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та працівниками апарату суду. 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>V. Організація діяльності служби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Організаційне забезпечення діяльності служби у Верховному Суді, вищих спеціалізованих та апеляційних судах здійснює ДСА України, а в місцевих судах – територіальні управління.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2. З метою належної організації роботи служби ДСА України в межах повноважень: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надає практичну та методичну допомогу щодо застосування відповідних нормативно-правових актів з питань діяльності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контролює виконання службою вимог законодавства України, а також аналізує практику застосування законодавства з питань, що належать до її повноважень,  розробляє пропозиції щодо вдосконалення законодавства у відповідних сферах;</w:t>
      </w: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3) видає нормативно-правові акти, що стосуються діяльності служби;</w:t>
      </w:r>
    </w:p>
    <w:p w:rsidR="0007148F" w:rsidRDefault="0007148F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здійснює заходи організаційного характеру, спрямовані на підвищення ефективності роботи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забезпечує належні умови для підвищення кваліфікації судових розпорядників;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6) вживає заходів щодо забезпечення служби одностроєм, а також необхідною методичною та нормативно-правовою літературою;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7) впроваджує сучасні форми та методи роботи в діяльність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8) вживає інші заходи організаційного характеру, передбачені законодавством України. </w:t>
      </w:r>
    </w:p>
    <w:p w:rsidR="00BD4F43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Pr="006428C4" w:rsidRDefault="002C63F5" w:rsidP="002C63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BD4F43" w:rsidRPr="006428C4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D2D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8C4">
        <w:rPr>
          <w:rFonts w:ascii="Times New Roman" w:hAnsi="Times New Roman"/>
          <w:sz w:val="28"/>
          <w:szCs w:val="28"/>
          <w:lang w:val="uk-UA"/>
        </w:rPr>
        <w:t> </w:t>
      </w:r>
    </w:p>
    <w:p w:rsidR="006307AB" w:rsidRDefault="006307AB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307AB" w:rsidSect="00A3549B">
      <w:headerReference w:type="default" r:id="rId9"/>
      <w:pgSz w:w="11906" w:h="16838"/>
      <w:pgMar w:top="1276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49" w:rsidRDefault="00472A49" w:rsidP="00C0570C">
      <w:pPr>
        <w:spacing w:after="0" w:line="240" w:lineRule="auto"/>
      </w:pPr>
      <w:r>
        <w:separator/>
      </w:r>
    </w:p>
  </w:endnote>
  <w:endnote w:type="continuationSeparator" w:id="0">
    <w:p w:rsidR="00472A49" w:rsidRDefault="00472A49" w:rsidP="00C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49" w:rsidRDefault="00472A49" w:rsidP="00C0570C">
      <w:pPr>
        <w:spacing w:after="0" w:line="240" w:lineRule="auto"/>
      </w:pPr>
      <w:r>
        <w:separator/>
      </w:r>
    </w:p>
  </w:footnote>
  <w:footnote w:type="continuationSeparator" w:id="0">
    <w:p w:rsidR="00472A49" w:rsidRDefault="00472A49" w:rsidP="00C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0C" w:rsidRPr="00F30A00" w:rsidRDefault="00C0570C" w:rsidP="00F30A00">
    <w:pPr>
      <w:pStyle w:val="aa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391E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C02"/>
    <w:multiLevelType w:val="hybridMultilevel"/>
    <w:tmpl w:val="4F4A56BE"/>
    <w:lvl w:ilvl="0" w:tplc="E7BEF2E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42A3CBF"/>
    <w:multiLevelType w:val="hybridMultilevel"/>
    <w:tmpl w:val="2C6C9268"/>
    <w:lvl w:ilvl="0" w:tplc="99CEFFA0">
      <w:start w:val="1"/>
      <w:numFmt w:val="decimal"/>
      <w:lvlText w:val="%1)"/>
      <w:lvlJc w:val="left"/>
      <w:pPr>
        <w:ind w:left="984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8" w:hanging="360"/>
      </w:pPr>
    </w:lvl>
    <w:lvl w:ilvl="2" w:tplc="0419001B" w:tentative="1">
      <w:start w:val="1"/>
      <w:numFmt w:val="lowerRoman"/>
      <w:lvlText w:val="%3."/>
      <w:lvlJc w:val="right"/>
      <w:pPr>
        <w:ind w:left="10338" w:hanging="180"/>
      </w:pPr>
    </w:lvl>
    <w:lvl w:ilvl="3" w:tplc="0419000F" w:tentative="1">
      <w:start w:val="1"/>
      <w:numFmt w:val="decimal"/>
      <w:lvlText w:val="%4."/>
      <w:lvlJc w:val="left"/>
      <w:pPr>
        <w:ind w:left="11058" w:hanging="360"/>
      </w:pPr>
    </w:lvl>
    <w:lvl w:ilvl="4" w:tplc="04190019" w:tentative="1">
      <w:start w:val="1"/>
      <w:numFmt w:val="lowerLetter"/>
      <w:lvlText w:val="%5."/>
      <w:lvlJc w:val="left"/>
      <w:pPr>
        <w:ind w:left="11778" w:hanging="360"/>
      </w:pPr>
    </w:lvl>
    <w:lvl w:ilvl="5" w:tplc="0419001B" w:tentative="1">
      <w:start w:val="1"/>
      <w:numFmt w:val="lowerRoman"/>
      <w:lvlText w:val="%6."/>
      <w:lvlJc w:val="right"/>
      <w:pPr>
        <w:ind w:left="12498" w:hanging="180"/>
      </w:pPr>
    </w:lvl>
    <w:lvl w:ilvl="6" w:tplc="0419000F" w:tentative="1">
      <w:start w:val="1"/>
      <w:numFmt w:val="decimal"/>
      <w:lvlText w:val="%7."/>
      <w:lvlJc w:val="left"/>
      <w:pPr>
        <w:ind w:left="13218" w:hanging="360"/>
      </w:pPr>
    </w:lvl>
    <w:lvl w:ilvl="7" w:tplc="04190019" w:tentative="1">
      <w:start w:val="1"/>
      <w:numFmt w:val="lowerLetter"/>
      <w:lvlText w:val="%8."/>
      <w:lvlJc w:val="left"/>
      <w:pPr>
        <w:ind w:left="13938" w:hanging="360"/>
      </w:pPr>
    </w:lvl>
    <w:lvl w:ilvl="8" w:tplc="0419001B" w:tentative="1">
      <w:start w:val="1"/>
      <w:numFmt w:val="lowerRoman"/>
      <w:lvlText w:val="%9."/>
      <w:lvlJc w:val="right"/>
      <w:pPr>
        <w:ind w:left="14658" w:hanging="180"/>
      </w:pPr>
    </w:lvl>
  </w:abstractNum>
  <w:abstractNum w:abstractNumId="2">
    <w:nsid w:val="1A6C5825"/>
    <w:multiLevelType w:val="hybridMultilevel"/>
    <w:tmpl w:val="E5C8DBFA"/>
    <w:lvl w:ilvl="0" w:tplc="7A5CA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E36CC"/>
    <w:multiLevelType w:val="hybridMultilevel"/>
    <w:tmpl w:val="F12CECE0"/>
    <w:lvl w:ilvl="0" w:tplc="6F2C8710">
      <w:start w:val="3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3531636D"/>
    <w:multiLevelType w:val="hybridMultilevel"/>
    <w:tmpl w:val="38B4BF86"/>
    <w:lvl w:ilvl="0" w:tplc="8DA8E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084904"/>
    <w:multiLevelType w:val="multilevel"/>
    <w:tmpl w:val="B7CED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8355B4B"/>
    <w:multiLevelType w:val="hybridMultilevel"/>
    <w:tmpl w:val="F8080D4E"/>
    <w:lvl w:ilvl="0" w:tplc="2250A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140E39"/>
    <w:multiLevelType w:val="hybridMultilevel"/>
    <w:tmpl w:val="B1B28744"/>
    <w:lvl w:ilvl="0" w:tplc="2D9A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12"/>
    <w:rsid w:val="00035F31"/>
    <w:rsid w:val="00053131"/>
    <w:rsid w:val="00055E1E"/>
    <w:rsid w:val="000629E8"/>
    <w:rsid w:val="0007148F"/>
    <w:rsid w:val="00095A39"/>
    <w:rsid w:val="000A7F16"/>
    <w:rsid w:val="000C0353"/>
    <w:rsid w:val="000E27BA"/>
    <w:rsid w:val="00102E53"/>
    <w:rsid w:val="00105A96"/>
    <w:rsid w:val="00123F01"/>
    <w:rsid w:val="0015418A"/>
    <w:rsid w:val="00163250"/>
    <w:rsid w:val="0019350C"/>
    <w:rsid w:val="001C4C1B"/>
    <w:rsid w:val="001E56C2"/>
    <w:rsid w:val="0020594B"/>
    <w:rsid w:val="0023414C"/>
    <w:rsid w:val="00282D99"/>
    <w:rsid w:val="002A0695"/>
    <w:rsid w:val="002A6D2D"/>
    <w:rsid w:val="002C63F5"/>
    <w:rsid w:val="002D27FF"/>
    <w:rsid w:val="0030480B"/>
    <w:rsid w:val="00314588"/>
    <w:rsid w:val="00337878"/>
    <w:rsid w:val="00360ED2"/>
    <w:rsid w:val="00381366"/>
    <w:rsid w:val="00391E08"/>
    <w:rsid w:val="003C6A19"/>
    <w:rsid w:val="003E5D5E"/>
    <w:rsid w:val="003E703D"/>
    <w:rsid w:val="0040466B"/>
    <w:rsid w:val="00423B70"/>
    <w:rsid w:val="00426A05"/>
    <w:rsid w:val="00472A49"/>
    <w:rsid w:val="004837C1"/>
    <w:rsid w:val="004A41EF"/>
    <w:rsid w:val="004C2679"/>
    <w:rsid w:val="0051534B"/>
    <w:rsid w:val="00523D1D"/>
    <w:rsid w:val="00555644"/>
    <w:rsid w:val="005E0EAF"/>
    <w:rsid w:val="005E5F03"/>
    <w:rsid w:val="005F4123"/>
    <w:rsid w:val="006307AB"/>
    <w:rsid w:val="006428C4"/>
    <w:rsid w:val="0065669A"/>
    <w:rsid w:val="006D0F39"/>
    <w:rsid w:val="006D476E"/>
    <w:rsid w:val="006E3D28"/>
    <w:rsid w:val="006E5AEB"/>
    <w:rsid w:val="007325DB"/>
    <w:rsid w:val="00740E46"/>
    <w:rsid w:val="00742E37"/>
    <w:rsid w:val="007658CC"/>
    <w:rsid w:val="00784DA6"/>
    <w:rsid w:val="00793312"/>
    <w:rsid w:val="007971A4"/>
    <w:rsid w:val="007A7DDA"/>
    <w:rsid w:val="007F3321"/>
    <w:rsid w:val="008005FF"/>
    <w:rsid w:val="0081058E"/>
    <w:rsid w:val="0081165D"/>
    <w:rsid w:val="008301ED"/>
    <w:rsid w:val="008677E9"/>
    <w:rsid w:val="008866BD"/>
    <w:rsid w:val="008874AF"/>
    <w:rsid w:val="00894551"/>
    <w:rsid w:val="008A5669"/>
    <w:rsid w:val="008A7F60"/>
    <w:rsid w:val="008B7C67"/>
    <w:rsid w:val="008E6499"/>
    <w:rsid w:val="009478FF"/>
    <w:rsid w:val="00957081"/>
    <w:rsid w:val="0098451C"/>
    <w:rsid w:val="00A12BA0"/>
    <w:rsid w:val="00A31ACA"/>
    <w:rsid w:val="00A3549B"/>
    <w:rsid w:val="00A36EE3"/>
    <w:rsid w:val="00A75C4E"/>
    <w:rsid w:val="00A85524"/>
    <w:rsid w:val="00AA61A3"/>
    <w:rsid w:val="00AE1B90"/>
    <w:rsid w:val="00B03277"/>
    <w:rsid w:val="00B200F2"/>
    <w:rsid w:val="00B45AA3"/>
    <w:rsid w:val="00B863D3"/>
    <w:rsid w:val="00BA715C"/>
    <w:rsid w:val="00BD2C60"/>
    <w:rsid w:val="00BD4F43"/>
    <w:rsid w:val="00C0570C"/>
    <w:rsid w:val="00C11548"/>
    <w:rsid w:val="00C12D8E"/>
    <w:rsid w:val="00C25102"/>
    <w:rsid w:val="00C3417E"/>
    <w:rsid w:val="00C53C59"/>
    <w:rsid w:val="00C54874"/>
    <w:rsid w:val="00C56317"/>
    <w:rsid w:val="00C6367C"/>
    <w:rsid w:val="00C77F84"/>
    <w:rsid w:val="00C963BD"/>
    <w:rsid w:val="00CC3236"/>
    <w:rsid w:val="00CF0928"/>
    <w:rsid w:val="00D0340A"/>
    <w:rsid w:val="00D278BD"/>
    <w:rsid w:val="00D84B35"/>
    <w:rsid w:val="00DA5FC2"/>
    <w:rsid w:val="00DB0CD5"/>
    <w:rsid w:val="00DC5C0D"/>
    <w:rsid w:val="00DD690F"/>
    <w:rsid w:val="00E10A41"/>
    <w:rsid w:val="00E258D1"/>
    <w:rsid w:val="00E261EE"/>
    <w:rsid w:val="00E43C59"/>
    <w:rsid w:val="00E60BFC"/>
    <w:rsid w:val="00E96E22"/>
    <w:rsid w:val="00EE2466"/>
    <w:rsid w:val="00EF5489"/>
    <w:rsid w:val="00F04B97"/>
    <w:rsid w:val="00F30A00"/>
    <w:rsid w:val="00F404FA"/>
    <w:rsid w:val="00F62484"/>
    <w:rsid w:val="00F759FB"/>
    <w:rsid w:val="00F81EF7"/>
    <w:rsid w:val="00F8229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48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48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048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480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048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4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57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570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A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48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48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048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480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048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4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57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570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A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EAF-4AC2-47A3-98AC-22964F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fitsay</dc:creator>
  <cp:lastModifiedBy>laver</cp:lastModifiedBy>
  <cp:revision>4</cp:revision>
  <cp:lastPrinted>2016-11-10T10:12:00Z</cp:lastPrinted>
  <dcterms:created xsi:type="dcterms:W3CDTF">2017-07-20T09:53:00Z</dcterms:created>
  <dcterms:modified xsi:type="dcterms:W3CDTF">2017-07-24T08:42:00Z</dcterms:modified>
</cp:coreProperties>
</file>