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168B" w14:textId="77777777" w:rsidR="003459D1" w:rsidRPr="003459D1" w:rsidRDefault="003459D1" w:rsidP="003459D1">
      <w:pPr>
        <w:spacing w:before="100" w:beforeAutospacing="1" w:after="100" w:afterAutospacing="1" w:line="240" w:lineRule="auto"/>
        <w:outlineLvl w:val="0"/>
        <w:rPr>
          <w:rFonts w:ascii="Roboto Condensed Light" w:eastAsia="Times New Roman" w:hAnsi="Roboto Condensed Light" w:cs="Times New Roman"/>
          <w:b/>
          <w:bCs/>
          <w:kern w:val="36"/>
          <w:sz w:val="28"/>
          <w:szCs w:val="28"/>
          <w:lang w:eastAsia="uk-UA"/>
          <w14:ligatures w14:val="none"/>
        </w:rPr>
      </w:pPr>
      <w:r w:rsidRPr="003459D1">
        <w:rPr>
          <w:rFonts w:ascii="Roboto Condensed Light" w:eastAsia="Times New Roman" w:hAnsi="Roboto Condensed Light" w:cs="Times New Roman"/>
          <w:b/>
          <w:bCs/>
          <w:kern w:val="36"/>
          <w:sz w:val="28"/>
          <w:szCs w:val="28"/>
          <w:lang w:eastAsia="uk-UA"/>
          <w14:ligatures w14:val="none"/>
        </w:rPr>
        <w:t xml:space="preserve">Ухвала Верховного Суду від 18.11.2019 № </w:t>
      </w:r>
      <w:proofErr w:type="spellStart"/>
      <w:r w:rsidRPr="003459D1">
        <w:rPr>
          <w:rFonts w:ascii="Roboto Condensed Light" w:eastAsia="Times New Roman" w:hAnsi="Roboto Condensed Light" w:cs="Times New Roman"/>
          <w:b/>
          <w:bCs/>
          <w:kern w:val="36"/>
          <w:sz w:val="28"/>
          <w:szCs w:val="28"/>
          <w:lang w:eastAsia="uk-UA"/>
          <w14:ligatures w14:val="none"/>
        </w:rPr>
        <w:t>Пз</w:t>
      </w:r>
      <w:proofErr w:type="spellEnd"/>
      <w:r w:rsidRPr="003459D1">
        <w:rPr>
          <w:rFonts w:ascii="Roboto Condensed Light" w:eastAsia="Times New Roman" w:hAnsi="Roboto Condensed Light" w:cs="Times New Roman"/>
          <w:b/>
          <w:bCs/>
          <w:kern w:val="36"/>
          <w:sz w:val="28"/>
          <w:szCs w:val="28"/>
          <w:lang w:eastAsia="uk-UA"/>
          <w14:ligatures w14:val="none"/>
        </w:rPr>
        <w:t xml:space="preserve">/9901/20/19 (№ 160/8324/19) </w:t>
      </w:r>
    </w:p>
    <w:p w14:paraId="71589734" w14:textId="77777777" w:rsidR="003459D1" w:rsidRPr="003459D1" w:rsidRDefault="003459D1" w:rsidP="003459D1">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 </w:t>
      </w:r>
    </w:p>
    <w:p w14:paraId="6EAD9562" w14:textId="77777777" w:rsidR="003459D1" w:rsidRPr="003459D1" w:rsidRDefault="003459D1" w:rsidP="003459D1">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b/>
          <w:bCs/>
          <w:kern w:val="0"/>
          <w:sz w:val="28"/>
          <w:szCs w:val="28"/>
          <w:lang w:eastAsia="uk-UA"/>
          <w14:ligatures w14:val="none"/>
        </w:rPr>
        <w:t>УХВАЛА</w:t>
      </w:r>
    </w:p>
    <w:p w14:paraId="1448B53C" w14:textId="77777777" w:rsidR="003459D1" w:rsidRPr="003459D1" w:rsidRDefault="003459D1" w:rsidP="003459D1">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 </w:t>
      </w:r>
    </w:p>
    <w:p w14:paraId="445D702D" w14:textId="77777777" w:rsidR="003459D1" w:rsidRPr="003459D1" w:rsidRDefault="003459D1" w:rsidP="003459D1">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18 листопада 2019 року</w:t>
      </w:r>
    </w:p>
    <w:p w14:paraId="4FA53CB9" w14:textId="77777777" w:rsidR="003459D1" w:rsidRPr="003459D1" w:rsidRDefault="003459D1" w:rsidP="003459D1">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м. Київ</w:t>
      </w:r>
    </w:p>
    <w:p w14:paraId="11175EE6" w14:textId="77777777" w:rsidR="003459D1" w:rsidRPr="003459D1" w:rsidRDefault="003459D1" w:rsidP="003459D1">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справа № 160/8324/19</w:t>
      </w:r>
    </w:p>
    <w:p w14:paraId="48A0614A" w14:textId="77777777" w:rsidR="003459D1" w:rsidRPr="003459D1" w:rsidRDefault="003459D1" w:rsidP="003459D1">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адміністративне провадження №</w:t>
      </w:r>
      <w:proofErr w:type="spellStart"/>
      <w:r w:rsidRPr="003459D1">
        <w:rPr>
          <w:rFonts w:ascii="Roboto Condensed Light" w:eastAsia="Times New Roman" w:hAnsi="Roboto Condensed Light" w:cs="Times New Roman"/>
          <w:kern w:val="0"/>
          <w:sz w:val="28"/>
          <w:szCs w:val="28"/>
          <w:lang w:eastAsia="uk-UA"/>
          <w14:ligatures w14:val="none"/>
        </w:rPr>
        <w:t>Пз</w:t>
      </w:r>
      <w:proofErr w:type="spellEnd"/>
      <w:r w:rsidRPr="003459D1">
        <w:rPr>
          <w:rFonts w:ascii="Roboto Condensed Light" w:eastAsia="Times New Roman" w:hAnsi="Roboto Condensed Light" w:cs="Times New Roman"/>
          <w:kern w:val="0"/>
          <w:sz w:val="28"/>
          <w:szCs w:val="28"/>
          <w:lang w:eastAsia="uk-UA"/>
          <w14:ligatures w14:val="none"/>
        </w:rPr>
        <w:t>/9901/20/19</w:t>
      </w:r>
    </w:p>
    <w:p w14:paraId="4BC13584" w14:textId="77777777" w:rsidR="003459D1" w:rsidRPr="003459D1" w:rsidRDefault="003459D1" w:rsidP="003459D1">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b/>
          <w:bCs/>
          <w:kern w:val="0"/>
          <w:sz w:val="28"/>
          <w:szCs w:val="28"/>
          <w:lang w:eastAsia="uk-UA"/>
          <w14:ligatures w14:val="none"/>
        </w:rPr>
        <w:t> </w:t>
      </w:r>
    </w:p>
    <w:p w14:paraId="4E2ED66E" w14:textId="77777777" w:rsidR="003459D1" w:rsidRPr="003459D1" w:rsidRDefault="003459D1" w:rsidP="003459D1">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b/>
          <w:bCs/>
          <w:kern w:val="0"/>
          <w:sz w:val="28"/>
          <w:szCs w:val="28"/>
          <w:lang w:eastAsia="uk-UA"/>
          <w14:ligatures w14:val="none"/>
        </w:rPr>
        <w:t>Верховний Суд у складі колегії суддів Касаційного адміністративного суду</w:t>
      </w:r>
      <w:r w:rsidRPr="003459D1">
        <w:rPr>
          <w:rFonts w:ascii="Roboto Condensed Light" w:eastAsia="Times New Roman" w:hAnsi="Roboto Condensed Light" w:cs="Times New Roman"/>
          <w:kern w:val="0"/>
          <w:sz w:val="28"/>
          <w:szCs w:val="28"/>
          <w:lang w:eastAsia="uk-UA"/>
          <w14:ligatures w14:val="none"/>
        </w:rPr>
        <w:t>:</w:t>
      </w:r>
    </w:p>
    <w:p w14:paraId="75E50CC1" w14:textId="77777777" w:rsidR="003459D1" w:rsidRPr="003459D1" w:rsidRDefault="003459D1" w:rsidP="003459D1">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судді-доповідача - Рибачука А.І.,</w:t>
      </w:r>
    </w:p>
    <w:p w14:paraId="6F273D4C" w14:textId="77777777" w:rsidR="003459D1" w:rsidRPr="003459D1" w:rsidRDefault="003459D1" w:rsidP="003459D1">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 xml:space="preserve">суддів: </w:t>
      </w:r>
      <w:proofErr w:type="spellStart"/>
      <w:r w:rsidRPr="003459D1">
        <w:rPr>
          <w:rFonts w:ascii="Roboto Condensed Light" w:eastAsia="Times New Roman" w:hAnsi="Roboto Condensed Light" w:cs="Times New Roman"/>
          <w:kern w:val="0"/>
          <w:sz w:val="28"/>
          <w:szCs w:val="28"/>
          <w:lang w:eastAsia="uk-UA"/>
          <w14:ligatures w14:val="none"/>
        </w:rPr>
        <w:t>Берназюка</w:t>
      </w:r>
      <w:proofErr w:type="spellEnd"/>
      <w:r w:rsidRPr="003459D1">
        <w:rPr>
          <w:rFonts w:ascii="Roboto Condensed Light" w:eastAsia="Times New Roman" w:hAnsi="Roboto Condensed Light" w:cs="Times New Roman"/>
          <w:kern w:val="0"/>
          <w:sz w:val="28"/>
          <w:szCs w:val="28"/>
          <w:lang w:eastAsia="uk-UA"/>
          <w14:ligatures w14:val="none"/>
        </w:rPr>
        <w:t xml:space="preserve"> Я.О., </w:t>
      </w:r>
      <w:proofErr w:type="spellStart"/>
      <w:r w:rsidRPr="003459D1">
        <w:rPr>
          <w:rFonts w:ascii="Roboto Condensed Light" w:eastAsia="Times New Roman" w:hAnsi="Roboto Condensed Light" w:cs="Times New Roman"/>
          <w:kern w:val="0"/>
          <w:sz w:val="28"/>
          <w:szCs w:val="28"/>
          <w:lang w:eastAsia="uk-UA"/>
          <w14:ligatures w14:val="none"/>
        </w:rPr>
        <w:t>Бучик</w:t>
      </w:r>
      <w:proofErr w:type="spellEnd"/>
      <w:r w:rsidRPr="003459D1">
        <w:rPr>
          <w:rFonts w:ascii="Roboto Condensed Light" w:eastAsia="Times New Roman" w:hAnsi="Roboto Condensed Light" w:cs="Times New Roman"/>
          <w:kern w:val="0"/>
          <w:sz w:val="28"/>
          <w:szCs w:val="28"/>
          <w:lang w:eastAsia="uk-UA"/>
          <w14:ligatures w14:val="none"/>
        </w:rPr>
        <w:t xml:space="preserve"> А.Ю., </w:t>
      </w:r>
      <w:proofErr w:type="spellStart"/>
      <w:r w:rsidRPr="003459D1">
        <w:rPr>
          <w:rFonts w:ascii="Roboto Condensed Light" w:eastAsia="Times New Roman" w:hAnsi="Roboto Condensed Light" w:cs="Times New Roman"/>
          <w:kern w:val="0"/>
          <w:sz w:val="28"/>
          <w:szCs w:val="28"/>
          <w:lang w:eastAsia="uk-UA"/>
          <w14:ligatures w14:val="none"/>
        </w:rPr>
        <w:t>Желєзний</w:t>
      </w:r>
      <w:proofErr w:type="spellEnd"/>
      <w:r w:rsidRPr="003459D1">
        <w:rPr>
          <w:rFonts w:ascii="Roboto Condensed Light" w:eastAsia="Times New Roman" w:hAnsi="Roboto Condensed Light" w:cs="Times New Roman"/>
          <w:kern w:val="0"/>
          <w:sz w:val="28"/>
          <w:szCs w:val="28"/>
          <w:lang w:eastAsia="uk-UA"/>
          <w14:ligatures w14:val="none"/>
        </w:rPr>
        <w:t xml:space="preserve"> І.В., Мороз Л.Л.,</w:t>
      </w:r>
    </w:p>
    <w:p w14:paraId="4F67901C" w14:textId="77777777" w:rsidR="003459D1" w:rsidRPr="003459D1" w:rsidRDefault="003459D1" w:rsidP="003459D1">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 xml:space="preserve">розглянувши подання судді Дніпропетровського окружного адміністративного суду </w:t>
      </w:r>
      <w:proofErr w:type="spellStart"/>
      <w:r w:rsidRPr="003459D1">
        <w:rPr>
          <w:rFonts w:ascii="Roboto Condensed Light" w:eastAsia="Times New Roman" w:hAnsi="Roboto Condensed Light" w:cs="Times New Roman"/>
          <w:kern w:val="0"/>
          <w:sz w:val="28"/>
          <w:szCs w:val="28"/>
          <w:lang w:eastAsia="uk-UA"/>
          <w14:ligatures w14:val="none"/>
        </w:rPr>
        <w:t>Серьогіної</w:t>
      </w:r>
      <w:proofErr w:type="spellEnd"/>
      <w:r w:rsidRPr="003459D1">
        <w:rPr>
          <w:rFonts w:ascii="Roboto Condensed Light" w:eastAsia="Times New Roman" w:hAnsi="Roboto Condensed Light" w:cs="Times New Roman"/>
          <w:kern w:val="0"/>
          <w:sz w:val="28"/>
          <w:szCs w:val="28"/>
          <w:lang w:eastAsia="uk-UA"/>
          <w14:ligatures w14:val="none"/>
        </w:rPr>
        <w:t xml:space="preserve"> О.В. про розгляд Верховним Судом як зразкової справи № 160/8324/19 за позовом ОСОБА_1 до Дніпропетровського обласного територіального центру комплектування та соціальної підтримки Міністерства оборони України (далі – Дніпропетровський обласний територіальний центр комплектування та соціальної підтримки) про визнання протиправними дій та зобов'язання вчинити певні дії,</w:t>
      </w:r>
    </w:p>
    <w:p w14:paraId="5310539E" w14:textId="77777777" w:rsidR="003459D1" w:rsidRPr="003459D1" w:rsidRDefault="003459D1" w:rsidP="003459D1">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b/>
          <w:bCs/>
          <w:kern w:val="0"/>
          <w:sz w:val="28"/>
          <w:szCs w:val="28"/>
          <w:lang w:eastAsia="uk-UA"/>
          <w14:ligatures w14:val="none"/>
        </w:rPr>
        <w:t>ВСТАНОВИВ:</w:t>
      </w:r>
    </w:p>
    <w:p w14:paraId="3464BF3F" w14:textId="77777777" w:rsidR="003459D1" w:rsidRPr="003459D1" w:rsidRDefault="003459D1" w:rsidP="003459D1">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 xml:space="preserve">11.11.2019 до Верховного Суду надійшли матеріали адміністративної справи №160/8324/19 разом з поданням судді Дніпропетровського окружного адміністративного суду </w:t>
      </w:r>
      <w:proofErr w:type="spellStart"/>
      <w:r w:rsidRPr="003459D1">
        <w:rPr>
          <w:rFonts w:ascii="Roboto Condensed Light" w:eastAsia="Times New Roman" w:hAnsi="Roboto Condensed Light" w:cs="Times New Roman"/>
          <w:kern w:val="0"/>
          <w:sz w:val="28"/>
          <w:szCs w:val="28"/>
          <w:lang w:eastAsia="uk-UA"/>
          <w14:ligatures w14:val="none"/>
        </w:rPr>
        <w:t>Серьогіної</w:t>
      </w:r>
      <w:proofErr w:type="spellEnd"/>
      <w:r w:rsidRPr="003459D1">
        <w:rPr>
          <w:rFonts w:ascii="Roboto Condensed Light" w:eastAsia="Times New Roman" w:hAnsi="Roboto Condensed Light" w:cs="Times New Roman"/>
          <w:kern w:val="0"/>
          <w:sz w:val="28"/>
          <w:szCs w:val="28"/>
          <w:lang w:eastAsia="uk-UA"/>
          <w14:ligatures w14:val="none"/>
        </w:rPr>
        <w:t xml:space="preserve"> О.В. про розгляд цієї справи Верховним Судом як зразкової.</w:t>
      </w:r>
    </w:p>
    <w:p w14:paraId="1809AE7A" w14:textId="77777777" w:rsidR="003459D1" w:rsidRPr="003459D1" w:rsidRDefault="003459D1" w:rsidP="003459D1">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Доцільність розгляду цієї справи Верховним Судом як зразкової обґрунтовано тим, що у провадженні Дніпропетровського окружного адміністративного суду перебуває 53 типові справи, спір у яких виник з аналогічних підстав, у відносинах, що регулюються одними нормами права та у яких позивачами заявлені аналогічні вимоги.</w:t>
      </w:r>
    </w:p>
    <w:p w14:paraId="467748F3" w14:textId="77777777" w:rsidR="003459D1" w:rsidRPr="003459D1" w:rsidRDefault="003459D1" w:rsidP="003459D1">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 xml:space="preserve">Суддя Дніпропетровського окружного адміністративного суду </w:t>
      </w:r>
      <w:proofErr w:type="spellStart"/>
      <w:r w:rsidRPr="003459D1">
        <w:rPr>
          <w:rFonts w:ascii="Roboto Condensed Light" w:eastAsia="Times New Roman" w:hAnsi="Roboto Condensed Light" w:cs="Times New Roman"/>
          <w:kern w:val="0"/>
          <w:sz w:val="28"/>
          <w:szCs w:val="28"/>
          <w:lang w:eastAsia="uk-UA"/>
          <w14:ligatures w14:val="none"/>
        </w:rPr>
        <w:t>Серьогіна</w:t>
      </w:r>
      <w:proofErr w:type="spellEnd"/>
      <w:r w:rsidRPr="003459D1">
        <w:rPr>
          <w:rFonts w:ascii="Roboto Condensed Light" w:eastAsia="Times New Roman" w:hAnsi="Roboto Condensed Light" w:cs="Times New Roman"/>
          <w:kern w:val="0"/>
          <w:sz w:val="28"/>
          <w:szCs w:val="28"/>
          <w:lang w:eastAsia="uk-UA"/>
          <w14:ligatures w14:val="none"/>
        </w:rPr>
        <w:t xml:space="preserve"> О.В. ухвалою від 16.09.2019 відкрила провадження у справі № 160/8324/19 за позовом ОСОБА _1 до Дніпропетровського обласного територіального центру </w:t>
      </w:r>
      <w:r w:rsidRPr="003459D1">
        <w:rPr>
          <w:rFonts w:ascii="Roboto Condensed Light" w:eastAsia="Times New Roman" w:hAnsi="Roboto Condensed Light" w:cs="Times New Roman"/>
          <w:kern w:val="0"/>
          <w:sz w:val="28"/>
          <w:szCs w:val="28"/>
          <w:lang w:eastAsia="uk-UA"/>
          <w14:ligatures w14:val="none"/>
        </w:rPr>
        <w:lastRenderedPageBreak/>
        <w:t>комплектування та соціальної підтримки про визнання протиправними дій та зобов'язання вчинити певні дії.</w:t>
      </w:r>
    </w:p>
    <w:p w14:paraId="693668D1" w14:textId="77777777" w:rsidR="003459D1" w:rsidRPr="003459D1" w:rsidRDefault="003459D1" w:rsidP="003459D1">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У вказаній справі позивач заявив наступні вимоги:</w:t>
      </w:r>
    </w:p>
    <w:p w14:paraId="67601242" w14:textId="77777777" w:rsidR="003459D1" w:rsidRPr="003459D1" w:rsidRDefault="003459D1" w:rsidP="003459D1">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визнати протиправними дії Дніпропетровського обласного територіального центру комплектування та соціальної підтримки щодо відмови позивачу у підготовці та надані до Головного управління Пенсійного фонду України в Дніпропетровській області (далі – ГУ ПФУ) оновленої довідки про розмір грошового забезпечення позивача станом на 05.03.2019, у відповідності до вимог статей 43 і 63 Закону України від 09.04.1992 № 2262-ХІІ “Про пенсійне забезпечення осіб, звільнених з військової служби, та деяких інших осіб” (далі – Закон № 2262-ХІІ), положень постанови Кабінету Міністрів України від 30.08.2017 №704 “Про грошове забезпечення військовослужбовців, осіб рядового і начальницького складу та деяких інших осіб” (далі – постанова № 704), із обов`язковим зазначенням відомостей про розміри щомісячних додаткових видів грошового забезпечення (надбавки, доплати, підвищення) та премії, для здійснення обчислення та перерахунку з 01.04.2019 основного розміру пенсії;</w:t>
      </w:r>
    </w:p>
    <w:p w14:paraId="6BA9633D" w14:textId="77777777" w:rsidR="003459D1" w:rsidRPr="003459D1" w:rsidRDefault="003459D1" w:rsidP="003459D1">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зобов`язати Дніпропетровський обласний територіальний центр комплектування та соціальної підтримки підготувати та надати до ГУ ПФУ нову довідку про розмір грошового забезпечення ОСОБА_1, станом на 05.03.2019, у відповідності до вимог статей 43 і 63 Закону №2262-ХІІ, статті 9 Закону України від 20.12.1991 №2011-XII “Про соціальний і правовий захист військовослужбовців та членів їх сімей” та з врахуванням положень постанови №704, із обов`язковим зазначенням відомостей про розміри щомісячних додаткових видів грошового забезпечення (надбавки, доплати, підвищення) та премії, для проведення з 01.04.2019 перерахунку основного розміру пенсії.</w:t>
      </w:r>
    </w:p>
    <w:p w14:paraId="5C50FF43" w14:textId="77777777" w:rsidR="003459D1" w:rsidRPr="003459D1" w:rsidRDefault="003459D1" w:rsidP="003459D1">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 xml:space="preserve">Позов ОСОБА_1 обґрунтував тим, що у зв’язку із набранням законної сили 05.03.2019 судовим рішенням у справі № 26/3858/18, яким було визнано протиправними та нечинними пункти 1, 2 постанови Кабінету Міністрів України від 21.02.2018 № 103 “Про перерахунок пенсій особам, які звільнені з військової служби, та деяким іншим категоріям осіб” та зміни до пункту 5 і додатка 2 Порядку проведення перерахунку пенсій, призначених відповідно до Закону України “Про пенсійне забезпечення осіб, звільнених з військової служби, та деяких інших осіб”, затвердженого постановою Кабінету Міністрів України від 13.02.2008 № 45 “Про затвердження Порядку проведення перерахунку пенсій, призначених відповідно до Закону України “Про пенсійне забезпечення осіб, звільнених з військової служби, та деяких інших осіб” (далі – Порядок № 45), зокрема щодо переліку видів грошового забезпечення, що обов`язково повинні включатися до довідки про розмір грошового забезпечення позивача (військового пенсіонера) та, які в подальшому повинні враховуватися пенсійним органом під час обчислення пенсії та під час проведення її перерахунку, а також щодо форми цієї довідки, відповідач повинен керуватись актами вищої юридичної сили, а саме положеннями статей 43 та 63 Закону №2262-ХІІ та статті 9 </w:t>
      </w:r>
      <w:r w:rsidRPr="003459D1">
        <w:rPr>
          <w:rFonts w:ascii="Roboto Condensed Light" w:eastAsia="Times New Roman" w:hAnsi="Roboto Condensed Light" w:cs="Times New Roman"/>
          <w:kern w:val="0"/>
          <w:sz w:val="28"/>
          <w:szCs w:val="28"/>
          <w:lang w:eastAsia="uk-UA"/>
          <w14:ligatures w14:val="none"/>
        </w:rPr>
        <w:lastRenderedPageBreak/>
        <w:t>Закону №2011-XII, які визначають перелік таких видів грошового забезпечення (в редакції чинній на момент виникнення спірних правовідносин). Відтак відмова Дніпропетровського територіального центру комплектування та соціальної підтримки у підготовці та надані до ГУ ПФУ оновленої довідки про розмір грошового забезпечені позивача станом на 05.03.2019, у зв`язку з тим, що Урядом не приведено у відповідність підзаконні нормативно-правові акти (не внесені зміни у Порядок № 45 щодо форми довідки), є протиправною і такою, що порушує вимоги статей  3, 8, 9, 19, 22, 24, 46, 58, 124 Конституції України, пенсійне законодавство України, Закон України від 06.09.2012 №5207-VI “Про засади запобігання та протидії дискримінації в Україні” та гарантоване статтею 1 Першого протоколу Європейської конвенції про захист прав людини і основоположних свобод право позивача мирно володіти своїм майном.</w:t>
      </w:r>
    </w:p>
    <w:p w14:paraId="2A5DA0F5" w14:textId="77777777" w:rsidR="003459D1" w:rsidRPr="003459D1" w:rsidRDefault="003459D1" w:rsidP="003459D1">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Розглянувши матеріали типових справ у поєднанні зі справою, за якою надійшло подання про її розгляд як зразкової, Верховний Суд дійшов висновку, що ці справи відповідають ознакам типових, визначених пунктом 21 частини першої статті 4 Кодексу адміністративного судочинства України, оскільки:</w:t>
      </w:r>
    </w:p>
    <w:p w14:paraId="64F494E5" w14:textId="77777777" w:rsidR="003459D1" w:rsidRPr="003459D1" w:rsidRDefault="003459D1" w:rsidP="003459D1">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позивачами у них є особи, які отримують пенсію відповідно до Закону № 2262-ХІІ;</w:t>
      </w:r>
    </w:p>
    <w:p w14:paraId="1600F062" w14:textId="77777777" w:rsidR="003459D1" w:rsidRPr="003459D1" w:rsidRDefault="003459D1" w:rsidP="003459D1">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відповідачем у них є один і той самий суб'єкт владних повноважень (орган, уповноважений видавати довідки про розмір грошового забезпечення для перерахунку пенсії);</w:t>
      </w:r>
    </w:p>
    <w:p w14:paraId="3D129540" w14:textId="77777777" w:rsidR="003459D1" w:rsidRPr="003459D1" w:rsidRDefault="003459D1" w:rsidP="003459D1">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 xml:space="preserve">спір виник з аналогічних підстав у відносинах, що регулюються одними нормами права (у зв'язку із відмовою уповноваженого органу підготувати та надати до територіального </w:t>
      </w:r>
      <w:proofErr w:type="spellStart"/>
      <w:r w:rsidRPr="003459D1">
        <w:rPr>
          <w:rFonts w:ascii="Roboto Condensed Light" w:eastAsia="Times New Roman" w:hAnsi="Roboto Condensed Light" w:cs="Times New Roman"/>
          <w:kern w:val="0"/>
          <w:sz w:val="28"/>
          <w:szCs w:val="28"/>
          <w:lang w:eastAsia="uk-UA"/>
          <w14:ligatures w14:val="none"/>
        </w:rPr>
        <w:t>орагу</w:t>
      </w:r>
      <w:proofErr w:type="spellEnd"/>
      <w:r w:rsidRPr="003459D1">
        <w:rPr>
          <w:rFonts w:ascii="Roboto Condensed Light" w:eastAsia="Times New Roman" w:hAnsi="Roboto Condensed Light" w:cs="Times New Roman"/>
          <w:kern w:val="0"/>
          <w:sz w:val="28"/>
          <w:szCs w:val="28"/>
          <w:lang w:eastAsia="uk-UA"/>
          <w14:ligatures w14:val="none"/>
        </w:rPr>
        <w:t xml:space="preserve"> Пенсійного фонду України оновлену довідку про розмір грошового забезпечення станом на 05.03.2019 із зазначенням відомостей про розмір щомісячних додаткових видів грошового забезпечення (надбавки, доплати, підвищення) та премії, для здійснення обчислення та перерахунку пенсії;</w:t>
      </w:r>
    </w:p>
    <w:p w14:paraId="0CF49431" w14:textId="77777777" w:rsidR="003459D1" w:rsidRPr="003459D1" w:rsidRDefault="003459D1" w:rsidP="003459D1">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 xml:space="preserve">позивачі заявили аналогічні позовні вимоги (по-різному висловлені, але однакові по суті: визнати протиправними дії відповідача щодо відмови позивачу у підготовці та надані до територіального орану Пенсійного фонду </w:t>
      </w:r>
      <w:proofErr w:type="spellStart"/>
      <w:r w:rsidRPr="003459D1">
        <w:rPr>
          <w:rFonts w:ascii="Roboto Condensed Light" w:eastAsia="Times New Roman" w:hAnsi="Roboto Condensed Light" w:cs="Times New Roman"/>
          <w:kern w:val="0"/>
          <w:sz w:val="28"/>
          <w:szCs w:val="28"/>
          <w:lang w:eastAsia="uk-UA"/>
          <w14:ligatures w14:val="none"/>
        </w:rPr>
        <w:t>УКраїни</w:t>
      </w:r>
      <w:proofErr w:type="spellEnd"/>
      <w:r w:rsidRPr="003459D1">
        <w:rPr>
          <w:rFonts w:ascii="Roboto Condensed Light" w:eastAsia="Times New Roman" w:hAnsi="Roboto Condensed Light" w:cs="Times New Roman"/>
          <w:kern w:val="0"/>
          <w:sz w:val="28"/>
          <w:szCs w:val="28"/>
          <w:lang w:eastAsia="uk-UA"/>
          <w14:ligatures w14:val="none"/>
        </w:rPr>
        <w:t xml:space="preserve"> оновленої довідки про розмір грошового забезпечення позивача станом на 05.03.2019, у відповідності до вимог статей 43 і 63 Закону №2262-ХІІ, положень постанови № 704, із обов`язковим зазначенням відомостей про розміри щомісячних додаткових видів грошового забезпечення (надбавки, доплати, підвищення) та премії, для здійснення обчислення та перерахунку з 01.04.2019 основного розміру пенсії  та зобов`язати відповідача підготувати та надати до територіального органу Пенсійного фонду України таку довідку, у відповідності до вимог статей 43 і 63 Закону №2262-ХІІ, статті 9 Закону №2011-XII та з врахуванням положень постанови №704).</w:t>
      </w:r>
    </w:p>
    <w:p w14:paraId="1DE5CA69" w14:textId="77777777" w:rsidR="003459D1" w:rsidRPr="003459D1" w:rsidRDefault="003459D1" w:rsidP="003459D1">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Відповідно до частини п'ятої статті 290 Кодексу адміністративного судочинства України Верховний Суд вирішує зразкові справи за правилами спрощеного позовного провадження з урахуванням особливостей, визначених цією статтею.</w:t>
      </w:r>
    </w:p>
    <w:p w14:paraId="1392D0E0" w14:textId="77777777" w:rsidR="003459D1" w:rsidRPr="003459D1" w:rsidRDefault="003459D1" w:rsidP="003459D1">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lastRenderedPageBreak/>
        <w:t>Згідно з пунктом 2 частини першої статті 263 Кодексу адміністративного судочинства України справи щодо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 суд розглядає за правилами спрощеного позовного провадження без повідомлення учасників справи (у письмовому провадженні).</w:t>
      </w:r>
    </w:p>
    <w:p w14:paraId="0263D3BB" w14:textId="77777777" w:rsidR="003459D1" w:rsidRPr="003459D1" w:rsidRDefault="003459D1" w:rsidP="003459D1">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Правові наслідки судового рішення, ухваленого у зразковій справі, передбачені частиною третьою статті 291 Кодексу адміністративного судочинства України, якою встановлено, що при ухваленні рішення у типовій справі, яка відповідає ознакам, викладеним у рішенні Верховного Суду за результатами розгляду зразкової справи, суд має враховувати правові висновки Верховного Суду, викладені у рішенні за результатами розгляду зразкової справи.</w:t>
      </w:r>
    </w:p>
    <w:p w14:paraId="4ABE62CF" w14:textId="77777777" w:rsidR="003459D1" w:rsidRPr="003459D1" w:rsidRDefault="003459D1" w:rsidP="003459D1">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Згідно з частиною одинадцятою статті 290 Кодексу адміністративного судочинства України рішення Верховного Суду у зразковій справі підлягає перегляду Великою Палатою Верховного Суду за правилами перегляду рішень в апеляційному порядку, визначеному цим Кодексом.</w:t>
      </w:r>
    </w:p>
    <w:p w14:paraId="04E169AF" w14:textId="77777777" w:rsidR="003459D1" w:rsidRPr="003459D1" w:rsidRDefault="003459D1" w:rsidP="003459D1">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На підставі викладеного, керуючись статтями 257 – 263, 290 Кодексу адміністративного судочинства України,</w:t>
      </w:r>
    </w:p>
    <w:p w14:paraId="56A017D2" w14:textId="77777777" w:rsidR="003459D1" w:rsidRPr="003459D1" w:rsidRDefault="003459D1" w:rsidP="003459D1">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b/>
          <w:bCs/>
          <w:kern w:val="0"/>
          <w:sz w:val="28"/>
          <w:szCs w:val="28"/>
          <w:lang w:eastAsia="uk-UA"/>
          <w14:ligatures w14:val="none"/>
        </w:rPr>
        <w:t>УХВАЛИВ:</w:t>
      </w:r>
    </w:p>
    <w:p w14:paraId="56BEA46F" w14:textId="77777777" w:rsidR="003459D1" w:rsidRPr="003459D1" w:rsidRDefault="003459D1" w:rsidP="003459D1">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Відкрити провадження у зразковій адміністративній справі за ОСОБА_1 до Дніпропетровського обласного територіального центру комплектування та соціальної підтримки Міністерства оборони України про визнання протиправними дій та зобов'язання вчинити певні дії.</w:t>
      </w:r>
    </w:p>
    <w:p w14:paraId="6AB72BA9" w14:textId="77777777" w:rsidR="003459D1" w:rsidRPr="003459D1" w:rsidRDefault="003459D1" w:rsidP="003459D1">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Справу розглядати за правилами спрощеного позовного провадження колегією суддів у складі п'яти суддів.</w:t>
      </w:r>
    </w:p>
    <w:p w14:paraId="1012DD78" w14:textId="77777777" w:rsidR="003459D1" w:rsidRPr="003459D1" w:rsidRDefault="003459D1" w:rsidP="003459D1">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 xml:space="preserve">Справу призначити до розгляду без повідомлення (виклику) сторін на 02.12.2019 в приміщенні суду за </w:t>
      </w:r>
      <w:proofErr w:type="spellStart"/>
      <w:r w:rsidRPr="003459D1">
        <w:rPr>
          <w:rFonts w:ascii="Roboto Condensed Light" w:eastAsia="Times New Roman" w:hAnsi="Roboto Condensed Light" w:cs="Times New Roman"/>
          <w:kern w:val="0"/>
          <w:sz w:val="28"/>
          <w:szCs w:val="28"/>
          <w:lang w:eastAsia="uk-UA"/>
          <w14:ligatures w14:val="none"/>
        </w:rPr>
        <w:t>адресою</w:t>
      </w:r>
      <w:proofErr w:type="spellEnd"/>
      <w:r w:rsidRPr="003459D1">
        <w:rPr>
          <w:rFonts w:ascii="Roboto Condensed Light" w:eastAsia="Times New Roman" w:hAnsi="Roboto Condensed Light" w:cs="Times New Roman"/>
          <w:kern w:val="0"/>
          <w:sz w:val="28"/>
          <w:szCs w:val="28"/>
          <w:lang w:eastAsia="uk-UA"/>
          <w14:ligatures w14:val="none"/>
        </w:rPr>
        <w:t xml:space="preserve">: вул. Московська, 8, </w:t>
      </w:r>
      <w:proofErr w:type="spellStart"/>
      <w:r w:rsidRPr="003459D1">
        <w:rPr>
          <w:rFonts w:ascii="Roboto Condensed Light" w:eastAsia="Times New Roman" w:hAnsi="Roboto Condensed Light" w:cs="Times New Roman"/>
          <w:kern w:val="0"/>
          <w:sz w:val="28"/>
          <w:szCs w:val="28"/>
          <w:lang w:eastAsia="uk-UA"/>
          <w14:ligatures w14:val="none"/>
        </w:rPr>
        <w:t>корп</w:t>
      </w:r>
      <w:proofErr w:type="spellEnd"/>
      <w:r w:rsidRPr="003459D1">
        <w:rPr>
          <w:rFonts w:ascii="Roboto Condensed Light" w:eastAsia="Times New Roman" w:hAnsi="Roboto Condensed Light" w:cs="Times New Roman"/>
          <w:kern w:val="0"/>
          <w:sz w:val="28"/>
          <w:szCs w:val="28"/>
          <w:lang w:eastAsia="uk-UA"/>
          <w14:ligatures w14:val="none"/>
        </w:rPr>
        <w:t>. 5, м. Київ, 01029.</w:t>
      </w:r>
    </w:p>
    <w:p w14:paraId="3EC70DB9" w14:textId="77777777" w:rsidR="003459D1" w:rsidRPr="003459D1" w:rsidRDefault="003459D1" w:rsidP="003459D1">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Установити відповідачу п’ятнадцятиденний строк з дня отримання копії цієї ухвали для подання відзиву на позовну заяву та доказів, які підтверджують обставини, на яких ґрунтуються заперечення відповідача, а також документів, що підтверджують надіслання (надання) відзиву і доданих до нього доказів позивачу.</w:t>
      </w:r>
    </w:p>
    <w:p w14:paraId="756656D5" w14:textId="77777777" w:rsidR="003459D1" w:rsidRPr="003459D1" w:rsidRDefault="003459D1" w:rsidP="003459D1">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Установити позивачу триденний строк з дня отримання відзиву на позовну заяву для подання до суду відповіді на відзив та документів, що підтверджують надіслання (надання) відповіді на відзив і доданих до нього доказів відповідачу.</w:t>
      </w:r>
    </w:p>
    <w:p w14:paraId="721E2768" w14:textId="77777777" w:rsidR="003459D1" w:rsidRPr="003459D1" w:rsidRDefault="003459D1" w:rsidP="003459D1">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lastRenderedPageBreak/>
        <w:t>Установити відповідачу триденний строк з дня отримання відповіді на відзив для подання до суду заперечень проти відповіді на відзив і документів, що підтверджують надіслання (надання) заперечень і доданих до них доказів позивачу.</w:t>
      </w:r>
    </w:p>
    <w:p w14:paraId="09DAAEB4" w14:textId="77777777" w:rsidR="003459D1" w:rsidRPr="003459D1" w:rsidRDefault="003459D1" w:rsidP="003459D1">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Повідомити сторін, що відзив на позовну заяву (відзив), відповідь на відзив, заперечення та пояснення повинні відповідати вимогам частин другої – четвертої статті 162 Кодексу адміністративного судочинства України.</w:t>
      </w:r>
    </w:p>
    <w:p w14:paraId="256CF4DA" w14:textId="77777777" w:rsidR="003459D1" w:rsidRPr="003459D1" w:rsidRDefault="003459D1" w:rsidP="003459D1">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 xml:space="preserve">Повідомити сторін, що інформацію у справі, яка розглядається, учасники справи можуть отримати за </w:t>
      </w:r>
      <w:proofErr w:type="spellStart"/>
      <w:r w:rsidRPr="003459D1">
        <w:rPr>
          <w:rFonts w:ascii="Roboto Condensed Light" w:eastAsia="Times New Roman" w:hAnsi="Roboto Condensed Light" w:cs="Times New Roman"/>
          <w:kern w:val="0"/>
          <w:sz w:val="28"/>
          <w:szCs w:val="28"/>
          <w:lang w:eastAsia="uk-UA"/>
          <w14:ligatures w14:val="none"/>
        </w:rPr>
        <w:t>адресою</w:t>
      </w:r>
      <w:proofErr w:type="spellEnd"/>
      <w:r w:rsidRPr="003459D1">
        <w:rPr>
          <w:rFonts w:ascii="Roboto Condensed Light" w:eastAsia="Times New Roman" w:hAnsi="Roboto Condensed Light" w:cs="Times New Roman"/>
          <w:kern w:val="0"/>
          <w:sz w:val="28"/>
          <w:szCs w:val="28"/>
          <w:lang w:eastAsia="uk-UA"/>
          <w14:ligatures w14:val="none"/>
        </w:rPr>
        <w:t xml:space="preserve"> на офіційному веб-порталі судової влади України в мережі Інтернет: supreme.court.gov.ua.</w:t>
      </w:r>
    </w:p>
    <w:p w14:paraId="5FFA1148" w14:textId="77777777" w:rsidR="003459D1" w:rsidRPr="003459D1" w:rsidRDefault="003459D1" w:rsidP="003459D1">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Опублікувати цю ухвалу про відкриття провадження у зразковій справі на офіційному веб-порталі судової влади України, а також в одному із загальнодержавних друкованих засобів масової інформації.</w:t>
      </w:r>
    </w:p>
    <w:p w14:paraId="1775D8F1" w14:textId="77777777" w:rsidR="003459D1" w:rsidRPr="003459D1" w:rsidRDefault="003459D1" w:rsidP="003459D1">
      <w:pPr>
        <w:numPr>
          <w:ilvl w:val="0"/>
          <w:numId w:val="1"/>
        </w:num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Роз'яснити, що з моменту опублікування оголошення вважається, що всі заінтересовані особи належним чином повідомлені про розгляд зразкової справи.</w:t>
      </w:r>
    </w:p>
    <w:p w14:paraId="1F104A9A" w14:textId="77777777" w:rsidR="003459D1" w:rsidRPr="003459D1" w:rsidRDefault="003459D1" w:rsidP="003459D1">
      <w:pPr>
        <w:spacing w:before="100" w:beforeAutospacing="1" w:after="100" w:afterAutospacing="1" w:line="240" w:lineRule="auto"/>
        <w:jc w:val="both"/>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kern w:val="0"/>
          <w:sz w:val="28"/>
          <w:szCs w:val="28"/>
          <w:lang w:eastAsia="uk-UA"/>
          <w14:ligatures w14:val="none"/>
        </w:rPr>
        <w:t>Ухвала набирає законної сили з моменту її підписання і оскарженню не підлягає.</w:t>
      </w:r>
    </w:p>
    <w:p w14:paraId="4F0AC080" w14:textId="77777777" w:rsidR="003459D1" w:rsidRPr="003459D1" w:rsidRDefault="003459D1" w:rsidP="003459D1">
      <w:pPr>
        <w:spacing w:before="100" w:beforeAutospacing="1" w:after="100" w:afterAutospacing="1" w:line="240" w:lineRule="auto"/>
        <w:jc w:val="center"/>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b/>
          <w:bCs/>
          <w:kern w:val="0"/>
          <w:sz w:val="28"/>
          <w:szCs w:val="28"/>
          <w:lang w:eastAsia="uk-UA"/>
          <w14:ligatures w14:val="none"/>
        </w:rPr>
        <w:t> </w:t>
      </w:r>
    </w:p>
    <w:tbl>
      <w:tblPr>
        <w:tblW w:w="9999" w:type="dxa"/>
        <w:tblCellSpacing w:w="15" w:type="dxa"/>
        <w:tblCellMar>
          <w:top w:w="15" w:type="dxa"/>
          <w:left w:w="15" w:type="dxa"/>
          <w:bottom w:w="15" w:type="dxa"/>
          <w:right w:w="15" w:type="dxa"/>
        </w:tblCellMar>
        <w:tblLook w:val="04A0" w:firstRow="1" w:lastRow="0" w:firstColumn="1" w:lastColumn="0" w:noHBand="0" w:noVBand="1"/>
      </w:tblPr>
      <w:tblGrid>
        <w:gridCol w:w="3233"/>
        <w:gridCol w:w="3218"/>
        <w:gridCol w:w="3548"/>
      </w:tblGrid>
      <w:tr w:rsidR="003459D1" w:rsidRPr="003459D1" w14:paraId="6F363185" w14:textId="77777777" w:rsidTr="003459D1">
        <w:trPr>
          <w:tblCellSpacing w:w="15" w:type="dxa"/>
        </w:trPr>
        <w:tc>
          <w:tcPr>
            <w:tcW w:w="3120" w:type="dxa"/>
            <w:vAlign w:val="center"/>
            <w:hideMark/>
          </w:tcPr>
          <w:p w14:paraId="6A87BE12" w14:textId="77777777" w:rsidR="003459D1" w:rsidRPr="003459D1" w:rsidRDefault="003459D1" w:rsidP="003459D1">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b/>
                <w:bCs/>
                <w:kern w:val="0"/>
                <w:sz w:val="28"/>
                <w:szCs w:val="28"/>
                <w:lang w:eastAsia="uk-UA"/>
                <w14:ligatures w14:val="none"/>
              </w:rPr>
              <w:t xml:space="preserve">Головуючий суддя: </w:t>
            </w:r>
          </w:p>
        </w:tc>
        <w:tc>
          <w:tcPr>
            <w:tcW w:w="3120" w:type="dxa"/>
            <w:vAlign w:val="center"/>
            <w:hideMark/>
          </w:tcPr>
          <w:p w14:paraId="7493B4FE" w14:textId="77777777" w:rsidR="003459D1" w:rsidRPr="003459D1" w:rsidRDefault="003459D1" w:rsidP="003459D1">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b/>
                <w:bCs/>
                <w:kern w:val="0"/>
                <w:sz w:val="28"/>
                <w:szCs w:val="28"/>
                <w:lang w:eastAsia="uk-UA"/>
                <w14:ligatures w14:val="none"/>
              </w:rPr>
              <w:t>/підпис/</w:t>
            </w:r>
          </w:p>
        </w:tc>
        <w:tc>
          <w:tcPr>
            <w:tcW w:w="3429" w:type="dxa"/>
            <w:vAlign w:val="center"/>
            <w:hideMark/>
          </w:tcPr>
          <w:p w14:paraId="61936929" w14:textId="77777777" w:rsidR="003459D1" w:rsidRPr="003459D1" w:rsidRDefault="003459D1" w:rsidP="003459D1">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b/>
                <w:bCs/>
                <w:kern w:val="0"/>
                <w:sz w:val="28"/>
                <w:szCs w:val="28"/>
                <w:lang w:eastAsia="uk-UA"/>
                <w14:ligatures w14:val="none"/>
              </w:rPr>
              <w:t>А.І. Рибачук</w:t>
            </w:r>
          </w:p>
        </w:tc>
      </w:tr>
      <w:tr w:rsidR="003459D1" w:rsidRPr="003459D1" w14:paraId="2A99D152" w14:textId="77777777" w:rsidTr="003459D1">
        <w:trPr>
          <w:tblCellSpacing w:w="15" w:type="dxa"/>
        </w:trPr>
        <w:tc>
          <w:tcPr>
            <w:tcW w:w="3120" w:type="dxa"/>
            <w:vAlign w:val="center"/>
            <w:hideMark/>
          </w:tcPr>
          <w:p w14:paraId="0D169D2D" w14:textId="77777777" w:rsidR="003459D1" w:rsidRPr="003459D1" w:rsidRDefault="003459D1" w:rsidP="003459D1">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b/>
                <w:bCs/>
                <w:kern w:val="0"/>
                <w:sz w:val="28"/>
                <w:szCs w:val="28"/>
                <w:lang w:eastAsia="uk-UA"/>
                <w14:ligatures w14:val="none"/>
              </w:rPr>
              <w:t xml:space="preserve">судді: </w:t>
            </w:r>
          </w:p>
        </w:tc>
        <w:tc>
          <w:tcPr>
            <w:tcW w:w="3120" w:type="dxa"/>
            <w:vAlign w:val="center"/>
            <w:hideMark/>
          </w:tcPr>
          <w:p w14:paraId="37988384" w14:textId="77777777" w:rsidR="003459D1" w:rsidRPr="003459D1" w:rsidRDefault="003459D1" w:rsidP="003459D1">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b/>
                <w:bCs/>
                <w:kern w:val="0"/>
                <w:sz w:val="28"/>
                <w:szCs w:val="28"/>
                <w:lang w:eastAsia="uk-UA"/>
                <w14:ligatures w14:val="none"/>
              </w:rPr>
              <w:t> </w:t>
            </w:r>
          </w:p>
          <w:p w14:paraId="70FA3352" w14:textId="77777777" w:rsidR="003459D1" w:rsidRPr="003459D1" w:rsidRDefault="003459D1" w:rsidP="003459D1">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b/>
                <w:bCs/>
                <w:kern w:val="0"/>
                <w:sz w:val="28"/>
                <w:szCs w:val="28"/>
                <w:lang w:eastAsia="uk-UA"/>
                <w14:ligatures w14:val="none"/>
              </w:rPr>
              <w:t>/підпис/</w:t>
            </w:r>
          </w:p>
        </w:tc>
        <w:tc>
          <w:tcPr>
            <w:tcW w:w="3429" w:type="dxa"/>
            <w:vAlign w:val="center"/>
            <w:hideMark/>
          </w:tcPr>
          <w:p w14:paraId="498FBEDC" w14:textId="77777777" w:rsidR="003459D1" w:rsidRPr="003459D1" w:rsidRDefault="003459D1" w:rsidP="003459D1">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b/>
                <w:bCs/>
                <w:kern w:val="0"/>
                <w:sz w:val="28"/>
                <w:szCs w:val="28"/>
                <w:lang w:eastAsia="uk-UA"/>
                <w14:ligatures w14:val="none"/>
              </w:rPr>
              <w:t xml:space="preserve">Я.О. </w:t>
            </w:r>
            <w:proofErr w:type="spellStart"/>
            <w:r w:rsidRPr="003459D1">
              <w:rPr>
                <w:rFonts w:ascii="Roboto Condensed Light" w:eastAsia="Times New Roman" w:hAnsi="Roboto Condensed Light" w:cs="Times New Roman"/>
                <w:b/>
                <w:bCs/>
                <w:kern w:val="0"/>
                <w:sz w:val="28"/>
                <w:szCs w:val="28"/>
                <w:lang w:eastAsia="uk-UA"/>
                <w14:ligatures w14:val="none"/>
              </w:rPr>
              <w:t>Берназюк</w:t>
            </w:r>
            <w:proofErr w:type="spellEnd"/>
          </w:p>
        </w:tc>
      </w:tr>
      <w:tr w:rsidR="003459D1" w:rsidRPr="003459D1" w14:paraId="1F6B6E95" w14:textId="77777777" w:rsidTr="003459D1">
        <w:trPr>
          <w:tblCellSpacing w:w="15" w:type="dxa"/>
        </w:trPr>
        <w:tc>
          <w:tcPr>
            <w:tcW w:w="3120" w:type="dxa"/>
            <w:vAlign w:val="center"/>
            <w:hideMark/>
          </w:tcPr>
          <w:p w14:paraId="69FFF0A2" w14:textId="77777777" w:rsidR="003459D1" w:rsidRPr="003459D1" w:rsidRDefault="003459D1" w:rsidP="003459D1">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b/>
                <w:bCs/>
                <w:kern w:val="0"/>
                <w:sz w:val="28"/>
                <w:szCs w:val="28"/>
                <w:lang w:eastAsia="uk-UA"/>
                <w14:ligatures w14:val="none"/>
              </w:rPr>
              <w:t> </w:t>
            </w:r>
          </w:p>
        </w:tc>
        <w:tc>
          <w:tcPr>
            <w:tcW w:w="3120" w:type="dxa"/>
            <w:vAlign w:val="center"/>
            <w:hideMark/>
          </w:tcPr>
          <w:p w14:paraId="1ABF5963" w14:textId="77777777" w:rsidR="003459D1" w:rsidRPr="003459D1" w:rsidRDefault="003459D1" w:rsidP="003459D1">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b/>
                <w:bCs/>
                <w:kern w:val="0"/>
                <w:sz w:val="28"/>
                <w:szCs w:val="28"/>
                <w:lang w:eastAsia="uk-UA"/>
                <w14:ligatures w14:val="none"/>
              </w:rPr>
              <w:t> </w:t>
            </w:r>
          </w:p>
          <w:p w14:paraId="39D4D8F9" w14:textId="77777777" w:rsidR="003459D1" w:rsidRPr="003459D1" w:rsidRDefault="003459D1" w:rsidP="003459D1">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b/>
                <w:bCs/>
                <w:kern w:val="0"/>
                <w:sz w:val="28"/>
                <w:szCs w:val="28"/>
                <w:lang w:eastAsia="uk-UA"/>
                <w14:ligatures w14:val="none"/>
              </w:rPr>
              <w:t>/підпис/</w:t>
            </w:r>
          </w:p>
        </w:tc>
        <w:tc>
          <w:tcPr>
            <w:tcW w:w="3429" w:type="dxa"/>
            <w:vAlign w:val="center"/>
            <w:hideMark/>
          </w:tcPr>
          <w:p w14:paraId="3594902A" w14:textId="77777777" w:rsidR="003459D1" w:rsidRPr="003459D1" w:rsidRDefault="003459D1" w:rsidP="003459D1">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b/>
                <w:bCs/>
                <w:kern w:val="0"/>
                <w:sz w:val="28"/>
                <w:szCs w:val="28"/>
                <w:lang w:eastAsia="uk-UA"/>
                <w14:ligatures w14:val="none"/>
              </w:rPr>
              <w:t xml:space="preserve">А.Ю. </w:t>
            </w:r>
            <w:proofErr w:type="spellStart"/>
            <w:r w:rsidRPr="003459D1">
              <w:rPr>
                <w:rFonts w:ascii="Roboto Condensed Light" w:eastAsia="Times New Roman" w:hAnsi="Roboto Condensed Light" w:cs="Times New Roman"/>
                <w:b/>
                <w:bCs/>
                <w:kern w:val="0"/>
                <w:sz w:val="28"/>
                <w:szCs w:val="28"/>
                <w:lang w:eastAsia="uk-UA"/>
                <w14:ligatures w14:val="none"/>
              </w:rPr>
              <w:t>Бучик</w:t>
            </w:r>
            <w:proofErr w:type="spellEnd"/>
            <w:r w:rsidRPr="003459D1">
              <w:rPr>
                <w:rFonts w:ascii="Roboto Condensed Light" w:eastAsia="Times New Roman" w:hAnsi="Roboto Condensed Light" w:cs="Times New Roman"/>
                <w:b/>
                <w:bCs/>
                <w:kern w:val="0"/>
                <w:sz w:val="28"/>
                <w:szCs w:val="28"/>
                <w:lang w:eastAsia="uk-UA"/>
                <w14:ligatures w14:val="none"/>
              </w:rPr>
              <w:t xml:space="preserve"> </w:t>
            </w:r>
          </w:p>
        </w:tc>
      </w:tr>
      <w:tr w:rsidR="003459D1" w:rsidRPr="003459D1" w14:paraId="0F9FD039" w14:textId="77777777" w:rsidTr="003459D1">
        <w:trPr>
          <w:tblCellSpacing w:w="15" w:type="dxa"/>
        </w:trPr>
        <w:tc>
          <w:tcPr>
            <w:tcW w:w="3120" w:type="dxa"/>
            <w:vAlign w:val="center"/>
            <w:hideMark/>
          </w:tcPr>
          <w:p w14:paraId="777DFD01" w14:textId="77777777" w:rsidR="003459D1" w:rsidRPr="003459D1" w:rsidRDefault="003459D1" w:rsidP="003459D1">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b/>
                <w:bCs/>
                <w:kern w:val="0"/>
                <w:sz w:val="28"/>
                <w:szCs w:val="28"/>
                <w:lang w:eastAsia="uk-UA"/>
                <w14:ligatures w14:val="none"/>
              </w:rPr>
              <w:t> </w:t>
            </w:r>
          </w:p>
        </w:tc>
        <w:tc>
          <w:tcPr>
            <w:tcW w:w="3120" w:type="dxa"/>
            <w:vAlign w:val="center"/>
            <w:hideMark/>
          </w:tcPr>
          <w:p w14:paraId="375FF604" w14:textId="77777777" w:rsidR="003459D1" w:rsidRPr="003459D1" w:rsidRDefault="003459D1" w:rsidP="003459D1">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b/>
                <w:bCs/>
                <w:kern w:val="0"/>
                <w:sz w:val="28"/>
                <w:szCs w:val="28"/>
                <w:lang w:eastAsia="uk-UA"/>
                <w14:ligatures w14:val="none"/>
              </w:rPr>
              <w:t> </w:t>
            </w:r>
          </w:p>
          <w:p w14:paraId="776DCB98" w14:textId="77777777" w:rsidR="003459D1" w:rsidRPr="003459D1" w:rsidRDefault="003459D1" w:rsidP="003459D1">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b/>
                <w:bCs/>
                <w:kern w:val="0"/>
                <w:sz w:val="28"/>
                <w:szCs w:val="28"/>
                <w:lang w:eastAsia="uk-UA"/>
                <w14:ligatures w14:val="none"/>
              </w:rPr>
              <w:t>/підпис/</w:t>
            </w:r>
          </w:p>
        </w:tc>
        <w:tc>
          <w:tcPr>
            <w:tcW w:w="3429" w:type="dxa"/>
            <w:vAlign w:val="center"/>
            <w:hideMark/>
          </w:tcPr>
          <w:p w14:paraId="4A2885BF" w14:textId="77777777" w:rsidR="003459D1" w:rsidRPr="003459D1" w:rsidRDefault="003459D1" w:rsidP="003459D1">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b/>
                <w:bCs/>
                <w:kern w:val="0"/>
                <w:sz w:val="28"/>
                <w:szCs w:val="28"/>
                <w:lang w:eastAsia="uk-UA"/>
                <w14:ligatures w14:val="none"/>
              </w:rPr>
              <w:t xml:space="preserve">І.В. </w:t>
            </w:r>
            <w:proofErr w:type="spellStart"/>
            <w:r w:rsidRPr="003459D1">
              <w:rPr>
                <w:rFonts w:ascii="Roboto Condensed Light" w:eastAsia="Times New Roman" w:hAnsi="Roboto Condensed Light" w:cs="Times New Roman"/>
                <w:b/>
                <w:bCs/>
                <w:kern w:val="0"/>
                <w:sz w:val="28"/>
                <w:szCs w:val="28"/>
                <w:lang w:eastAsia="uk-UA"/>
                <w14:ligatures w14:val="none"/>
              </w:rPr>
              <w:t>Желєзний</w:t>
            </w:r>
            <w:proofErr w:type="spellEnd"/>
          </w:p>
        </w:tc>
      </w:tr>
      <w:tr w:rsidR="003459D1" w:rsidRPr="003459D1" w14:paraId="7BE6E966" w14:textId="77777777" w:rsidTr="003459D1">
        <w:trPr>
          <w:tblCellSpacing w:w="15" w:type="dxa"/>
        </w:trPr>
        <w:tc>
          <w:tcPr>
            <w:tcW w:w="3120" w:type="dxa"/>
            <w:vAlign w:val="center"/>
            <w:hideMark/>
          </w:tcPr>
          <w:p w14:paraId="0103DA66" w14:textId="77777777" w:rsidR="003459D1" w:rsidRPr="003459D1" w:rsidRDefault="003459D1" w:rsidP="003459D1">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b/>
                <w:bCs/>
                <w:kern w:val="0"/>
                <w:sz w:val="28"/>
                <w:szCs w:val="28"/>
                <w:lang w:eastAsia="uk-UA"/>
                <w14:ligatures w14:val="none"/>
              </w:rPr>
              <w:t> </w:t>
            </w:r>
          </w:p>
        </w:tc>
        <w:tc>
          <w:tcPr>
            <w:tcW w:w="3120" w:type="dxa"/>
            <w:vAlign w:val="center"/>
            <w:hideMark/>
          </w:tcPr>
          <w:p w14:paraId="0BDE3DAB" w14:textId="77777777" w:rsidR="003459D1" w:rsidRPr="003459D1" w:rsidRDefault="003459D1" w:rsidP="003459D1">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b/>
                <w:bCs/>
                <w:kern w:val="0"/>
                <w:sz w:val="28"/>
                <w:szCs w:val="28"/>
                <w:lang w:eastAsia="uk-UA"/>
                <w14:ligatures w14:val="none"/>
              </w:rPr>
              <w:t> </w:t>
            </w:r>
          </w:p>
          <w:p w14:paraId="67F08EF4" w14:textId="77777777" w:rsidR="003459D1" w:rsidRPr="003459D1" w:rsidRDefault="003459D1" w:rsidP="003459D1">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b/>
                <w:bCs/>
                <w:kern w:val="0"/>
                <w:sz w:val="28"/>
                <w:szCs w:val="28"/>
                <w:lang w:eastAsia="uk-UA"/>
                <w14:ligatures w14:val="none"/>
              </w:rPr>
              <w:t>/підпис/</w:t>
            </w:r>
          </w:p>
        </w:tc>
        <w:tc>
          <w:tcPr>
            <w:tcW w:w="3429" w:type="dxa"/>
            <w:vAlign w:val="center"/>
            <w:hideMark/>
          </w:tcPr>
          <w:p w14:paraId="12A91713" w14:textId="77777777" w:rsidR="003459D1" w:rsidRPr="003459D1" w:rsidRDefault="003459D1" w:rsidP="003459D1">
            <w:pPr>
              <w:spacing w:before="100" w:beforeAutospacing="1" w:after="100" w:afterAutospacing="1" w:line="240" w:lineRule="auto"/>
              <w:rPr>
                <w:rFonts w:ascii="Roboto Condensed Light" w:eastAsia="Times New Roman" w:hAnsi="Roboto Condensed Light" w:cs="Times New Roman"/>
                <w:kern w:val="0"/>
                <w:sz w:val="28"/>
                <w:szCs w:val="28"/>
                <w:lang w:eastAsia="uk-UA"/>
                <w14:ligatures w14:val="none"/>
              </w:rPr>
            </w:pPr>
            <w:r w:rsidRPr="003459D1">
              <w:rPr>
                <w:rFonts w:ascii="Roboto Condensed Light" w:eastAsia="Times New Roman" w:hAnsi="Roboto Condensed Light" w:cs="Times New Roman"/>
                <w:b/>
                <w:bCs/>
                <w:kern w:val="0"/>
                <w:sz w:val="28"/>
                <w:szCs w:val="28"/>
                <w:lang w:eastAsia="uk-UA"/>
                <w14:ligatures w14:val="none"/>
              </w:rPr>
              <w:t>Л.Л. Мороз</w:t>
            </w:r>
          </w:p>
        </w:tc>
      </w:tr>
    </w:tbl>
    <w:p w14:paraId="77627684" w14:textId="77777777" w:rsidR="00FE4F33" w:rsidRPr="003459D1" w:rsidRDefault="00FE4F33">
      <w:pPr>
        <w:rPr>
          <w:rFonts w:ascii="Roboto Condensed Light" w:hAnsi="Roboto Condensed Light"/>
          <w:sz w:val="28"/>
          <w:szCs w:val="28"/>
        </w:rPr>
      </w:pPr>
    </w:p>
    <w:sectPr w:rsidR="00FE4F33" w:rsidRPr="003459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13C92"/>
    <w:multiLevelType w:val="multilevel"/>
    <w:tmpl w:val="CD164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7436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D1"/>
    <w:rsid w:val="003459D1"/>
    <w:rsid w:val="00461F7E"/>
    <w:rsid w:val="00AC70FE"/>
    <w:rsid w:val="00FE4F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2AAE"/>
  <w15:chartTrackingRefBased/>
  <w15:docId w15:val="{0FC944A8-EAEE-4706-86D2-75ABE5C3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459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9D1"/>
    <w:rPr>
      <w:rFonts w:ascii="Times New Roman" w:eastAsia="Times New Roman" w:hAnsi="Times New Roman" w:cs="Times New Roman"/>
      <w:b/>
      <w:bCs/>
      <w:kern w:val="36"/>
      <w:sz w:val="48"/>
      <w:szCs w:val="48"/>
      <w:lang w:eastAsia="uk-UA"/>
      <w14:ligatures w14:val="none"/>
    </w:rPr>
  </w:style>
  <w:style w:type="paragraph" w:styleId="a3">
    <w:name w:val="Normal (Web)"/>
    <w:basedOn w:val="a"/>
    <w:uiPriority w:val="99"/>
    <w:semiHidden/>
    <w:unhideWhenUsed/>
    <w:rsid w:val="003459D1"/>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styleId="a4">
    <w:name w:val="Strong"/>
    <w:basedOn w:val="a0"/>
    <w:uiPriority w:val="22"/>
    <w:qFormat/>
    <w:rsid w:val="00345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0533">
      <w:bodyDiv w:val="1"/>
      <w:marLeft w:val="0"/>
      <w:marRight w:val="0"/>
      <w:marTop w:val="0"/>
      <w:marBottom w:val="0"/>
      <w:divBdr>
        <w:top w:val="none" w:sz="0" w:space="0" w:color="auto"/>
        <w:left w:val="none" w:sz="0" w:space="0" w:color="auto"/>
        <w:bottom w:val="none" w:sz="0" w:space="0" w:color="auto"/>
        <w:right w:val="none" w:sz="0" w:space="0" w:color="auto"/>
      </w:divBdr>
      <w:divsChild>
        <w:div w:id="1604342445">
          <w:marLeft w:val="0"/>
          <w:marRight w:val="0"/>
          <w:marTop w:val="0"/>
          <w:marBottom w:val="0"/>
          <w:divBdr>
            <w:top w:val="none" w:sz="0" w:space="0" w:color="auto"/>
            <w:left w:val="none" w:sz="0" w:space="0" w:color="auto"/>
            <w:bottom w:val="none" w:sz="0" w:space="0" w:color="auto"/>
            <w:right w:val="none" w:sz="0" w:space="0" w:color="auto"/>
          </w:divBdr>
          <w:divsChild>
            <w:div w:id="503326472">
              <w:marLeft w:val="0"/>
              <w:marRight w:val="0"/>
              <w:marTop w:val="0"/>
              <w:marBottom w:val="0"/>
              <w:divBdr>
                <w:top w:val="none" w:sz="0" w:space="0" w:color="auto"/>
                <w:left w:val="none" w:sz="0" w:space="0" w:color="auto"/>
                <w:bottom w:val="none" w:sz="0" w:space="0" w:color="auto"/>
                <w:right w:val="none" w:sz="0" w:space="0" w:color="auto"/>
              </w:divBdr>
            </w:div>
          </w:divsChild>
        </w:div>
        <w:div w:id="2018456957">
          <w:marLeft w:val="0"/>
          <w:marRight w:val="0"/>
          <w:marTop w:val="0"/>
          <w:marBottom w:val="0"/>
          <w:divBdr>
            <w:top w:val="none" w:sz="0" w:space="0" w:color="auto"/>
            <w:left w:val="none" w:sz="0" w:space="0" w:color="auto"/>
            <w:bottom w:val="none" w:sz="0" w:space="0" w:color="auto"/>
            <w:right w:val="none" w:sz="0" w:space="0" w:color="auto"/>
          </w:divBdr>
          <w:divsChild>
            <w:div w:id="2052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7168</Words>
  <Characters>4087</Characters>
  <Application>Microsoft Office Word</Application>
  <DocSecurity>0</DocSecurity>
  <Lines>34</Lines>
  <Paragraphs>22</Paragraphs>
  <ScaleCrop>false</ScaleCrop>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БЕЗСМЕРТНА Галина Михайлівна</dc:creator>
  <cp:keywords/>
  <dc:description/>
  <cp:lastModifiedBy>БЕЗСМЕРТНА Галина Михайлівна</cp:lastModifiedBy>
  <cp:revision>1</cp:revision>
  <dcterms:created xsi:type="dcterms:W3CDTF">2023-09-01T10:08:00Z</dcterms:created>
  <dcterms:modified xsi:type="dcterms:W3CDTF">2023-09-01T10:10:00Z</dcterms:modified>
</cp:coreProperties>
</file>