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5612" w14:textId="6DB249E7" w:rsidR="0037579B" w:rsidRPr="0037579B" w:rsidRDefault="0037579B" w:rsidP="0037579B">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rPr>
      </w:pPr>
      <w:r w:rsidRPr="0037579B">
        <w:rPr>
          <w:rFonts w:ascii="Roboto Condensed Light" w:eastAsia="Times New Roman" w:hAnsi="Roboto Condensed Light" w:cs="Times New Roman"/>
          <w:b/>
          <w:bCs/>
          <w:kern w:val="36"/>
          <w:sz w:val="28"/>
          <w:szCs w:val="28"/>
          <w:lang w:eastAsia="uk-UA"/>
        </w:rPr>
        <w:t>Ухвала Верховного Суду від 0</w:t>
      </w:r>
      <w:r w:rsidRPr="0037579B">
        <w:rPr>
          <w:rFonts w:ascii="Roboto Condensed Light" w:eastAsia="Times New Roman" w:hAnsi="Roboto Condensed Light" w:cs="Times New Roman"/>
          <w:b/>
          <w:bCs/>
          <w:kern w:val="36"/>
          <w:sz w:val="28"/>
          <w:szCs w:val="28"/>
          <w:lang w:eastAsia="uk-UA"/>
        </w:rPr>
        <w:t>8</w:t>
      </w:r>
      <w:r w:rsidRPr="0037579B">
        <w:rPr>
          <w:rFonts w:ascii="Roboto Condensed Light" w:eastAsia="Times New Roman" w:hAnsi="Roboto Condensed Light" w:cs="Times New Roman"/>
          <w:b/>
          <w:bCs/>
          <w:kern w:val="36"/>
          <w:sz w:val="28"/>
          <w:szCs w:val="28"/>
          <w:lang w:eastAsia="uk-UA"/>
        </w:rPr>
        <w:t>.</w:t>
      </w:r>
      <w:r w:rsidRPr="0037579B">
        <w:rPr>
          <w:rFonts w:ascii="Roboto Condensed Light" w:eastAsia="Times New Roman" w:hAnsi="Roboto Condensed Light" w:cs="Times New Roman"/>
          <w:b/>
          <w:bCs/>
          <w:kern w:val="36"/>
          <w:sz w:val="28"/>
          <w:szCs w:val="28"/>
          <w:lang w:eastAsia="uk-UA"/>
        </w:rPr>
        <w:t>10</w:t>
      </w:r>
      <w:r w:rsidRPr="0037579B">
        <w:rPr>
          <w:rFonts w:ascii="Roboto Condensed Light" w:eastAsia="Times New Roman" w:hAnsi="Roboto Condensed Light" w:cs="Times New Roman"/>
          <w:b/>
          <w:bCs/>
          <w:kern w:val="36"/>
          <w:sz w:val="28"/>
          <w:szCs w:val="28"/>
          <w:lang w:eastAsia="uk-UA"/>
        </w:rPr>
        <w:t>.20</w:t>
      </w:r>
      <w:r w:rsidRPr="0037579B">
        <w:rPr>
          <w:rFonts w:ascii="Roboto Condensed Light" w:eastAsia="Times New Roman" w:hAnsi="Roboto Condensed Light" w:cs="Times New Roman"/>
          <w:b/>
          <w:bCs/>
          <w:kern w:val="36"/>
          <w:sz w:val="28"/>
          <w:szCs w:val="28"/>
          <w:lang w:eastAsia="uk-UA"/>
        </w:rPr>
        <w:t>23</w:t>
      </w:r>
      <w:r w:rsidRPr="0037579B">
        <w:rPr>
          <w:rFonts w:ascii="Roboto Condensed Light" w:eastAsia="Times New Roman" w:hAnsi="Roboto Condensed Light" w:cs="Times New Roman"/>
          <w:b/>
          <w:bCs/>
          <w:kern w:val="36"/>
          <w:sz w:val="28"/>
          <w:szCs w:val="28"/>
          <w:lang w:eastAsia="uk-UA"/>
        </w:rPr>
        <w:t xml:space="preserve"> №</w:t>
      </w:r>
      <w:proofErr w:type="spellStart"/>
      <w:r w:rsidRPr="0037579B">
        <w:rPr>
          <w:rFonts w:ascii="Roboto Condensed Light" w:eastAsia="Times New Roman" w:hAnsi="Roboto Condensed Light" w:cs="Times New Roman"/>
          <w:b/>
          <w:bCs/>
          <w:kern w:val="36"/>
          <w:sz w:val="28"/>
          <w:szCs w:val="28"/>
          <w:lang w:eastAsia="uk-UA"/>
        </w:rPr>
        <w:t>Пз</w:t>
      </w:r>
      <w:proofErr w:type="spellEnd"/>
      <w:r w:rsidRPr="0037579B">
        <w:rPr>
          <w:rFonts w:ascii="Roboto Condensed Light" w:eastAsia="Times New Roman" w:hAnsi="Roboto Condensed Light" w:cs="Times New Roman"/>
          <w:b/>
          <w:bCs/>
          <w:kern w:val="36"/>
          <w:sz w:val="28"/>
          <w:szCs w:val="28"/>
          <w:lang w:eastAsia="uk-UA"/>
        </w:rPr>
        <w:t>/990/</w:t>
      </w:r>
      <w:r w:rsidRPr="0037579B">
        <w:rPr>
          <w:rFonts w:ascii="Roboto Condensed Light" w:eastAsia="Times New Roman" w:hAnsi="Roboto Condensed Light" w:cs="Times New Roman"/>
          <w:b/>
          <w:bCs/>
          <w:kern w:val="36"/>
          <w:sz w:val="28"/>
          <w:szCs w:val="28"/>
          <w:lang w:eastAsia="uk-UA"/>
        </w:rPr>
        <w:t>6</w:t>
      </w:r>
      <w:r w:rsidRPr="0037579B">
        <w:rPr>
          <w:rFonts w:ascii="Roboto Condensed Light" w:eastAsia="Times New Roman" w:hAnsi="Roboto Condensed Light" w:cs="Times New Roman"/>
          <w:b/>
          <w:bCs/>
          <w:kern w:val="36"/>
          <w:sz w:val="28"/>
          <w:szCs w:val="28"/>
          <w:lang w:eastAsia="uk-UA"/>
        </w:rPr>
        <w:t>/</w:t>
      </w:r>
      <w:r w:rsidRPr="0037579B">
        <w:rPr>
          <w:rFonts w:ascii="Roboto Condensed Light" w:eastAsia="Times New Roman" w:hAnsi="Roboto Condensed Light" w:cs="Times New Roman"/>
          <w:b/>
          <w:bCs/>
          <w:kern w:val="36"/>
          <w:sz w:val="28"/>
          <w:szCs w:val="28"/>
          <w:lang w:eastAsia="uk-UA"/>
        </w:rPr>
        <w:t>23</w:t>
      </w:r>
      <w:r w:rsidRPr="0037579B">
        <w:rPr>
          <w:rFonts w:ascii="Roboto Condensed Light" w:eastAsia="Times New Roman" w:hAnsi="Roboto Condensed Light" w:cs="Times New Roman"/>
          <w:b/>
          <w:bCs/>
          <w:kern w:val="36"/>
          <w:sz w:val="28"/>
          <w:szCs w:val="28"/>
          <w:lang w:eastAsia="uk-UA"/>
        </w:rPr>
        <w:t xml:space="preserve"> </w:t>
      </w:r>
    </w:p>
    <w:p w14:paraId="67398B4F" w14:textId="2581F933" w:rsidR="00504966" w:rsidRPr="0037579B" w:rsidRDefault="00504966" w:rsidP="00504966">
      <w:pPr>
        <w:rPr>
          <w:rFonts w:ascii="Roboto Condensed Light" w:hAnsi="Roboto Condensed Light"/>
          <w:sz w:val="28"/>
          <w:szCs w:val="28"/>
        </w:rPr>
      </w:pPr>
    </w:p>
    <w:p w14:paraId="25A23622"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УХВАЛА</w:t>
      </w:r>
    </w:p>
    <w:p w14:paraId="5B03876C"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про відкриття провадження у зразковій адміністративній справі</w:t>
      </w:r>
    </w:p>
    <w:p w14:paraId="316F289B"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sz w:val="28"/>
          <w:szCs w:val="28"/>
        </w:rPr>
        <w:t>08 листопада 2023 року</w:t>
      </w:r>
    </w:p>
    <w:p w14:paraId="10758B24"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sz w:val="28"/>
          <w:szCs w:val="28"/>
        </w:rPr>
        <w:t>м. Київ</w:t>
      </w:r>
    </w:p>
    <w:p w14:paraId="0867ACD6"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sz w:val="28"/>
          <w:szCs w:val="28"/>
        </w:rPr>
        <w:t>справа № 380/19324/23</w:t>
      </w:r>
    </w:p>
    <w:p w14:paraId="0C5E4F88" w14:textId="77777777" w:rsidR="00504966" w:rsidRPr="0037579B" w:rsidRDefault="00504966" w:rsidP="00504966">
      <w:pPr>
        <w:rPr>
          <w:rFonts w:ascii="Roboto Condensed Light" w:hAnsi="Roboto Condensed Light"/>
          <w:sz w:val="28"/>
          <w:szCs w:val="28"/>
        </w:rPr>
      </w:pPr>
      <w:r w:rsidRPr="0037579B">
        <w:rPr>
          <w:rFonts w:ascii="Roboto Condensed Light" w:hAnsi="Roboto Condensed Light"/>
          <w:sz w:val="28"/>
          <w:szCs w:val="28"/>
        </w:rPr>
        <w:t xml:space="preserve">провадження № </w:t>
      </w:r>
      <w:proofErr w:type="spellStart"/>
      <w:r w:rsidRPr="0037579B">
        <w:rPr>
          <w:rFonts w:ascii="Roboto Condensed Light" w:hAnsi="Roboto Condensed Light"/>
          <w:sz w:val="28"/>
          <w:szCs w:val="28"/>
        </w:rPr>
        <w:t>Пз</w:t>
      </w:r>
      <w:proofErr w:type="spellEnd"/>
      <w:r w:rsidRPr="0037579B">
        <w:rPr>
          <w:rFonts w:ascii="Roboto Condensed Light" w:hAnsi="Roboto Condensed Light"/>
          <w:sz w:val="28"/>
          <w:szCs w:val="28"/>
        </w:rPr>
        <w:t>/990/6/23</w:t>
      </w:r>
    </w:p>
    <w:p w14:paraId="191DDA51"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b/>
          <w:bCs/>
          <w:sz w:val="28"/>
          <w:szCs w:val="28"/>
        </w:rPr>
        <w:t xml:space="preserve">Верховний Суд у складі колегії суддів Касаційного адміністративного суду: судді-доповідача Коваленко Н.В., суддів </w:t>
      </w:r>
      <w:proofErr w:type="spellStart"/>
      <w:r w:rsidRPr="0037579B">
        <w:rPr>
          <w:rFonts w:ascii="Roboto Condensed Light" w:hAnsi="Roboto Condensed Light"/>
          <w:b/>
          <w:bCs/>
          <w:sz w:val="28"/>
          <w:szCs w:val="28"/>
        </w:rPr>
        <w:t>Бучик</w:t>
      </w:r>
      <w:proofErr w:type="spellEnd"/>
      <w:r w:rsidRPr="0037579B">
        <w:rPr>
          <w:rFonts w:ascii="Roboto Condensed Light" w:hAnsi="Roboto Condensed Light"/>
          <w:b/>
          <w:bCs/>
          <w:sz w:val="28"/>
          <w:szCs w:val="28"/>
        </w:rPr>
        <w:t xml:space="preserve"> А.Ю., </w:t>
      </w:r>
      <w:proofErr w:type="spellStart"/>
      <w:r w:rsidRPr="0037579B">
        <w:rPr>
          <w:rFonts w:ascii="Roboto Condensed Light" w:hAnsi="Roboto Condensed Light"/>
          <w:b/>
          <w:bCs/>
          <w:sz w:val="28"/>
          <w:szCs w:val="28"/>
        </w:rPr>
        <w:t>Єзерова</w:t>
      </w:r>
      <w:proofErr w:type="spellEnd"/>
      <w:r w:rsidRPr="0037579B">
        <w:rPr>
          <w:rFonts w:ascii="Roboto Condensed Light" w:hAnsi="Roboto Condensed Light"/>
          <w:b/>
          <w:bCs/>
          <w:sz w:val="28"/>
          <w:szCs w:val="28"/>
        </w:rPr>
        <w:t xml:space="preserve"> А.А., </w:t>
      </w:r>
      <w:proofErr w:type="spellStart"/>
      <w:r w:rsidRPr="0037579B">
        <w:rPr>
          <w:rFonts w:ascii="Roboto Condensed Light" w:hAnsi="Roboto Condensed Light"/>
          <w:b/>
          <w:bCs/>
          <w:sz w:val="28"/>
          <w:szCs w:val="28"/>
        </w:rPr>
        <w:t>Стародуба</w:t>
      </w:r>
      <w:proofErr w:type="spellEnd"/>
      <w:r w:rsidRPr="0037579B">
        <w:rPr>
          <w:rFonts w:ascii="Roboto Condensed Light" w:hAnsi="Roboto Condensed Light"/>
          <w:b/>
          <w:bCs/>
          <w:sz w:val="28"/>
          <w:szCs w:val="28"/>
        </w:rPr>
        <w:t xml:space="preserve"> А.П., </w:t>
      </w:r>
      <w:proofErr w:type="spellStart"/>
      <w:r w:rsidRPr="0037579B">
        <w:rPr>
          <w:rFonts w:ascii="Roboto Condensed Light" w:hAnsi="Roboto Condensed Light"/>
          <w:b/>
          <w:bCs/>
          <w:sz w:val="28"/>
          <w:szCs w:val="28"/>
        </w:rPr>
        <w:t>Чиркіна</w:t>
      </w:r>
      <w:proofErr w:type="spellEnd"/>
      <w:r w:rsidRPr="0037579B">
        <w:rPr>
          <w:rFonts w:ascii="Roboto Condensed Light" w:hAnsi="Roboto Condensed Light"/>
          <w:b/>
          <w:bCs/>
          <w:sz w:val="28"/>
          <w:szCs w:val="28"/>
        </w:rPr>
        <w:t xml:space="preserve"> С.М.</w:t>
      </w:r>
      <w:r w:rsidRPr="0037579B">
        <w:rPr>
          <w:rFonts w:ascii="Roboto Condensed Light" w:hAnsi="Roboto Condensed Light"/>
          <w:sz w:val="28"/>
          <w:szCs w:val="28"/>
        </w:rPr>
        <w:t xml:space="preserve">, </w:t>
      </w:r>
      <w:proofErr w:type="spellStart"/>
      <w:r w:rsidRPr="0037579B">
        <w:rPr>
          <w:rFonts w:ascii="Roboto Condensed Light" w:hAnsi="Roboto Condensed Light"/>
          <w:sz w:val="28"/>
          <w:szCs w:val="28"/>
        </w:rPr>
        <w:t>розлянувши</w:t>
      </w:r>
      <w:proofErr w:type="spellEnd"/>
      <w:r w:rsidRPr="0037579B">
        <w:rPr>
          <w:rFonts w:ascii="Roboto Condensed Light" w:hAnsi="Roboto Condensed Light"/>
          <w:sz w:val="28"/>
          <w:szCs w:val="28"/>
        </w:rPr>
        <w:t xml:space="preserve"> подання Львівського окружного адміністративного суду про розгляд Верховним Судом як зразкової справи № 380/19324/23 за позовом ОСОБА_1 до ІНФОРМАЦІЯ_1 про визнання дій протиправними та зобов`язання вчинити певні дії,</w:t>
      </w:r>
    </w:p>
    <w:p w14:paraId="294D1AF6"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b/>
          <w:bCs/>
          <w:sz w:val="28"/>
          <w:szCs w:val="28"/>
        </w:rPr>
        <w:t>УСТАНОВИВ:</w:t>
      </w:r>
    </w:p>
    <w:p w14:paraId="0E10186D"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 16 серпня 2023 року ОСОБА_1 звернуся до суду з позовом до ІНФОРМАЦІЯ_1 про визнання дій протиправними та зобов`язання вчинити певні дії, в якому просив:</w:t>
      </w:r>
    </w:p>
    <w:p w14:paraId="1A85C4E6"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визнати протиправними дії щодо зменшення в довідках від 13 червня 2023 року № С/9891  станом на 01 січня 2020 року, від 13 червня 2023 року № С/9892  станом на 01 січня 2021 року, від 13 червня 2023 року № С/9893 станом на 01 січня 2022 року про розмір грошового забезпечення для перерахунку пенсії, на виконання рішення Львівського окружного адміністративного суду від 27 лютого 2023 року у справі № 380/18232/22, розміру надбавки за особливості проходження служби з 65% до 1% та премії з 35% до 10%;</w:t>
      </w:r>
    </w:p>
    <w:p w14:paraId="18DF60FB" w14:textId="21C311D8"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зобов`язати на виконання рішення Львівського окружного адміністративного суду від</w:t>
      </w:r>
      <w:r w:rsidR="0037579B">
        <w:rPr>
          <w:rFonts w:ascii="Roboto Condensed Light" w:hAnsi="Roboto Condensed Light"/>
          <w:sz w:val="28"/>
          <w:szCs w:val="28"/>
        </w:rPr>
        <w:t xml:space="preserve"> </w:t>
      </w:r>
      <w:r w:rsidRPr="0037579B">
        <w:rPr>
          <w:rFonts w:ascii="Roboto Condensed Light" w:hAnsi="Roboto Condensed Light"/>
          <w:sz w:val="28"/>
          <w:szCs w:val="28"/>
        </w:rPr>
        <w:t>27 лютого 2023 року у справі № 380/18232/22, скласти та подати до Головного управління Пенсійного фонду України у Львівській області довідки про розмір грошового забезпечення станом на 01 січня 2020 року, станом на 01 січня 2021 року та станом на 01 січня 2022 року, в яких на підставі </w:t>
      </w:r>
      <w:hyperlink r:id="rId4"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КМ України" w:history="1">
        <w:r w:rsidRPr="0037579B">
          <w:rPr>
            <w:rStyle w:val="a3"/>
            <w:rFonts w:ascii="Roboto Condensed Light" w:hAnsi="Roboto Condensed Light"/>
            <w:sz w:val="28"/>
            <w:szCs w:val="28"/>
          </w:rPr>
          <w:t>постанови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37579B">
        <w:rPr>
          <w:rFonts w:ascii="Roboto Condensed Light" w:hAnsi="Roboto Condensed Light"/>
          <w:sz w:val="28"/>
          <w:szCs w:val="28"/>
        </w:rPr>
        <w:t> та Порядку виплати грошового забезпечення військовослужбовцям Збройних Сил України та деяким іншим особам, затвердженого </w:t>
      </w:r>
      <w:hyperlink r:id="rId5" w:tgtFrame="_blank" w:tooltip="Про затвердження Порядку виплати грошового забезпечення військовослужбовцям Збройних Сил України та деяким іншим особам; нормативно-правовий акт № 260 від 07.06.2018, Міноборони" w:history="1">
        <w:r w:rsidRPr="0037579B">
          <w:rPr>
            <w:rStyle w:val="a3"/>
            <w:rFonts w:ascii="Roboto Condensed Light" w:hAnsi="Roboto Condensed Light"/>
            <w:sz w:val="28"/>
            <w:szCs w:val="28"/>
          </w:rPr>
          <w:t xml:space="preserve">наказом Міністра оборони </w:t>
        </w:r>
        <w:r w:rsidRPr="0037579B">
          <w:rPr>
            <w:rStyle w:val="a3"/>
            <w:rFonts w:ascii="Roboto Condensed Light" w:hAnsi="Roboto Condensed Light"/>
            <w:sz w:val="28"/>
            <w:szCs w:val="28"/>
          </w:rPr>
          <w:lastRenderedPageBreak/>
          <w:t>України від 07 червня 2018 року № 260</w:t>
        </w:r>
      </w:hyperlink>
      <w:r w:rsidRPr="0037579B">
        <w:rPr>
          <w:rFonts w:ascii="Roboto Condensed Light" w:hAnsi="Roboto Condensed Light"/>
          <w:sz w:val="28"/>
          <w:szCs w:val="28"/>
        </w:rPr>
        <w:t>, вказати розміри: надбавки за особливості проходження служби - 65% посадового окладу, окладу за військове звання та надбавки за вислугу років; премії - 35% посадового окладу.</w:t>
      </w:r>
    </w:p>
    <w:p w14:paraId="4C984437" w14:textId="539052F3"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2. Свої вимоги ОСОБА_1 обґрунтовує тим, що він перебуває на обліку в Головному управлінні Пенсійного фонду України у Львівській області та йому призначено пенсію відповідно до </w:t>
      </w:r>
      <w:hyperlink r:id="rId6" w:tgtFrame="_blank" w:tooltip="Про пенсійне забезпечення осіб, звільнених з військової служби, та деяких інших осіб; нормативно-правовий акт № 2262-XII від 09.04.1992, ВР України" w:history="1">
        <w:r w:rsidRPr="0037579B">
          <w:rPr>
            <w:rStyle w:val="a3"/>
            <w:rFonts w:ascii="Roboto Condensed Light" w:hAnsi="Roboto Condensed Light"/>
            <w:sz w:val="28"/>
            <w:szCs w:val="28"/>
          </w:rPr>
          <w:t>Закону України «Про пенсійне забезпечення осіб, звільнених з військової служби, та деяких інших осіб»</w:t>
        </w:r>
      </w:hyperlink>
      <w:r w:rsidRPr="0037579B">
        <w:rPr>
          <w:rFonts w:ascii="Roboto Condensed Light" w:hAnsi="Roboto Condensed Light"/>
          <w:sz w:val="28"/>
          <w:szCs w:val="28"/>
        </w:rPr>
        <w:t xml:space="preserve">. На виконання рішення Львівського окружного адміністративного суду від 27 лютого 2023 року у справі № 380/18232/22 ІНФОРМАЦІЯ_1 </w:t>
      </w:r>
      <w:proofErr w:type="spellStart"/>
      <w:r w:rsidRPr="0037579B">
        <w:rPr>
          <w:rFonts w:ascii="Roboto Condensed Light" w:hAnsi="Roboto Condensed Light"/>
          <w:sz w:val="28"/>
          <w:szCs w:val="28"/>
        </w:rPr>
        <w:t>виготовиви</w:t>
      </w:r>
      <w:proofErr w:type="spellEnd"/>
      <w:r w:rsidRPr="0037579B">
        <w:rPr>
          <w:rFonts w:ascii="Roboto Condensed Light" w:hAnsi="Roboto Condensed Light"/>
          <w:sz w:val="28"/>
          <w:szCs w:val="28"/>
        </w:rPr>
        <w:t xml:space="preserve"> довідки від 13 червня 2023 року № С/9891 станом на 01 січня 2020 року, від 13 червня 2023 року № С/9892 станом на 01 січня 2021 року, від 13 червня 2023 року № С/9893 станом на 01 січня 2022 року, в яких вказано розміри грошового забезпечення, розраховані з застосуванням прожиткового мінімуму станом на 01 січня 2020 року, на 01 січня 2021 року, на 01 січня 2022 року, відповідно. Проте розміри окремих складових забезпечення, що зазначені у вказаних довідках не відповідають вимогам </w:t>
      </w:r>
      <w:hyperlink r:id="rId7"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КМ України" w:history="1">
        <w:r w:rsidRPr="0037579B">
          <w:rPr>
            <w:rStyle w:val="a3"/>
            <w:rFonts w:ascii="Roboto Condensed Light" w:hAnsi="Roboto Condensed Light"/>
            <w:sz w:val="28"/>
            <w:szCs w:val="28"/>
          </w:rPr>
          <w:t>постанови Кабінету Міністрів України від 30 серпня 2017 року № 704</w:t>
        </w:r>
      </w:hyperlink>
      <w:r w:rsidRPr="0037579B">
        <w:rPr>
          <w:rFonts w:ascii="Roboto Condensed Light" w:hAnsi="Roboto Condensed Light"/>
          <w:sz w:val="28"/>
          <w:szCs w:val="28"/>
        </w:rPr>
        <w:t> «Про грошове забезпечення військовослужбовців, осіб рядового і начальницького складу та деяких інших осіб та Порядку виплати грошового забезпечення військовослужбовцям Збройних Сил України та деяким іншим особам, затвердженого наказом Міністра оборони України від 07 червня 2018 року № 260. Відтак вважає, що відповідачем протиправно зменшено розмір відсоткового значення таких складових, як надбавка за особливості проходження служби (указано 1% замість 65%) та премія (вказано 10% замість 35%).</w:t>
      </w:r>
    </w:p>
    <w:p w14:paraId="087DD351"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3. Львівський окружний адміністративний суд ухвалою від 04 вересня 2023 року відкрив провадження у справі, вирішено розгляд справи провести суддею одноособово за правилами спрощеного позовного провадження без повідомлення (виклику) осіб.</w:t>
      </w:r>
    </w:p>
    <w:p w14:paraId="5E207C07"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4. До Касаційного адміністративного суду у складі Верховного Суду надійшло подання Львівського окружного адміністративного суду щодо вирішення питання про відкриття провадження у зразковій справі № 380/19324/23, в якому суд просить Верховний Суд розглянути цю справу як суд першої інстанції, з ухваленням зразкового рішення.</w:t>
      </w:r>
    </w:p>
    <w:p w14:paraId="1F42FBD3" w14:textId="62CB190E"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5. Указане подання надійшло разом з матеріалами адміністративної справи № 380/19324/23, і до нього долучено копії матеріалів справ Львівського  окружного адміністративного суду № 380/11140/23, 380/11900/23, 380/11903/23, 380/15718/23, 380/15720/23, 380/16255/23, 380/19030/23, 380/19724/23, 380/24483/23, 380/23571/23, 380/23788/23 на підтвердження кількості подібних </w:t>
      </w:r>
      <w:r w:rsidRPr="0037579B">
        <w:rPr>
          <w:rFonts w:ascii="Roboto Condensed Light" w:hAnsi="Roboto Condensed Light"/>
          <w:sz w:val="28"/>
          <w:szCs w:val="28"/>
        </w:rPr>
        <w:lastRenderedPageBreak/>
        <w:t>справ до тієї, яку направлено до Верховного Суду для ухвалення зразкового рішення.</w:t>
      </w:r>
    </w:p>
    <w:p w14:paraId="67C39AFA" w14:textId="248D13B1"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6. Доцільність розгляду цієї справи Верховним Судом як зразкової обґрунтовано тим, що, згідно з відомостями з комп`ютерної програми «Діловодство спеціалізованого суду», крім цієї справи, у провадженні Львівського окружного адміністративного суду перебувають справи:  № 380/19030/23, 380/18314/23, 380/19724/23, 380/17745/23, 380/17765/23, 380/17804/23, 380/23788/23, 380/17036/23, 380/24483/23, 380/11903/23, 380/11900/23, 380/15718/23, 380/15720/23, 380/16608/23, 380/1962/23, 380/23571/23, 380/18359/23, 380/11140/23, 380/21747/23, 380/16255/23, 380/16242/23, 380/11574/23, відповідачем у яких є один і той самий суб`єкт владних повноважень, спір в яких виник з аналогічних підстав, у відносинах, що регулюються одними нормами права та в яких позивачі заявили вимоги, ідентичні за змістом, правовою суттю та аргументами (хоча й по-різному текстуально сформульованими).</w:t>
      </w:r>
    </w:p>
    <w:p w14:paraId="561D540B"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7. Згідно з пунктом 21 частини першої </w:t>
      </w:r>
      <w:hyperlink r:id="rId8" w:anchor="53"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4 Кодексу адміністративного судочинства України</w:t>
        </w:r>
      </w:hyperlink>
      <w:r w:rsidRPr="0037579B">
        <w:rPr>
          <w:rFonts w:ascii="Roboto Condensed Light" w:hAnsi="Roboto Condensed Light"/>
          <w:sz w:val="28"/>
          <w:szCs w:val="28"/>
        </w:rPr>
        <w:t> типові адміністративні справи - адміністративні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p>
    <w:p w14:paraId="3E2E0110"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8. Відповідно до пункту 22 частини першої </w:t>
      </w:r>
      <w:hyperlink r:id="rId9" w:anchor="53"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4 Кодексу адміністративного судочинства України</w:t>
        </w:r>
      </w:hyperlink>
      <w:r w:rsidRPr="0037579B">
        <w:rPr>
          <w:rFonts w:ascii="Roboto Condensed Light" w:hAnsi="Roboto Condensed Light"/>
          <w:sz w:val="28"/>
          <w:szCs w:val="28"/>
        </w:rPr>
        <w:t> зразкова адміністративна справа - типова адміністративна справа, прийнята до провадження Верховним Судом як судом першої інстанції для постановлення зразкового рішення.</w:t>
      </w:r>
    </w:p>
    <w:p w14:paraId="05EB9F34"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9. 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w:t>
      </w:r>
      <w:hyperlink r:id="rId10" w:anchor="53"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4 Кодексу адміністративного судочинства України</w:t>
        </w:r>
      </w:hyperlink>
      <w:r w:rsidRPr="0037579B">
        <w:rPr>
          <w:rFonts w:ascii="Roboto Condensed Light" w:hAnsi="Roboto Condensed Light"/>
          <w:sz w:val="28"/>
          <w:szCs w:val="28"/>
        </w:rPr>
        <w:t>, оскільки у всіх цих справах:</w:t>
      </w:r>
    </w:p>
    <w:p w14:paraId="3B473FF1"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позивач - пенсіонери, яким призначено пенсію відповідно до </w:t>
      </w:r>
      <w:hyperlink r:id="rId11" w:tgtFrame="_blank" w:tooltip="Про пенсійне забезпечення осіб, звільнених з військової служби, та деяких інших осіб; нормативно-правовий акт № 2262-XII від 09.04.1992, ВР України" w:history="1">
        <w:r w:rsidRPr="0037579B">
          <w:rPr>
            <w:rStyle w:val="a3"/>
            <w:rFonts w:ascii="Roboto Condensed Light" w:hAnsi="Roboto Condensed Light"/>
            <w:sz w:val="28"/>
            <w:szCs w:val="28"/>
          </w:rPr>
          <w:t>Закону України «Про пенсійне забезпечення осіб, звільнених з військової служби, та деяких інших осіб»</w:t>
        </w:r>
      </w:hyperlink>
      <w:r w:rsidRPr="0037579B">
        <w:rPr>
          <w:rFonts w:ascii="Roboto Condensed Light" w:hAnsi="Roboto Condensed Light"/>
          <w:sz w:val="28"/>
          <w:szCs w:val="28"/>
        </w:rPr>
        <w:t>;</w:t>
      </w:r>
    </w:p>
    <w:p w14:paraId="376CE747"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відповідач - орган державної влади, до повноважень якого належить видача довідок для перерахунку пенсії, а саме ІНФОРМАЦІЯ_1;</w:t>
      </w:r>
    </w:p>
    <w:p w14:paraId="67F169C1"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 спір виник з аналогічних підстав у відносинах, що регулюються одними нормами права (у зв`язку з </w:t>
      </w:r>
      <w:proofErr w:type="spellStart"/>
      <w:r w:rsidRPr="0037579B">
        <w:rPr>
          <w:rFonts w:ascii="Roboto Condensed Light" w:hAnsi="Roboto Condensed Light"/>
          <w:sz w:val="28"/>
          <w:szCs w:val="28"/>
        </w:rPr>
        <w:t>видачею</w:t>
      </w:r>
      <w:proofErr w:type="spellEnd"/>
      <w:r w:rsidRPr="0037579B">
        <w:rPr>
          <w:rFonts w:ascii="Roboto Condensed Light" w:hAnsi="Roboto Condensed Light"/>
          <w:sz w:val="28"/>
          <w:szCs w:val="28"/>
        </w:rPr>
        <w:t xml:space="preserve"> довідок на виконання рішень Львівського окружного адміністративного суду, у яких, на думку позивача, усупереч </w:t>
      </w:r>
      <w:r w:rsidRPr="0037579B">
        <w:rPr>
          <w:rFonts w:ascii="Roboto Condensed Light" w:hAnsi="Roboto Condensed Light"/>
          <w:sz w:val="28"/>
          <w:szCs w:val="28"/>
        </w:rPr>
        <w:lastRenderedPageBreak/>
        <w:t>положенням </w:t>
      </w:r>
      <w:hyperlink r:id="rId12"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КМ України" w:history="1">
        <w:r w:rsidRPr="0037579B">
          <w:rPr>
            <w:rStyle w:val="a3"/>
            <w:rFonts w:ascii="Roboto Condensed Light" w:hAnsi="Roboto Condensed Light"/>
            <w:sz w:val="28"/>
            <w:szCs w:val="28"/>
          </w:rPr>
          <w:t>постанови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37579B">
        <w:rPr>
          <w:rFonts w:ascii="Roboto Condensed Light" w:hAnsi="Roboto Condensed Light"/>
          <w:sz w:val="28"/>
          <w:szCs w:val="28"/>
        </w:rPr>
        <w:t> та Порядку виплати грошового забезпечення військовослужбовцям Збройних Сил України та деяким іншим особам, затвердженого </w:t>
      </w:r>
      <w:hyperlink r:id="rId13" w:tgtFrame="_blank" w:tooltip="Про затвердження Порядку виплати грошового забезпечення військовослужбовцям Збройних Сил України та деяким іншим особам; нормативно-правовий акт № 260 від 07.06.2018, Міноборони" w:history="1">
        <w:r w:rsidRPr="0037579B">
          <w:rPr>
            <w:rStyle w:val="a3"/>
            <w:rFonts w:ascii="Roboto Condensed Light" w:hAnsi="Roboto Condensed Light"/>
            <w:sz w:val="28"/>
            <w:szCs w:val="28"/>
          </w:rPr>
          <w:t>наказом Міністерства оборони України від 07 червня 2018 року № 260</w:t>
        </w:r>
      </w:hyperlink>
      <w:r w:rsidRPr="0037579B">
        <w:rPr>
          <w:rFonts w:ascii="Roboto Condensed Light" w:hAnsi="Roboto Condensed Light"/>
          <w:sz w:val="28"/>
          <w:szCs w:val="28"/>
        </w:rPr>
        <w:t>, неправильно визначено відсоткове значення надбавки за особливості проходження служби та премії);</w:t>
      </w:r>
    </w:p>
    <w:p w14:paraId="3372FE96" w14:textId="53392C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позивачі заявили аналогічні позовні вимоги (по-різному висловлені, але однакові по суті: визнати протиправними дії щодо зменшення в довідках станом на 01 січня 2020 року, станом на 01 січня 2021 року та станом на 01 січня 2022 року про розмір грошового забезпечення для перерахунку пенсії, на виконання рішення Львівського окружного адміністративного суду відсоткового значення надбавки за особливості проходження служби із 65% до 1% та премії з 35% до 10%, та, як наслідок, зобов`язати на виконання рішення Львівського окружного адміністративного суду скласти та подати до Головного управління Пенсійного фонду України у Львівській області довідки про розмір грошового забезпечення станом на 01 січня 2020 року, станом на 01 січня 2021 року та станом на 01 січня 2022 року, в яких на підставі </w:t>
      </w:r>
      <w:hyperlink r:id="rId14"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КМ України" w:history="1">
        <w:r w:rsidRPr="0037579B">
          <w:rPr>
            <w:rStyle w:val="a3"/>
            <w:rFonts w:ascii="Roboto Condensed Light" w:hAnsi="Roboto Condensed Light"/>
            <w:sz w:val="28"/>
            <w:szCs w:val="28"/>
          </w:rPr>
          <w:t>постанови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37579B">
        <w:rPr>
          <w:rFonts w:ascii="Roboto Condensed Light" w:hAnsi="Roboto Condensed Light"/>
          <w:sz w:val="28"/>
          <w:szCs w:val="28"/>
        </w:rPr>
        <w:t> та Порядку виплати грошового забезпечення військовослужбовцям Збройних Сил України та деяким іншим особам, затвердженого </w:t>
      </w:r>
      <w:hyperlink r:id="rId15" w:tgtFrame="_blank" w:tooltip="Про затвердження Порядку виплати грошового забезпечення військовослужбовцям Збройних Сил України та деяким іншим особам; нормативно-правовий акт № 260 від 07.06.2018, Міноборони" w:history="1">
        <w:r w:rsidRPr="0037579B">
          <w:rPr>
            <w:rStyle w:val="a3"/>
            <w:rFonts w:ascii="Roboto Condensed Light" w:hAnsi="Roboto Condensed Light"/>
            <w:sz w:val="28"/>
            <w:szCs w:val="28"/>
          </w:rPr>
          <w:t>наказом Міністра оборони України від 07 червня 2018 року № 260</w:t>
        </w:r>
      </w:hyperlink>
      <w:r w:rsidRPr="0037579B">
        <w:rPr>
          <w:rFonts w:ascii="Roboto Condensed Light" w:hAnsi="Roboto Condensed Light"/>
          <w:sz w:val="28"/>
          <w:szCs w:val="28"/>
        </w:rPr>
        <w:t>, указати правильні відсоткові значення згаданих величин.</w:t>
      </w:r>
    </w:p>
    <w:p w14:paraId="5D9D826D"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10. Відповідно до частини п`ятої </w:t>
      </w:r>
      <w:hyperlink r:id="rId16" w:anchor="2358"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290 Кодексу адміністративного судочинства України</w:t>
        </w:r>
      </w:hyperlink>
      <w:r w:rsidRPr="0037579B">
        <w:rPr>
          <w:rFonts w:ascii="Roboto Condensed Light" w:hAnsi="Roboto Condensed Light"/>
          <w:sz w:val="28"/>
          <w:szCs w:val="28"/>
        </w:rPr>
        <w:t> Верховний Суд вирішує зразкові справи за правилами спрощеного позовного провадження з урахуванням особливостей, визначених цією статтею.</w:t>
      </w:r>
    </w:p>
    <w:p w14:paraId="7EA189CD"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11. Згідно з пунктом 2 частини першої </w:t>
      </w:r>
      <w:hyperlink r:id="rId17" w:anchor="2073"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263 Кодексу адміністративного судочинства України</w:t>
        </w:r>
      </w:hyperlink>
      <w:r w:rsidRPr="0037579B">
        <w:rPr>
          <w:rFonts w:ascii="Roboto Condensed Light" w:hAnsi="Roboto Condensed Light"/>
          <w:sz w:val="28"/>
          <w:szCs w:val="28"/>
        </w:rPr>
        <w:t>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1630877E"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12. Керуючись принципом офіційного з`ясування всіх обставин у справі, закріпленим у частині четвертій статті 9, частині четвертій статті 77, приписами </w:t>
      </w:r>
      <w:r w:rsidRPr="0037579B">
        <w:rPr>
          <w:rFonts w:ascii="Roboto Condensed Light" w:hAnsi="Roboto Condensed Light"/>
          <w:sz w:val="28"/>
          <w:szCs w:val="28"/>
        </w:rPr>
        <w:lastRenderedPageBreak/>
        <w:t>частини третьої </w:t>
      </w:r>
      <w:hyperlink r:id="rId18" w:anchor="671"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80 Кодексу адміністративного судочинства України</w:t>
        </w:r>
      </w:hyperlink>
      <w:r w:rsidRPr="0037579B">
        <w:rPr>
          <w:rFonts w:ascii="Roboto Condensed Light" w:hAnsi="Roboto Condensed Light"/>
          <w:sz w:val="28"/>
          <w:szCs w:val="28"/>
        </w:rPr>
        <w:t>, від ІНФОРМАЦІЯ_1 потрібно витребувати наявні у його розпорядженні матеріали, які були підставою для зазначення в довідках про розмір грошового забезпечення для перерахунку пенсії позивача відсоткового значення надбавки за особливості проходження служби  1% та премії 10%, а саме лист Департаменту фінансів Міністерства оборони України від 29 грудня 2021 року № 248/10491 щодо визначення розмірів грошового забезпечення на виконання рішень судів.</w:t>
      </w:r>
    </w:p>
    <w:p w14:paraId="5ECAB6BA"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13. Згідно з частиною одинадцятою </w:t>
      </w:r>
      <w:hyperlink r:id="rId19" w:anchor="2358"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290 Кодексу адміністративного судочинства України</w:t>
        </w:r>
      </w:hyperlink>
      <w:r w:rsidRPr="0037579B">
        <w:rPr>
          <w:rFonts w:ascii="Roboto Condensed Light" w:hAnsi="Roboto Condensed Light"/>
          <w:sz w:val="28"/>
          <w:szCs w:val="28"/>
        </w:rPr>
        <w:t>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21D0E220"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14. Правові наслідки судового рішення, ухваленого у зразковій справі, передбачені частиною третьою </w:t>
      </w:r>
      <w:hyperlink r:id="rId20" w:anchor="2381"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291 Кодексу адміністративного судочинства України</w:t>
        </w:r>
      </w:hyperlink>
      <w:r w:rsidRPr="0037579B">
        <w:rPr>
          <w:rFonts w:ascii="Roboto Condensed Light" w:hAnsi="Roboto Condensed Light"/>
          <w:sz w:val="28"/>
          <w:szCs w:val="28"/>
        </w:rPr>
        <w:t>,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657FB652"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15. На підставі викладеного, керуючись статтями </w:t>
      </w:r>
      <w:hyperlink r:id="rId21" w:anchor="2024"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257- 263</w:t>
        </w:r>
      </w:hyperlink>
      <w:r w:rsidRPr="0037579B">
        <w:rPr>
          <w:rFonts w:ascii="Roboto Condensed Light" w:hAnsi="Roboto Condensed Light"/>
          <w:sz w:val="28"/>
          <w:szCs w:val="28"/>
        </w:rPr>
        <w:t>, </w:t>
      </w:r>
      <w:hyperlink r:id="rId22" w:anchor="2358"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290 Кодексу адміністративного судочинства України</w:t>
        </w:r>
      </w:hyperlink>
      <w:r w:rsidRPr="0037579B">
        <w:rPr>
          <w:rFonts w:ascii="Roboto Condensed Light" w:hAnsi="Roboto Condensed Light"/>
          <w:sz w:val="28"/>
          <w:szCs w:val="28"/>
        </w:rPr>
        <w:t>,</w:t>
      </w:r>
    </w:p>
    <w:p w14:paraId="6F8259AD"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b/>
          <w:bCs/>
          <w:sz w:val="28"/>
          <w:szCs w:val="28"/>
        </w:rPr>
        <w:t>УХВАЛИВ:</w:t>
      </w:r>
    </w:p>
    <w:p w14:paraId="76B745A5"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1. Відкрити провадження в зразковій справі №      380/19324/23 за позовом        ОСОБА_1 до ІНФОРМАЦІЯ_1 про визнання дій протиправними та зобов`язання вчинити певні дії.</w:t>
      </w:r>
    </w:p>
    <w:p w14:paraId="6FF7B842"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2. Справу розглядати за правилами спрощеного позовного провадження колегією суддів у складі п`яти суддів.</w:t>
      </w:r>
    </w:p>
    <w:p w14:paraId="0D64BCC8"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3. Справу призначити до розгляду без повідомлення (виклику) сторін на 06 грудня 2023 року в приміщенні суду за </w:t>
      </w:r>
      <w:proofErr w:type="spellStart"/>
      <w:r w:rsidRPr="0037579B">
        <w:rPr>
          <w:rFonts w:ascii="Roboto Condensed Light" w:hAnsi="Roboto Condensed Light"/>
          <w:sz w:val="28"/>
          <w:szCs w:val="28"/>
        </w:rPr>
        <w:t>адресою</w:t>
      </w:r>
      <w:proofErr w:type="spellEnd"/>
      <w:r w:rsidRPr="0037579B">
        <w:rPr>
          <w:rFonts w:ascii="Roboto Condensed Light" w:hAnsi="Roboto Condensed Light"/>
          <w:sz w:val="28"/>
          <w:szCs w:val="28"/>
        </w:rPr>
        <w:t xml:space="preserve">: вул. Князів Острозьких, 8, </w:t>
      </w:r>
      <w:proofErr w:type="spellStart"/>
      <w:r w:rsidRPr="0037579B">
        <w:rPr>
          <w:rFonts w:ascii="Roboto Condensed Light" w:hAnsi="Roboto Condensed Light"/>
          <w:sz w:val="28"/>
          <w:szCs w:val="28"/>
        </w:rPr>
        <w:t>корп</w:t>
      </w:r>
      <w:proofErr w:type="spellEnd"/>
      <w:r w:rsidRPr="0037579B">
        <w:rPr>
          <w:rFonts w:ascii="Roboto Condensed Light" w:hAnsi="Roboto Condensed Light"/>
          <w:sz w:val="28"/>
          <w:szCs w:val="28"/>
        </w:rPr>
        <w:t>. 5, м. Київ, 01029.</w:t>
      </w:r>
    </w:p>
    <w:p w14:paraId="6CAB016C"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4. Установити відповідачу строк для подання відзиву на позовну заяву та доказів, які підтверджують обставини, на яких ґрунтуються заперечення відповідача, зокрема лист Департаменту фінансів Міністерства оборони України від 29 грудня 2021 року № 248/10491 щодо визначення розмірів грошового забезпечення на виконання рішень судів, а також документів, що підтверджують надіслання (надання) відзиву й доданих до нього доказів позивачу, з дня вручення копії цієї ухвали не пізніше 15-го дня з дня її отримання.</w:t>
      </w:r>
    </w:p>
    <w:p w14:paraId="776271FC"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lastRenderedPageBreak/>
        <w:t>5. Установити відповідачу триденний строк із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16BBC42A"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6. Повідомити сторін, що відзив на позовну заяву (відзив), відповідь на відзив, заперечення та пояснення повинні відповідати вимогам частин другої-четвертої </w:t>
      </w:r>
      <w:hyperlink r:id="rId23" w:anchor="1249" w:tgtFrame="_blank" w:tooltip="Кодекс адміністративного судочинства України (ред. з 15.12.2017); нормативно-правовий акт № 2747-IV від 06.07.2005, ВР України" w:history="1">
        <w:r w:rsidRPr="0037579B">
          <w:rPr>
            <w:rStyle w:val="a3"/>
            <w:rFonts w:ascii="Roboto Condensed Light" w:hAnsi="Roboto Condensed Light"/>
            <w:sz w:val="28"/>
            <w:szCs w:val="28"/>
          </w:rPr>
          <w:t>статті 162 Кодексу адміністративного судочинства України</w:t>
        </w:r>
      </w:hyperlink>
      <w:r w:rsidRPr="0037579B">
        <w:rPr>
          <w:rFonts w:ascii="Roboto Condensed Light" w:hAnsi="Roboto Condensed Light"/>
          <w:sz w:val="28"/>
          <w:szCs w:val="28"/>
        </w:rPr>
        <w:t>.</w:t>
      </w:r>
    </w:p>
    <w:p w14:paraId="3C613D39"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7. Повідомити сторін, що інформацію в справі, яка розглядається, учасники справи можуть отримати за </w:t>
      </w:r>
      <w:proofErr w:type="spellStart"/>
      <w:r w:rsidRPr="0037579B">
        <w:rPr>
          <w:rFonts w:ascii="Roboto Condensed Light" w:hAnsi="Roboto Condensed Light"/>
          <w:sz w:val="28"/>
          <w:szCs w:val="28"/>
        </w:rPr>
        <w:t>адресою</w:t>
      </w:r>
      <w:proofErr w:type="spellEnd"/>
      <w:r w:rsidRPr="0037579B">
        <w:rPr>
          <w:rFonts w:ascii="Roboto Condensed Light" w:hAnsi="Roboto Condensed Light"/>
          <w:sz w:val="28"/>
          <w:szCs w:val="28"/>
        </w:rPr>
        <w:t xml:space="preserve"> на офіційному </w:t>
      </w:r>
      <w:proofErr w:type="spellStart"/>
      <w:r w:rsidRPr="0037579B">
        <w:rPr>
          <w:rFonts w:ascii="Roboto Condensed Light" w:hAnsi="Roboto Condensed Light"/>
          <w:sz w:val="28"/>
          <w:szCs w:val="28"/>
        </w:rPr>
        <w:t>вебпорталі</w:t>
      </w:r>
      <w:proofErr w:type="spellEnd"/>
      <w:r w:rsidRPr="0037579B">
        <w:rPr>
          <w:rFonts w:ascii="Roboto Condensed Light" w:hAnsi="Roboto Condensed Light"/>
          <w:sz w:val="28"/>
          <w:szCs w:val="28"/>
        </w:rPr>
        <w:t xml:space="preserve"> судової влади України: в мережі Інтернет: supreme.court.gov.ua.</w:t>
      </w:r>
    </w:p>
    <w:p w14:paraId="797695DC"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 xml:space="preserve">8. Опублікувати цю ухвалу про відкриття провадження в зразковій справі на офіційному </w:t>
      </w:r>
      <w:proofErr w:type="spellStart"/>
      <w:r w:rsidRPr="0037579B">
        <w:rPr>
          <w:rFonts w:ascii="Roboto Condensed Light" w:hAnsi="Roboto Condensed Light"/>
          <w:sz w:val="28"/>
          <w:szCs w:val="28"/>
        </w:rPr>
        <w:t>вебпорталі</w:t>
      </w:r>
      <w:proofErr w:type="spellEnd"/>
      <w:r w:rsidRPr="0037579B">
        <w:rPr>
          <w:rFonts w:ascii="Roboto Condensed Light" w:hAnsi="Roboto Condensed Light"/>
          <w:sz w:val="28"/>
          <w:szCs w:val="28"/>
        </w:rPr>
        <w:t xml:space="preserve"> судової влади України, а також в одному із загальнодержавних друкованих засобів масової інформації.</w:t>
      </w:r>
    </w:p>
    <w:p w14:paraId="5560172D"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9. 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265F5BC" w14:textId="77777777" w:rsidR="00504966" w:rsidRPr="0037579B" w:rsidRDefault="00504966" w:rsidP="00504966">
      <w:pPr>
        <w:jc w:val="both"/>
        <w:rPr>
          <w:rFonts w:ascii="Roboto Condensed Light" w:hAnsi="Roboto Condensed Light"/>
          <w:sz w:val="28"/>
          <w:szCs w:val="28"/>
        </w:rPr>
      </w:pPr>
      <w:r w:rsidRPr="0037579B">
        <w:rPr>
          <w:rFonts w:ascii="Roboto Condensed Light" w:hAnsi="Roboto Condensed Light"/>
          <w:sz w:val="28"/>
          <w:szCs w:val="28"/>
        </w:rPr>
        <w:t>Ухвала набирає законної сили з моменту її підписання не оскаржується.</w:t>
      </w:r>
    </w:p>
    <w:p w14:paraId="7C9105B5" w14:textId="3D0A5009"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Суддя-доповідач                                                                           Н.В. Коваленко</w:t>
      </w:r>
    </w:p>
    <w:p w14:paraId="6294FDD8" w14:textId="2667916C"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      Судді                                                                                          А.Ю. Бучик          </w:t>
      </w:r>
    </w:p>
    <w:p w14:paraId="08DB2283" w14:textId="54273678"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                                                                                                          А.А. Єзеров</w:t>
      </w:r>
    </w:p>
    <w:p w14:paraId="59C7A34D" w14:textId="64550076"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                                                                                                          О.П. Стародуб</w:t>
      </w:r>
    </w:p>
    <w:p w14:paraId="5AD0A527" w14:textId="0E7C61F7" w:rsidR="00504966" w:rsidRPr="0037579B" w:rsidRDefault="00504966" w:rsidP="00504966">
      <w:pPr>
        <w:rPr>
          <w:rFonts w:ascii="Roboto Condensed Light" w:hAnsi="Roboto Condensed Light"/>
          <w:sz w:val="28"/>
          <w:szCs w:val="28"/>
        </w:rPr>
      </w:pPr>
      <w:r w:rsidRPr="0037579B">
        <w:rPr>
          <w:rFonts w:ascii="Roboto Condensed Light" w:hAnsi="Roboto Condensed Light"/>
          <w:b/>
          <w:bCs/>
          <w:sz w:val="28"/>
          <w:szCs w:val="28"/>
        </w:rPr>
        <w:t>                                                                                                          С.М. Чиркін</w:t>
      </w:r>
    </w:p>
    <w:p w14:paraId="115C9D64" w14:textId="77777777" w:rsidR="00000000" w:rsidRPr="0037579B" w:rsidRDefault="00000000">
      <w:pPr>
        <w:rPr>
          <w:rFonts w:ascii="Roboto Condensed Light" w:hAnsi="Roboto Condensed Light"/>
          <w:sz w:val="28"/>
          <w:szCs w:val="28"/>
        </w:rPr>
      </w:pPr>
    </w:p>
    <w:sectPr w:rsidR="00732A2A" w:rsidRPr="003757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66"/>
    <w:rsid w:val="000E75F9"/>
    <w:rsid w:val="0037579B"/>
    <w:rsid w:val="00504966"/>
    <w:rsid w:val="008A49E3"/>
    <w:rsid w:val="00DE5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47DB"/>
  <w15:docId w15:val="{2BC3A762-A923-41B3-BD04-ACE30E4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5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966"/>
    <w:rPr>
      <w:color w:val="0000FF" w:themeColor="hyperlink"/>
      <w:u w:val="single"/>
    </w:rPr>
  </w:style>
  <w:style w:type="character" w:customStyle="1" w:styleId="10">
    <w:name w:val="Заголовок 1 Знак"/>
    <w:basedOn w:val="a0"/>
    <w:link w:val="1"/>
    <w:uiPriority w:val="9"/>
    <w:rsid w:val="0037579B"/>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9794">
      <w:bodyDiv w:val="1"/>
      <w:marLeft w:val="0"/>
      <w:marRight w:val="0"/>
      <w:marTop w:val="0"/>
      <w:marBottom w:val="0"/>
      <w:divBdr>
        <w:top w:val="none" w:sz="0" w:space="0" w:color="auto"/>
        <w:left w:val="none" w:sz="0" w:space="0" w:color="auto"/>
        <w:bottom w:val="none" w:sz="0" w:space="0" w:color="auto"/>
        <w:right w:val="none" w:sz="0" w:space="0" w:color="auto"/>
      </w:divBdr>
    </w:div>
    <w:div w:id="1693847706">
      <w:bodyDiv w:val="1"/>
      <w:marLeft w:val="0"/>
      <w:marRight w:val="0"/>
      <w:marTop w:val="0"/>
      <w:marBottom w:val="0"/>
      <w:divBdr>
        <w:top w:val="none" w:sz="0" w:space="0" w:color="auto"/>
        <w:left w:val="none" w:sz="0" w:space="0" w:color="auto"/>
        <w:bottom w:val="none" w:sz="0" w:space="0" w:color="auto"/>
        <w:right w:val="none" w:sz="0" w:space="0" w:color="auto"/>
      </w:divBdr>
    </w:div>
    <w:div w:id="1710566668">
      <w:bodyDiv w:val="1"/>
      <w:marLeft w:val="0"/>
      <w:marRight w:val="0"/>
      <w:marTop w:val="0"/>
      <w:marBottom w:val="0"/>
      <w:divBdr>
        <w:top w:val="none" w:sz="0" w:space="0" w:color="auto"/>
        <w:left w:val="none" w:sz="0" w:space="0" w:color="auto"/>
        <w:bottom w:val="none" w:sz="0" w:space="0" w:color="auto"/>
        <w:right w:val="none" w:sz="0" w:space="0" w:color="auto"/>
      </w:divBdr>
    </w:div>
    <w:div w:id="20852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3/ed_2023_10_19/pravo1/T05_2747.html?pravo=1" TargetMode="External"/><Relationship Id="rId13" Type="http://schemas.openxmlformats.org/officeDocument/2006/relationships/hyperlink" Target="http://search.ligazakon.ua/l_doc2.nsf/link1/ed_2023_09_26/pravo1/RE32197.html?pravo=1" TargetMode="External"/><Relationship Id="rId18" Type="http://schemas.openxmlformats.org/officeDocument/2006/relationships/hyperlink" Target="http://search.ligazakon.ua/l_doc2.nsf/link1/an_671/ed_2023_10_19/pravo1/T05_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024/ed_2023_10_19/pravo1/T05_2747.html?pravo=1" TargetMode="External"/><Relationship Id="rId7" Type="http://schemas.openxmlformats.org/officeDocument/2006/relationships/hyperlink" Target="http://search.ligazakon.ua/l_doc2.nsf/link1/ed_2023_05_12/pravo1/KP170704.html?pravo=1" TargetMode="External"/><Relationship Id="rId12" Type="http://schemas.openxmlformats.org/officeDocument/2006/relationships/hyperlink" Target="http://search.ligazakon.ua/l_doc2.nsf/link1/ed_2023_05_12/pravo1/KP170704.html?pravo=1" TargetMode="External"/><Relationship Id="rId17" Type="http://schemas.openxmlformats.org/officeDocument/2006/relationships/hyperlink" Target="http://search.ligazakon.ua/l_doc2.nsf/link1/an_2073/ed_2023_10_19/pravo1/T05_2747.html?pravo=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2358/ed_2023_10_19/pravo1/T05_2747.html?pravo=1" TargetMode="External"/><Relationship Id="rId20" Type="http://schemas.openxmlformats.org/officeDocument/2006/relationships/hyperlink" Target="http://search.ligazakon.ua/l_doc2.nsf/link1/an_2381/ed_2023_10_19/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ed_2022_11_03/pravo1/T226200.html?pravo=1" TargetMode="External"/><Relationship Id="rId11" Type="http://schemas.openxmlformats.org/officeDocument/2006/relationships/hyperlink" Target="http://search.ligazakon.ua/l_doc2.nsf/link1/ed_2022_11_03/pravo1/T226200.html?pravo=1" TargetMode="External"/><Relationship Id="rId24" Type="http://schemas.openxmlformats.org/officeDocument/2006/relationships/fontTable" Target="fontTable.xml"/><Relationship Id="rId5" Type="http://schemas.openxmlformats.org/officeDocument/2006/relationships/hyperlink" Target="http://search.ligazakon.ua/l_doc2.nsf/link1/ed_2023_09_26/pravo1/RE32197.html?pravo=1" TargetMode="External"/><Relationship Id="rId15" Type="http://schemas.openxmlformats.org/officeDocument/2006/relationships/hyperlink" Target="http://search.ligazakon.ua/l_doc2.nsf/link1/ed_2023_09_26/pravo1/RE32197.html?pravo=1" TargetMode="External"/><Relationship Id="rId23" Type="http://schemas.openxmlformats.org/officeDocument/2006/relationships/hyperlink" Target="http://search.ligazakon.ua/l_doc2.nsf/link1/an_1249/ed_2023_10_19/pravo1/T05_2747.html?pravo=1" TargetMode="External"/><Relationship Id="rId10" Type="http://schemas.openxmlformats.org/officeDocument/2006/relationships/hyperlink" Target="http://search.ligazakon.ua/l_doc2.nsf/link1/an_53/ed_2023_10_19/pravo1/T05_2747.html?pravo=1" TargetMode="External"/><Relationship Id="rId19" Type="http://schemas.openxmlformats.org/officeDocument/2006/relationships/hyperlink" Target="http://search.ligazakon.ua/l_doc2.nsf/link1/an_2358/ed_2023_10_19/pravo1/T05_2747.html?pravo=1" TargetMode="External"/><Relationship Id="rId4" Type="http://schemas.openxmlformats.org/officeDocument/2006/relationships/hyperlink" Target="http://search.ligazakon.ua/l_doc2.nsf/link1/ed_2023_05_12/pravo1/KP170704.html?pravo=1" TargetMode="External"/><Relationship Id="rId9" Type="http://schemas.openxmlformats.org/officeDocument/2006/relationships/hyperlink" Target="http://search.ligazakon.ua/l_doc2.nsf/link1/an_53/ed_2023_10_19/pravo1/T05_2747.html?pravo=1" TargetMode="External"/><Relationship Id="rId14" Type="http://schemas.openxmlformats.org/officeDocument/2006/relationships/hyperlink" Target="http://search.ligazakon.ua/l_doc2.nsf/link1/ed_2023_05_12/pravo1/KP170704.html?pravo=1" TargetMode="External"/><Relationship Id="rId22" Type="http://schemas.openxmlformats.org/officeDocument/2006/relationships/hyperlink" Target="http://search.ligazakon.ua/l_doc2.nsf/link1/an_2358/ed_2023_10_19/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12155</Words>
  <Characters>6929</Characters>
  <Application>Microsoft Office Word</Application>
  <DocSecurity>0</DocSecurity>
  <Lines>57</Lines>
  <Paragraphs>38</Paragraphs>
  <ScaleCrop>false</ScaleCrop>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Замега Юрій</dc:creator>
  <cp:lastModifiedBy>БЕЗСМЕРТНА Галина Михайлівна</cp:lastModifiedBy>
  <cp:revision>2</cp:revision>
  <dcterms:created xsi:type="dcterms:W3CDTF">2023-11-10T09:41:00Z</dcterms:created>
  <dcterms:modified xsi:type="dcterms:W3CDTF">2023-11-10T09:41:00Z</dcterms:modified>
</cp:coreProperties>
</file>