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88" w:rsidRPr="00726A88" w:rsidRDefault="00726A88" w:rsidP="00726A88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Перелік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відомостей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становлять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службову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інформацію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у Верховному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Суді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26A88" w:rsidRPr="00726A88" w:rsidRDefault="00726A88" w:rsidP="00726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 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режимно-секретної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1.1.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переоформлення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спеціального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дозволу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провадження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пов'язаної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де</w:t>
      </w:r>
      <w:bookmarkStart w:id="0" w:name="_GoBack"/>
      <w:bookmarkEnd w:id="0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ржавною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таємницею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1.2. 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зміст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планів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роботи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інструкцій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положень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правил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тощо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листування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державними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органами, органами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місцевого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самоврядування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підприємствами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установами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й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організаціями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відділу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режимно-секретної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роботи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1.3. 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змісту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номенклатури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посад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працівників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перебування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потребує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оформлення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допуску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таємниці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1.4. 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містяться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облікових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документах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листуванні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оформлення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скасування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) допуску до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таємниці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суддям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правникам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1.5. 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засекречування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розсекречування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перегляду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грифів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матеріальних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носіїв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експертних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комісій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таємниць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проведення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екпертизи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цінності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документів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1.6. 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перевірки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стану режиму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визначення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придатності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режимних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приміщень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(зон,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територій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) для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проведення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робіт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внутрішньооб'єктового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режиму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1.7. 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змісту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номенклатури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справ,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секретного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діловодства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обліку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зберігання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перевірки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наявності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знищення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документів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інших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матеріальних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носіїв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1.8. 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проведення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нарад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судових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тощо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використанням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становить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таємницю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1.9. 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поводженням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із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секретними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документами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відрядження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1.10.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режиму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зв'язку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виїздом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іноземних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держав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працівників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яким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надано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допуск та доступ до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таємниці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1.11.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режиму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проведення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заходів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міжнародного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співробітництва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1.12.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зміст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заходів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документів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із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режиму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умовах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особливого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періоду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надзвичайного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стану.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1.13.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проведення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службових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розслідувань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фактами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порушень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законодавства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сфері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охорони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таємниці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 </w:t>
      </w:r>
    </w:p>
    <w:p w:rsidR="00726A88" w:rsidRPr="00726A88" w:rsidRDefault="00726A88" w:rsidP="00726A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мобілізаційної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lastRenderedPageBreak/>
        <w:t xml:space="preserve">2.1.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зміст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планів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програм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мобілізаційної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підготовки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результати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виконання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цілому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2.2.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окремими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показниками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потреби,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обсяги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матеріально-технічного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фінансового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заходів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передбачених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мобілізаційними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планами, планами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переведення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функціонування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умовах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особливого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періоду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цілому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2.3.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організаційного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характеру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мобілізаційної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роботи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без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зазначення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дислокацію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характеристики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запасних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пунктів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входять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системи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запасних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пунктів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розголошення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може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завдати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істотної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шкоди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інтересам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оборони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національній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безпеці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2.4.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зміст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переліків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посад і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професій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військовозобов’язаних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підлягають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бронюванню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мобілізації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воєнний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цілому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2.5.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чисельність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військовозобов'язаних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заброньовані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Судом.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2.6.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Функціональні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обов'язки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персоналу Суду на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особливий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період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2.7.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окремими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показниками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оповіщення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зв’язку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мобілізацією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порядок,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терміни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виконання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заходів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переведення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gram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 роботу</w:t>
      </w:r>
      <w:proofErr w:type="gram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умовах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особливого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періоду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цілому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2.8.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оповіщення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збір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персоналу Верховного Суду,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домашні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мобільні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телефони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місце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проживання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працівників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 </w:t>
      </w:r>
    </w:p>
    <w:p w:rsidR="00726A88" w:rsidRPr="00726A88" w:rsidRDefault="00726A88" w:rsidP="00726A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технічного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захисту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охорони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3.1. 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містяться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документах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із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технічного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захисту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крім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документів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загального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характеру та таких,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становлять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таємницю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).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3.2. 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Узагальнені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технічного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захисту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об’єктів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інформаційної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й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урядового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зв’язку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матеріалів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обстеження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атестування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3.3. 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розкривають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систему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охорони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пропускний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внутрішньообʼєктовий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режим,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технічне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оснащення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охорони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об’єктів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розташування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характеристику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постів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охорони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об’єктових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периметрових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систем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відеоспостереження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сигналізації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3.4. 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осіб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урядовим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зв’язком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 </w:t>
      </w:r>
    </w:p>
    <w:p w:rsidR="00726A88" w:rsidRPr="00726A88" w:rsidRDefault="00726A88" w:rsidP="00726A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Суду.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4.1. 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містяться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документах Суду,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службову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інших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влади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місцевого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самоврядування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підприємств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установ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lastRenderedPageBreak/>
        <w:t>4.2. 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містяться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протоколах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зборів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Суду, Пленуму Суду,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пленарних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секцій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Науково-консультативної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ради при Верховному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рішеннях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зборів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прийнято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рішення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віднесення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службової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4.3. 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містяться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постановах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Голови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вжиття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спеціальних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заходів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безпеки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«Про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державний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захист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працівників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і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правоохоронних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».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4.4. 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містяться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наказах,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розпорядженнях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дорученнях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керівництва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прийнято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рішення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віднесення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службової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4.5. 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містяться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внутрівідомчій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службовій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кореспонденції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(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акти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доповідні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службові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записки,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протоколи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заявки,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довідки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аналізи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узагальнення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методичні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рекомендації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подання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пропозиції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звіти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повідомлення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тощо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),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пов’язані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розробкою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напряму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процесом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прийняття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рішень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передують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публічному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обговоренню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та/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прийняттю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рішень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4.6. 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Автоматизованої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системи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діловодства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(АСДС),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крім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даних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АСДС,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надаються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працівниками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структурних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підрозділів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на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виконання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своїх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обов’язків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4.7. 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технічних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характеристик майна Суду,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призначеного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для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безперебійного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функціонування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Суду.</w:t>
      </w:r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 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4.8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можуть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міститися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книгах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обліку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руху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особових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справ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службовців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та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трудових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книжках і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вкладишах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них.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4.9.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містяться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особових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справах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працівників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4.10. 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містяться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документах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обліку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печаток і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штампів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4.11. 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містять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матеріали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службових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розслідувань</w:t>
      </w:r>
      <w:proofErr w:type="spellEnd"/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26A88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 </w:t>
      </w:r>
    </w:p>
    <w:p w:rsidR="00726A88" w:rsidRPr="00726A88" w:rsidRDefault="00726A88" w:rsidP="00726A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Інші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відомості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що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містяться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в документах Суду,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якщо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вони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пов'язані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розробкою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напряму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діяльності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Суду,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процесом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прийняття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яким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присвоєно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гриф «Для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службового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користування</w:t>
      </w:r>
      <w:proofErr w:type="spellEnd"/>
      <w:r w:rsidRPr="00726A88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».</w:t>
      </w:r>
    </w:p>
    <w:p w:rsidR="00726A88" w:rsidRPr="00726A88" w:rsidRDefault="00726A88" w:rsidP="00726A88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hyperlink r:id="rId5" w:history="1">
        <w:r w:rsidRPr="00726A88">
          <w:rPr>
            <w:rFonts w:ascii="Roboto Condensed Light" w:eastAsia="Times New Roman" w:hAnsi="Roboto Condensed Light" w:cs="Times New Roman"/>
            <w:color w:val="0000FF"/>
            <w:sz w:val="24"/>
            <w:szCs w:val="24"/>
            <w:u w:val="single"/>
            <w:lang w:eastAsia="ru-RU"/>
          </w:rPr>
          <w:t xml:space="preserve">Наказ </w:t>
        </w:r>
        <w:proofErr w:type="spellStart"/>
        <w:r w:rsidRPr="00726A88">
          <w:rPr>
            <w:rFonts w:ascii="Roboto Condensed Light" w:eastAsia="Times New Roman" w:hAnsi="Roboto Condensed Light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26A88">
          <w:rPr>
            <w:rFonts w:ascii="Roboto Condensed Light" w:eastAsia="Times New Roman" w:hAnsi="Roboto Condensed Light" w:cs="Times New Roman"/>
            <w:color w:val="0000FF"/>
            <w:sz w:val="24"/>
            <w:szCs w:val="24"/>
            <w:u w:val="single"/>
            <w:lang w:eastAsia="ru-RU"/>
          </w:rPr>
          <w:t xml:space="preserve"> 18 липня 2018 року № 110-ОД.</w:t>
        </w:r>
      </w:hyperlink>
    </w:p>
    <w:p w:rsidR="00792628" w:rsidRPr="00726A88" w:rsidRDefault="00792628">
      <w:pPr>
        <w:rPr>
          <w:rFonts w:ascii="Roboto Condensed Light" w:hAnsi="Roboto Condensed Light"/>
          <w:sz w:val="24"/>
          <w:szCs w:val="24"/>
        </w:rPr>
      </w:pPr>
    </w:p>
    <w:sectPr w:rsidR="00792628" w:rsidRPr="0072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D98"/>
    <w:multiLevelType w:val="multilevel"/>
    <w:tmpl w:val="100C0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B308E"/>
    <w:multiLevelType w:val="multilevel"/>
    <w:tmpl w:val="E2DA4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0592C"/>
    <w:multiLevelType w:val="multilevel"/>
    <w:tmpl w:val="4D984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300E7"/>
    <w:multiLevelType w:val="multilevel"/>
    <w:tmpl w:val="8878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B55BD"/>
    <w:multiLevelType w:val="multilevel"/>
    <w:tmpl w:val="FE62B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8"/>
    <w:rsid w:val="00726A88"/>
    <w:rsid w:val="007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CCF8-2CE3-4B50-8F9E-95444B6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6A88"/>
    <w:rPr>
      <w:b/>
      <w:bCs/>
    </w:rPr>
  </w:style>
  <w:style w:type="paragraph" w:styleId="a4">
    <w:name w:val="Normal (Web)"/>
    <w:basedOn w:val="a"/>
    <w:uiPriority w:val="99"/>
    <w:semiHidden/>
    <w:unhideWhenUsed/>
    <w:rsid w:val="0072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6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reme.court.gov.ua/userfiles/Nakaz_110_OD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2019-08-13T07:09:00Z</dcterms:created>
  <dcterms:modified xsi:type="dcterms:W3CDTF">2019-08-13T07:10:00Z</dcterms:modified>
</cp:coreProperties>
</file>