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C3" w:rsidRPr="003465A9" w:rsidRDefault="003B42C3" w:rsidP="003B42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bookmarkEnd w:id="0"/>
      <w:r w:rsidRPr="003465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Огляд даних судової статистики про стан здійснення правосуддя </w:t>
      </w:r>
      <w:r w:rsidR="00AB0D7F" w:rsidRPr="003465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Коростенським </w:t>
      </w:r>
      <w:r w:rsidRPr="003465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міськрайонним судом Житомирської області за 2018 рік</w:t>
      </w:r>
      <w:r w:rsidR="00C42B8B" w:rsidRPr="003465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C42B8B" w:rsidRPr="003B42C3" w:rsidRDefault="00C42B8B" w:rsidP="003B42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CD2DE0" w:rsidRDefault="003B42C3" w:rsidP="00CD2DE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виконання завдання територіального управління Державної судової адміністрації України в Житомирській області відповідальними працівниками апарату </w:t>
      </w:r>
      <w:r w:rsidR="00AB0D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Коростенського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міськрайонного суду Житомирської області проведено огляд даних судової статистики за 2018 рік. Під час проведення даного огляду було використано статистичні </w:t>
      </w:r>
      <w:r w:rsid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дані 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звіт</w:t>
      </w:r>
      <w:r w:rsid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ів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суду за 2017 -2018 роки.</w:t>
      </w:r>
    </w:p>
    <w:p w:rsidR="003465A9" w:rsidRDefault="003465A9" w:rsidP="00CD2DE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465A9" w:rsidRPr="003465A9" w:rsidRDefault="003465A9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Обліково-статистична робота у Коростенському міськрайонному суді Житомирської області ведеться відповідно до Інструкції з діловодства в місцевих загальних судах,  Положення про автоматизовану систему документообігу суду, Інструкції щодо заповнення і подання та заповнення форм звітності про розгляд апеляційними та місцевими судами судових справ та матеріалів,  Інструкції щодо формування картки на особу, тощо.</w:t>
      </w:r>
    </w:p>
    <w:p w:rsidR="003465A9" w:rsidRPr="003465A9" w:rsidRDefault="003465A9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Відповідно до п. 3 ст. 15 Закону України «Про судоустрій і статус суддів» діловодство у місцевих загальних судах здійснюється в автоматизованій системі документообігу суду.</w:t>
      </w:r>
    </w:p>
    <w:p w:rsidR="003465A9" w:rsidRDefault="003465A9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</w:t>
      </w:r>
      <w:r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році в Коростенському міськрайонному суді Житомирської області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фактично </w:t>
      </w:r>
      <w:r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працювали </w:t>
      </w:r>
      <w:r w:rsidRPr="003465A9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суддів, </w:t>
      </w:r>
      <w:r w:rsidRPr="003465A9">
        <w:rPr>
          <w:rFonts w:ascii="Times New Roman" w:eastAsia="Times New Roman" w:hAnsi="Times New Roman" w:cs="Times New Roman"/>
          <w:sz w:val="24"/>
          <w:szCs w:val="24"/>
          <w:lang w:eastAsia="uk-UA"/>
        </w:rPr>
        <w:t>18</w:t>
      </w:r>
      <w:r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.05.2017 року закінчились повноваження у судді Моголівця І.А., 23.08.2017 року закінчились повноваження у судді Снігір В.М. Отже, в зв`язку з закінченням повноважень двох суддів,  зменшилась кількість працюючих суддів до 5 чоловік, що вплинуло на кількість розглянутих справ  та на збільшення залишку.</w:t>
      </w:r>
    </w:p>
    <w:p w:rsidR="003465A9" w:rsidRPr="003465A9" w:rsidRDefault="003465A9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465A9" w:rsidRDefault="003465A9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Протягом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</w:t>
      </w:r>
      <w:r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працівниками апарату Коростенського міськрайонного суду Житомирської області належним чином було організовано прийом та своєчасну реєстрацію всіх справ та матеріалів, що надходили до суду.</w:t>
      </w:r>
    </w:p>
    <w:p w:rsidR="003465A9" w:rsidRPr="003465A9" w:rsidRDefault="003465A9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465A9" w:rsidRDefault="003465A9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Організаційна робота включала в себе: підготовку та здачу статистичних звітів; проведення взаємозвірки показників звітності щодо виправданих осіб та повернутих судом кримінальних справ з Коростенською місцевою прокуратурою; оновлення ВЕБ-сторінки суду; проведення навчання з працівниками апарату суду; підготовку та передачу справ до архіву суду; проведення нарад з працівниками апарату суду; подання інформації щодо кількості копій судових рішень, надісланих до ЄДРСР; ознайомлення з поточними змінами в законодавстві, підготовка фінансової звітності, проведення перевірки роботи канцелярії суду щодо повноти та своєчасності заповнення обліково-статистичних карток по кримінальних, цивільних та адміністративних справах та ін. </w:t>
      </w:r>
    </w:p>
    <w:p w:rsidR="003465A9" w:rsidRPr="003465A9" w:rsidRDefault="003465A9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465A9" w:rsidRPr="003465A9" w:rsidRDefault="003465A9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суді протягом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</w:t>
      </w:r>
      <w:r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проведено ряд організаційних заходів: головою суду та керівником апарату суду проведено наради по підсумках роботи  за попередні періоди  та з питань підготовки та здачі статистичних звітів; підготовлено інформацію стосовно результатів розгляду справ із залишку станом на початок року;  проведено аналіз обліково-статистичної роботи за 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</w:t>
      </w:r>
      <w:r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 та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  <w:r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рік;  доведено  до відома працівників інформацію, яка систематично надходить з апеляційного суду Житомирської області, ТУ ДСА у Житомирській області; систематично надсилаються  до ЄДРСР копії судових рішень; надсилаються до ЄДРСР відомості щодо набрання судовими рішеннями законної сили.</w:t>
      </w:r>
    </w:p>
    <w:p w:rsidR="003465A9" w:rsidRPr="003465A9" w:rsidRDefault="003465A9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465A9" w:rsidRPr="003465A9" w:rsidRDefault="003465A9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Усі квартальні звіти, аналізи, довідки  та інформації за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</w:t>
      </w:r>
      <w:r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 Коростенським міськрайонним судом надіслані до ТУ ДСА  у визначені строки. Найпоширенішою проблемою, що виникає при складанні звітності є неточності та відсутність усіх даних  в обліково-статистичних картках. Недоліки усуваються відповідальними працівниками апарату суду. Також при складанні звітності враховуються прийняті протягом року зміни.</w:t>
      </w:r>
    </w:p>
    <w:p w:rsidR="003465A9" w:rsidRPr="003465A9" w:rsidRDefault="003465A9" w:rsidP="003465A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D2DE0" w:rsidRPr="00CD2DE0" w:rsidRDefault="003465A9" w:rsidP="00CD2DE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 w:eastAsia="ru-RU"/>
        </w:rPr>
        <w:lastRenderedPageBreak/>
        <w:t xml:space="preserve">Так, </w:t>
      </w:r>
      <w:r w:rsidR="00CD2DE0" w:rsidRPr="00CD2DE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 w:eastAsia="ru-RU"/>
        </w:rPr>
        <w:t xml:space="preserve">протягом </w:t>
      </w:r>
      <w:r w:rsidR="00CD2DE0" w:rsidRPr="00CD2D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201</w:t>
      </w:r>
      <w:r w:rsidR="00CD2D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8</w:t>
      </w:r>
      <w:r w:rsidR="00CD2DE0" w:rsidRPr="00CD2D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 xml:space="preserve">  року  в  порівнянні  з  201</w:t>
      </w:r>
      <w:r w:rsidR="00CD2D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7</w:t>
      </w:r>
      <w:r w:rsidR="00CD2DE0" w:rsidRPr="00CD2D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 xml:space="preserve">  роком</w:t>
      </w:r>
      <w:r w:rsidR="00CD2DE0" w:rsidRPr="00CD2DE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 w:eastAsia="ru-RU"/>
        </w:rPr>
        <w:t xml:space="preserve"> в провадження </w:t>
      </w:r>
      <w:r w:rsidR="00CD2DE0" w:rsidRPr="00CD2DE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uk-UA" w:eastAsia="ru-RU"/>
        </w:rPr>
        <w:t>суду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uk-UA" w:eastAsia="ru-RU"/>
        </w:rPr>
        <w:t xml:space="preserve"> </w:t>
      </w:r>
      <w:r w:rsidRPr="003465A9"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u w:val="single"/>
          <w:lang w:val="uk-UA" w:eastAsia="ru-RU"/>
        </w:rPr>
        <w:t xml:space="preserve">надійшло </w:t>
      </w:r>
      <w:r w:rsidR="00CD2DE0" w:rsidRPr="00CD2DE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uk-UA" w:eastAsia="ru-RU"/>
        </w:rPr>
        <w:t xml:space="preserve">:                                                                                                                                                                                                    </w:t>
      </w: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5274"/>
        <w:gridCol w:w="1377"/>
        <w:gridCol w:w="1377"/>
        <w:gridCol w:w="1377"/>
      </w:tblGrid>
      <w:tr w:rsidR="00CD2DE0" w:rsidRPr="00CD2DE0" w:rsidTr="00DC102D">
        <w:tc>
          <w:tcPr>
            <w:tcW w:w="563" w:type="dxa"/>
            <w:shd w:val="clear" w:color="auto" w:fill="auto"/>
          </w:tcPr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274" w:type="dxa"/>
            <w:shd w:val="clear" w:color="auto" w:fill="auto"/>
          </w:tcPr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  <w:t>Категорія справ</w:t>
            </w:r>
          </w:p>
        </w:tc>
        <w:tc>
          <w:tcPr>
            <w:tcW w:w="1377" w:type="dxa"/>
          </w:tcPr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  <w:t>2017 рік</w:t>
            </w:r>
          </w:p>
        </w:tc>
        <w:tc>
          <w:tcPr>
            <w:tcW w:w="1377" w:type="dxa"/>
          </w:tcPr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  <w:t>8</w:t>
            </w:r>
            <w:r w:rsidRPr="00CD2DE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1377" w:type="dxa"/>
            <w:shd w:val="clear" w:color="auto" w:fill="auto"/>
          </w:tcPr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  <w:t>Різниця</w:t>
            </w:r>
          </w:p>
        </w:tc>
      </w:tr>
      <w:tr w:rsidR="00CD2DE0" w:rsidRPr="00CD2DE0" w:rsidTr="00DC102D">
        <w:tc>
          <w:tcPr>
            <w:tcW w:w="563" w:type="dxa"/>
            <w:shd w:val="clear" w:color="auto" w:fill="auto"/>
          </w:tcPr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1.</w:t>
            </w: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2.</w:t>
            </w: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3.</w:t>
            </w: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4.</w:t>
            </w: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5.</w:t>
            </w: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6.</w:t>
            </w: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5274" w:type="dxa"/>
            <w:shd w:val="clear" w:color="auto" w:fill="auto"/>
          </w:tcPr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кримінальні справи</w:t>
            </w: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кримінальні провадження</w:t>
            </w: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цивільні справи</w:t>
            </w: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адміністративні справи</w:t>
            </w: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справи про адміністративне правопорушення</w:t>
            </w: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розгляд слідчим суддею клопотань, скарг, заяв під час досудового розслідування</w:t>
            </w: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справи щодо розгляду питань у порядку виконання судових рішень</w:t>
            </w:r>
          </w:p>
          <w:p w:rsidR="00560468" w:rsidRDefault="00560468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560468" w:rsidRPr="00CD2DE0" w:rsidRDefault="00560468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377" w:type="dxa"/>
          </w:tcPr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0</w:t>
            </w: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362</w:t>
            </w: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2051</w:t>
            </w: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725</w:t>
            </w: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1423</w:t>
            </w: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1650</w:t>
            </w: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931</w:t>
            </w:r>
          </w:p>
          <w:p w:rsidR="00560468" w:rsidRDefault="00560468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560468" w:rsidRPr="00CD2DE0" w:rsidRDefault="00560468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7142</w:t>
            </w:r>
          </w:p>
        </w:tc>
        <w:tc>
          <w:tcPr>
            <w:tcW w:w="1377" w:type="dxa"/>
          </w:tcPr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0</w:t>
            </w:r>
          </w:p>
          <w:p w:rsidR="00CD2DE0" w:rsidRPr="00CD2DE0" w:rsidRDefault="00602EFF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362</w:t>
            </w:r>
          </w:p>
          <w:p w:rsidR="00CD2DE0" w:rsidRPr="00CD2DE0" w:rsidRDefault="00602EFF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1860</w:t>
            </w:r>
          </w:p>
          <w:p w:rsidR="00CD2DE0" w:rsidRPr="00CD2DE0" w:rsidRDefault="00602EFF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104</w:t>
            </w: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</w:p>
          <w:p w:rsidR="00CD2DE0" w:rsidRPr="00CD2DE0" w:rsidRDefault="00602EFF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1838</w:t>
            </w: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</w:p>
          <w:p w:rsidR="00CD2DE0" w:rsidRPr="00CD2DE0" w:rsidRDefault="00560468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2242</w:t>
            </w: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</w:p>
          <w:p w:rsidR="00560468" w:rsidRDefault="00560468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719</w:t>
            </w:r>
          </w:p>
          <w:p w:rsidR="00560468" w:rsidRDefault="00560468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560468" w:rsidRPr="00560468" w:rsidRDefault="00560468" w:rsidP="00560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7125</w:t>
            </w:r>
          </w:p>
        </w:tc>
        <w:tc>
          <w:tcPr>
            <w:tcW w:w="1377" w:type="dxa"/>
            <w:shd w:val="clear" w:color="auto" w:fill="auto"/>
          </w:tcPr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0</w:t>
            </w:r>
          </w:p>
          <w:p w:rsidR="00CD2DE0" w:rsidRPr="00CD2DE0" w:rsidRDefault="00602EFF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0</w:t>
            </w:r>
          </w:p>
          <w:p w:rsidR="00CD2DE0" w:rsidRPr="00CD2DE0" w:rsidRDefault="00602EFF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-191</w:t>
            </w: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-</w:t>
            </w:r>
            <w:r w:rsidR="00602E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621</w:t>
            </w: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CD2DE0" w:rsidRPr="00CD2DE0" w:rsidRDefault="00602EFF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+415</w:t>
            </w: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CD2DE0" w:rsidRPr="00CD2DE0" w:rsidRDefault="00602EFF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+</w:t>
            </w:r>
            <w:r w:rsidR="005604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592</w:t>
            </w: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CD2DE0" w:rsidRPr="00CD2DE0" w:rsidRDefault="00CD2DE0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560468" w:rsidRDefault="00560468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-212</w:t>
            </w:r>
          </w:p>
          <w:p w:rsidR="00560468" w:rsidRDefault="00560468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560468" w:rsidRDefault="00560468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-17</w:t>
            </w:r>
          </w:p>
          <w:p w:rsidR="00560468" w:rsidRPr="00560468" w:rsidRDefault="00560468" w:rsidP="00560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D2DE0" w:rsidRPr="003B42C3" w:rsidRDefault="00CD2DE0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B42C3" w:rsidRP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Упродовж 2018 року у </w:t>
      </w:r>
      <w:r w:rsidR="005604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Коростенському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міськрайонному суді на розгляді перебувало </w:t>
      </w:r>
      <w:r w:rsidR="005604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8818</w:t>
      </w:r>
      <w:r w:rsidR="00F92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справ (у 2017 році 7933 справи), 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що на </w:t>
      </w:r>
      <w:r w:rsidR="00F92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885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справи більше у порівнянні з 2017 роком. Дані судової статистики свідчать, що динаміка збільшення спостерігається у надходженні справ кримінального судочинства</w:t>
      </w:r>
      <w:r w:rsidR="00F92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 розгляд слідчим суддею клопотань, скарг, заяв під час досудового слідства) 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справ про адміністративні правопорушення </w:t>
      </w:r>
      <w:r w:rsidR="00F92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Кількість справ адміністративного судочинства зменшилась  </w:t>
      </w:r>
      <w:r w:rsidR="00F92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621 справу 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порівняно з 2017 роком, а </w:t>
      </w:r>
      <w:r w:rsidR="00F92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також і зменшилась кількість надходження 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справ цивільного судочинства </w:t>
      </w:r>
      <w:r w:rsidR="00F92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3B42C3" w:rsidRP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2018 році судом видано </w:t>
      </w:r>
      <w:r w:rsidR="00F81F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2590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виконавчих документи на суму </w:t>
      </w:r>
      <w:r w:rsidR="00F81F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14171095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грн, з них про стягнення судового збору на </w:t>
      </w:r>
      <w:r w:rsidR="00F81F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312523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грн. Контроль за своєчасним зверненням до виконання судових рішень здійснює суддя, у провадженні якого перебувала справа.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:rsidR="00B443AF" w:rsidRDefault="003B42C3" w:rsidP="003465A9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Структурно і динамічно загальні показники справ і матеріалів, що перебували в провадженні суду у 2017-2018 роках за видами судочинства представлено у діаграмі та таблиці</w:t>
      </w:r>
    </w:p>
    <w:p w:rsidR="003465A9" w:rsidRDefault="003B42C3" w:rsidP="003B42C3">
      <w:pPr>
        <w:spacing w:after="0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Діаграма 1</w:t>
      </w:r>
    </w:p>
    <w:p w:rsidR="003465A9" w:rsidRDefault="003465A9" w:rsidP="003B42C3">
      <w:pPr>
        <w:spacing w:after="0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465A9" w:rsidRDefault="003B42C3" w:rsidP="003B42C3">
      <w:pPr>
        <w:spacing w:after="0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909310" cy="226885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65A9" w:rsidRDefault="003465A9" w:rsidP="003B42C3">
      <w:pPr>
        <w:spacing w:after="0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B42C3" w:rsidRPr="003B42C3" w:rsidRDefault="003B42C3" w:rsidP="003B42C3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lastRenderedPageBreak/>
        <w:t>Таблиця 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1321"/>
        <w:gridCol w:w="2381"/>
      </w:tblGrid>
      <w:tr w:rsidR="003B42C3" w:rsidRPr="003B42C3" w:rsidTr="00867B92">
        <w:tc>
          <w:tcPr>
            <w:tcW w:w="4786" w:type="dxa"/>
          </w:tcPr>
          <w:p w:rsidR="003B42C3" w:rsidRPr="003B42C3" w:rsidRDefault="003B42C3" w:rsidP="003B4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2C3">
              <w:rPr>
                <w:rFonts w:ascii="Times New Roman" w:hAnsi="Times New Roman"/>
                <w:b/>
                <w:sz w:val="20"/>
                <w:szCs w:val="20"/>
              </w:rPr>
              <w:t>Перебувало в провадженні справ та матеріалів</w:t>
            </w:r>
          </w:p>
        </w:tc>
        <w:tc>
          <w:tcPr>
            <w:tcW w:w="1701" w:type="dxa"/>
          </w:tcPr>
          <w:p w:rsidR="003B42C3" w:rsidRPr="003B42C3" w:rsidRDefault="003B42C3" w:rsidP="003B4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2C3">
              <w:rPr>
                <w:rFonts w:ascii="Times New Roman" w:hAnsi="Times New Roman"/>
                <w:b/>
                <w:sz w:val="20"/>
                <w:szCs w:val="20"/>
              </w:rPr>
              <w:t>2017 рік</w:t>
            </w:r>
          </w:p>
        </w:tc>
        <w:tc>
          <w:tcPr>
            <w:tcW w:w="1321" w:type="dxa"/>
          </w:tcPr>
          <w:p w:rsidR="003B42C3" w:rsidRPr="003B42C3" w:rsidRDefault="003B42C3" w:rsidP="003B4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2C3">
              <w:rPr>
                <w:rFonts w:ascii="Times New Roman" w:hAnsi="Times New Roman"/>
                <w:b/>
                <w:sz w:val="20"/>
                <w:szCs w:val="20"/>
              </w:rPr>
              <w:t>2018 рік</w:t>
            </w:r>
          </w:p>
        </w:tc>
        <w:tc>
          <w:tcPr>
            <w:tcW w:w="2381" w:type="dxa"/>
          </w:tcPr>
          <w:p w:rsidR="003B42C3" w:rsidRPr="003B42C3" w:rsidRDefault="003B42C3" w:rsidP="003B4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2C3">
              <w:rPr>
                <w:rFonts w:ascii="Times New Roman" w:hAnsi="Times New Roman"/>
                <w:b/>
                <w:sz w:val="20"/>
                <w:szCs w:val="20"/>
              </w:rPr>
              <w:t>Динаміка, -/+</w:t>
            </w:r>
          </w:p>
        </w:tc>
      </w:tr>
      <w:tr w:rsidR="003B42C3" w:rsidRPr="003B42C3" w:rsidTr="00867B92">
        <w:tc>
          <w:tcPr>
            <w:tcW w:w="4786" w:type="dxa"/>
          </w:tcPr>
          <w:p w:rsidR="003B42C3" w:rsidRPr="003B42C3" w:rsidRDefault="003B42C3" w:rsidP="003B42C3">
            <w:pPr>
              <w:rPr>
                <w:rFonts w:ascii="Times New Roman" w:hAnsi="Times New Roman"/>
                <w:sz w:val="20"/>
                <w:szCs w:val="20"/>
              </w:rPr>
            </w:pPr>
            <w:r w:rsidRPr="003B42C3">
              <w:rPr>
                <w:rFonts w:ascii="Times New Roman" w:hAnsi="Times New Roman"/>
                <w:sz w:val="20"/>
                <w:szCs w:val="20"/>
              </w:rPr>
              <w:t>Справи кримінального судочинства</w:t>
            </w:r>
          </w:p>
        </w:tc>
        <w:tc>
          <w:tcPr>
            <w:tcW w:w="1701" w:type="dxa"/>
          </w:tcPr>
          <w:p w:rsidR="003B42C3" w:rsidRPr="003B42C3" w:rsidRDefault="00832FB8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2850</w:t>
            </w:r>
          </w:p>
        </w:tc>
        <w:tc>
          <w:tcPr>
            <w:tcW w:w="1321" w:type="dxa"/>
          </w:tcPr>
          <w:p w:rsidR="003B42C3" w:rsidRPr="003B42C3" w:rsidRDefault="00832FB8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3497</w:t>
            </w:r>
          </w:p>
        </w:tc>
        <w:tc>
          <w:tcPr>
            <w:tcW w:w="2381" w:type="dxa"/>
          </w:tcPr>
          <w:p w:rsidR="003B42C3" w:rsidRPr="003B42C3" w:rsidRDefault="00832FB8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+647</w:t>
            </w:r>
          </w:p>
        </w:tc>
      </w:tr>
      <w:tr w:rsidR="003B42C3" w:rsidRPr="003B42C3" w:rsidTr="00867B92">
        <w:tc>
          <w:tcPr>
            <w:tcW w:w="4786" w:type="dxa"/>
          </w:tcPr>
          <w:p w:rsidR="003B42C3" w:rsidRPr="003B42C3" w:rsidRDefault="003B42C3" w:rsidP="003B42C3">
            <w:pPr>
              <w:rPr>
                <w:rFonts w:ascii="Times New Roman" w:hAnsi="Times New Roman"/>
                <w:sz w:val="20"/>
                <w:szCs w:val="20"/>
              </w:rPr>
            </w:pPr>
            <w:r w:rsidRPr="003B42C3">
              <w:rPr>
                <w:rFonts w:ascii="Times New Roman" w:hAnsi="Times New Roman"/>
                <w:sz w:val="20"/>
                <w:szCs w:val="20"/>
              </w:rPr>
              <w:t>Справи адміністративного</w:t>
            </w:r>
          </w:p>
          <w:p w:rsidR="003B42C3" w:rsidRPr="003B42C3" w:rsidRDefault="003B42C3" w:rsidP="003B42C3">
            <w:pPr>
              <w:rPr>
                <w:rFonts w:ascii="Times New Roman" w:hAnsi="Times New Roman"/>
                <w:sz w:val="20"/>
                <w:szCs w:val="20"/>
              </w:rPr>
            </w:pPr>
            <w:r w:rsidRPr="003B42C3">
              <w:rPr>
                <w:rFonts w:ascii="Times New Roman" w:hAnsi="Times New Roman"/>
                <w:sz w:val="20"/>
                <w:szCs w:val="20"/>
              </w:rPr>
              <w:t>судочинства</w:t>
            </w:r>
          </w:p>
        </w:tc>
        <w:tc>
          <w:tcPr>
            <w:tcW w:w="1701" w:type="dxa"/>
          </w:tcPr>
          <w:p w:rsidR="003B42C3" w:rsidRPr="003B42C3" w:rsidRDefault="00832FB8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321" w:type="dxa"/>
          </w:tcPr>
          <w:p w:rsidR="003B42C3" w:rsidRPr="003B42C3" w:rsidRDefault="00832FB8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2381" w:type="dxa"/>
          </w:tcPr>
          <w:p w:rsidR="003B42C3" w:rsidRPr="003B42C3" w:rsidRDefault="00832FB8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-463</w:t>
            </w:r>
          </w:p>
        </w:tc>
      </w:tr>
      <w:tr w:rsidR="003B42C3" w:rsidRPr="003B42C3" w:rsidTr="00867B92">
        <w:tc>
          <w:tcPr>
            <w:tcW w:w="4786" w:type="dxa"/>
          </w:tcPr>
          <w:p w:rsidR="003B42C3" w:rsidRPr="003B42C3" w:rsidRDefault="003B42C3" w:rsidP="003B42C3">
            <w:pPr>
              <w:rPr>
                <w:rFonts w:ascii="Times New Roman" w:hAnsi="Times New Roman"/>
                <w:sz w:val="20"/>
                <w:szCs w:val="20"/>
              </w:rPr>
            </w:pPr>
            <w:r w:rsidRPr="003B42C3">
              <w:rPr>
                <w:rFonts w:ascii="Times New Roman" w:hAnsi="Times New Roman"/>
                <w:sz w:val="20"/>
                <w:szCs w:val="20"/>
              </w:rPr>
              <w:t>Справи цивільного судочинства</w:t>
            </w:r>
          </w:p>
        </w:tc>
        <w:tc>
          <w:tcPr>
            <w:tcW w:w="1701" w:type="dxa"/>
          </w:tcPr>
          <w:p w:rsidR="003B42C3" w:rsidRPr="003B42C3" w:rsidRDefault="00832FB8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2774</w:t>
            </w:r>
          </w:p>
        </w:tc>
        <w:tc>
          <w:tcPr>
            <w:tcW w:w="1321" w:type="dxa"/>
          </w:tcPr>
          <w:p w:rsidR="003B42C3" w:rsidRPr="003B42C3" w:rsidRDefault="00832FB8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3006</w:t>
            </w:r>
          </w:p>
        </w:tc>
        <w:tc>
          <w:tcPr>
            <w:tcW w:w="2381" w:type="dxa"/>
          </w:tcPr>
          <w:p w:rsidR="003B42C3" w:rsidRPr="003B42C3" w:rsidRDefault="00832FB8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+232</w:t>
            </w:r>
          </w:p>
        </w:tc>
      </w:tr>
      <w:tr w:rsidR="003B42C3" w:rsidRPr="003B42C3" w:rsidTr="00867B92">
        <w:tc>
          <w:tcPr>
            <w:tcW w:w="4786" w:type="dxa"/>
          </w:tcPr>
          <w:p w:rsidR="003B42C3" w:rsidRPr="003B42C3" w:rsidRDefault="003B42C3" w:rsidP="003B42C3">
            <w:pPr>
              <w:rPr>
                <w:rFonts w:ascii="Times New Roman" w:hAnsi="Times New Roman"/>
                <w:sz w:val="20"/>
                <w:szCs w:val="20"/>
              </w:rPr>
            </w:pPr>
            <w:r w:rsidRPr="003B42C3">
              <w:rPr>
                <w:rFonts w:ascii="Times New Roman" w:hAnsi="Times New Roman"/>
                <w:sz w:val="20"/>
                <w:szCs w:val="20"/>
              </w:rPr>
              <w:t>Справи про адміністративні правопорушення</w:t>
            </w:r>
          </w:p>
        </w:tc>
        <w:tc>
          <w:tcPr>
            <w:tcW w:w="1701" w:type="dxa"/>
          </w:tcPr>
          <w:p w:rsidR="003B42C3" w:rsidRPr="003B42C3" w:rsidRDefault="00832FB8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1321" w:type="dxa"/>
          </w:tcPr>
          <w:p w:rsidR="003B42C3" w:rsidRPr="003B42C3" w:rsidRDefault="00832FB8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2381" w:type="dxa"/>
          </w:tcPr>
          <w:p w:rsidR="003B42C3" w:rsidRPr="003B42C3" w:rsidRDefault="00832FB8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+469</w:t>
            </w:r>
          </w:p>
        </w:tc>
      </w:tr>
    </w:tbl>
    <w:p w:rsidR="003B42C3" w:rsidRPr="003B42C3" w:rsidRDefault="003B42C3" w:rsidP="003B42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B42C3" w:rsidRPr="003B42C3" w:rsidRDefault="003B42C3" w:rsidP="003B42C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Здійснення кримінального судочинства</w:t>
      </w:r>
    </w:p>
    <w:p w:rsidR="003B42C3" w:rsidRPr="003B42C3" w:rsidRDefault="003B42C3" w:rsidP="00CB6BB9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 період 2018 року до </w:t>
      </w:r>
      <w:r w:rsidR="00A951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Коростенського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міськрайонного суду надійшло </w:t>
      </w:r>
      <w:r w:rsidR="00CB6B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362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обвинувальних актів, </w:t>
      </w:r>
      <w:r w:rsidR="00CB6B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рівно стільки ж скільки і у 2017 році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Прослідковується збільшення кількості клопотань слідчих та прокурорів під час досудового розслідування, які розглядаються слідчими суддями, що пов’язано із</w:t>
      </w:r>
      <w:r w:rsidR="00CB6B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внесенням змін до КПК України. </w:t>
      </w:r>
    </w:p>
    <w:p w:rsidR="003B42C3" w:rsidRPr="003B42C3" w:rsidRDefault="003B42C3" w:rsidP="003B42C3">
      <w:pPr>
        <w:spacing w:after="0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Таблиця 2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0"/>
        <w:gridCol w:w="1060"/>
        <w:gridCol w:w="1774"/>
        <w:gridCol w:w="856"/>
        <w:gridCol w:w="850"/>
        <w:gridCol w:w="2691"/>
      </w:tblGrid>
      <w:tr w:rsidR="003B42C3" w:rsidRPr="003B42C3" w:rsidTr="00867B92">
        <w:trPr>
          <w:trHeight w:val="600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Найменування показника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Перебувало в провадженні  справ і матеріалів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Розглянуто справ і матеріалів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Залишок нерозглянутих справ і матеріалів на кінець звітного періоду</w:t>
            </w:r>
          </w:p>
        </w:tc>
      </w:tr>
      <w:tr w:rsidR="003B42C3" w:rsidRPr="003B42C3" w:rsidTr="00867B92">
        <w:trPr>
          <w:trHeight w:val="615"/>
        </w:trPr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 xml:space="preserve">у тому числі </w:t>
            </w: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867B92">
        <w:trPr>
          <w:trHeight w:val="999"/>
        </w:trPr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надійшло у звітному періоді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 xml:space="preserve"> у т.ч. задоволено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</w:tr>
      <w:tr w:rsidR="003B42C3" w:rsidRPr="003B42C3" w:rsidTr="00867B92">
        <w:trPr>
          <w:trHeight w:val="33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Справи кримінального провадження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318</w:t>
            </w:r>
          </w:p>
        </w:tc>
      </w:tr>
      <w:tr w:rsidR="003B42C3" w:rsidRPr="003B42C3" w:rsidTr="00867B92">
        <w:trPr>
          <w:trHeight w:val="49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Клопотання, скарги, заяви під час досудового розслідування (слідчі судді)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2250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2242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2044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</w:tr>
      <w:tr w:rsidR="00F70057" w:rsidRPr="003B42C3" w:rsidTr="00867B92">
        <w:trPr>
          <w:trHeight w:val="49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57" w:rsidRPr="003B42C3" w:rsidRDefault="00F70057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Справи в порядку надання міжнародної правової допомоги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57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57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57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57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57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867B92">
        <w:trPr>
          <w:trHeight w:val="37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Справи в порядку виконання судових рішень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594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389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</w:t>
            </w:r>
          </w:p>
        </w:tc>
      </w:tr>
      <w:tr w:rsidR="006455FB" w:rsidRPr="003B42C3" w:rsidTr="00867B92">
        <w:trPr>
          <w:trHeight w:val="37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FB" w:rsidRPr="003B42C3" w:rsidRDefault="006455FB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Справи про перегляд судового рішення за ново виявленими та виключними обставинами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5FB" w:rsidRDefault="006455FB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5FB" w:rsidRDefault="006455FB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5FB" w:rsidRDefault="006455FB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5FB" w:rsidRDefault="006455FB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5FB" w:rsidRDefault="006455FB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</w:tr>
      <w:tr w:rsidR="003B42C3" w:rsidRPr="003B42C3" w:rsidTr="00867B92">
        <w:trPr>
          <w:trHeight w:val="30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Кримінальні справи, матеріали (КПК 1960 р.)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3B42C3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</w:tr>
      <w:tr w:rsidR="003B42C3" w:rsidRPr="003B42C3" w:rsidTr="00867B92">
        <w:trPr>
          <w:trHeight w:val="31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6455FB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3497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6455FB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3178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6455FB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6455FB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2439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6455FB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364</w:t>
            </w:r>
          </w:p>
        </w:tc>
      </w:tr>
    </w:tbl>
    <w:p w:rsidR="002E6553" w:rsidRDefault="002E655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F75DB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</w:t>
      </w:r>
      <w:r w:rsidR="002E655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Коростенському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міськрайонному суді визначено спеціалізацію суддів, відповідно до якої </w:t>
      </w:r>
      <w:r w:rsidR="009909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всі 5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судді</w:t>
      </w:r>
      <w:r w:rsidR="009909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роз</w:t>
      </w:r>
      <w:r w:rsidR="009909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глядають кримінальні справи та один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слідчи</w:t>
      </w:r>
      <w:r w:rsidR="009909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й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судд</w:t>
      </w:r>
      <w:r w:rsidR="009909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 Волкова Н.Я.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розгляда</w:t>
      </w:r>
      <w:r w:rsidR="009909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є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клопотання, скарги, заяви під час досудового розслідування. </w:t>
      </w:r>
      <w:r w:rsidR="009909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 з 18.11.2015 року до 21.11.2018 року ще слідчим суддею була Коваленко В.П.</w:t>
      </w:r>
      <w:r w:rsidR="001F75D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3B42C3" w:rsidRPr="00613B9C" w:rsidRDefault="003B42C3" w:rsidP="003B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Загальна кількість розглянутих кримінальних проваджень становить </w:t>
      </w:r>
      <w:r w:rsidR="00A434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320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A434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(в 2017 році 254), 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що на </w:t>
      </w:r>
      <w:r w:rsidR="00A434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 проваджень менше, ніж розглянуто у 2017 році. З них найбільшу кількість становлять: злочини проти власності (</w:t>
      </w:r>
      <w:r w:rsidR="00613B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179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), злочини </w:t>
      </w:r>
      <w:r w:rsidR="00613B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сфері наркотичних засобів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r w:rsidR="00613B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28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), злочини проти життя та здоров</w:t>
      </w:r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’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 особи</w:t>
      </w:r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r w:rsidR="00613B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63</w:t>
      </w:r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Із загальної кількості розглянутих справ, провадження щодо неповнолітніх становлять </w:t>
      </w:r>
      <w:r w:rsidR="00613B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25 справ</w:t>
      </w:r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провадження щодо жінок – </w:t>
      </w:r>
      <w:r w:rsidR="00613B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42 справи.</w:t>
      </w:r>
    </w:p>
    <w:p w:rsidR="003B42C3" w:rsidRDefault="003B42C3" w:rsidP="003B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Кількість потерпілих за 2018 рік – </w:t>
      </w:r>
      <w:r w:rsidR="0085241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222</w:t>
      </w:r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</w:t>
      </w:r>
      <w:r w:rsidR="0085241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оби</w:t>
      </w:r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З них </w:t>
      </w:r>
      <w:r w:rsidR="0085241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139 чол.-</w:t>
      </w:r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становлять жінки, </w:t>
      </w:r>
      <w:r w:rsidR="0085241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</w:t>
      </w:r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неповнолітні. Кількість юридичних осіб, яким заподіяно шкоду – </w:t>
      </w:r>
      <w:r w:rsidR="0085241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63</w:t>
      </w:r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Матеріальної та моральної шкоди, заподіяної внаслідок злочину, судом визнано на </w:t>
      </w:r>
      <w:r w:rsidR="0085241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1 530 238</w:t>
      </w:r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2361FB" w:rsidRDefault="002361FB" w:rsidP="003B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361FB" w:rsidRDefault="002361FB" w:rsidP="003B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361FB" w:rsidRDefault="002361FB" w:rsidP="003B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361FB" w:rsidRPr="002361FB" w:rsidRDefault="002361FB" w:rsidP="003B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B42C3" w:rsidRPr="003B42C3" w:rsidRDefault="003B42C3" w:rsidP="003B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В наведеній діаграмі 2 можна прослідкувати причини відкладення розгляду справ</w:t>
      </w:r>
    </w:p>
    <w:p w:rsidR="003B42C3" w:rsidRPr="003B42C3" w:rsidRDefault="003B42C3" w:rsidP="003B42C3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3B42C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Діаграма 2</w:t>
      </w:r>
    </w:p>
    <w:p w:rsidR="003B42C3" w:rsidRPr="003B42C3" w:rsidRDefault="003B42C3" w:rsidP="003B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952490" cy="25273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42C3" w:rsidRPr="003B42C3" w:rsidRDefault="003B42C3" w:rsidP="003B42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B42C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Здійснення адміністративного судочинства</w:t>
      </w:r>
    </w:p>
    <w:p w:rsidR="003B42C3" w:rsidRPr="003B42C3" w:rsidRDefault="003B42C3" w:rsidP="003B42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Упродовж 2018 року у </w:t>
      </w:r>
      <w:r w:rsidR="002361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Коростенському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міськрайонному суді перебувало </w:t>
      </w:r>
      <w:r w:rsidR="002361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344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адміністративних справ та матеріалів, що на </w:t>
      </w:r>
      <w:r w:rsidR="002361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463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адміністративних справ менше ніж у 2017 році, в якому цей показник становив </w:t>
      </w:r>
      <w:r w:rsidR="002361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807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справ. Вагоме зростання надходження адміністративних позовів у 2017 пов'язаний з масовим зверненням учасників бойових дій до суду з позовами до </w:t>
      </w:r>
      <w:r w:rsidRPr="003B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Управління праці та соціального захисту населення виконавчого комітету </w:t>
      </w:r>
      <w:r w:rsidR="00236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Коростенської</w:t>
      </w:r>
      <w:r w:rsidRPr="003B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міської ради, Житомирського обласного центру по нарахуванню та здійсненню соціальних виплат Департаменту праці та соціального захисту населення Житомирської обласної державної адміністрації про визнання дій протиправними та стягнення недоплаченої грошової допомоги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передбаченої</w:t>
      </w:r>
      <w:r w:rsidRPr="003B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Законом України «Про статус ветеранів війни, гарантії їх соціального захисту»</w:t>
      </w:r>
    </w:p>
    <w:p w:rsidR="00B443AF" w:rsidRDefault="00B443AF" w:rsidP="003B42C3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</w:pPr>
    </w:p>
    <w:p w:rsidR="003B42C3" w:rsidRPr="003B42C3" w:rsidRDefault="003B42C3" w:rsidP="003B42C3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</w:pPr>
      <w:r w:rsidRPr="003B42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Таблиця 3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29"/>
        <w:gridCol w:w="1690"/>
        <w:gridCol w:w="992"/>
        <w:gridCol w:w="1276"/>
        <w:gridCol w:w="992"/>
        <w:gridCol w:w="992"/>
        <w:gridCol w:w="2552"/>
      </w:tblGrid>
      <w:tr w:rsidR="003B42C3" w:rsidRPr="003B42C3" w:rsidTr="00867B92">
        <w:trPr>
          <w:trHeight w:val="600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Найменування показника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Перебувало в провадженні  справ і матеріалів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Розглянуто справ і матеріалів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Залишок нерозглянутих справ і матеріалів на кінець звітного періоду</w:t>
            </w:r>
          </w:p>
        </w:tc>
      </w:tr>
      <w:tr w:rsidR="003B42C3" w:rsidRPr="003B42C3" w:rsidTr="00867B92">
        <w:trPr>
          <w:trHeight w:val="615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 xml:space="preserve">у тому числі 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867B92">
        <w:trPr>
          <w:trHeight w:val="1146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надійшло у звітному періоді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 xml:space="preserve"> у т.ч. задоволено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</w:tr>
      <w:tr w:rsidR="003B42C3" w:rsidRPr="003B42C3" w:rsidTr="00867B92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адміністративне судочинство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Позовні заяви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61FB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61FB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61FB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61FB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61FB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</w:tr>
      <w:tr w:rsidR="003B42C3" w:rsidRPr="003B42C3" w:rsidTr="00867B92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Справи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61FB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61FB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61FB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61FB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61FB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</w:t>
            </w:r>
          </w:p>
        </w:tc>
      </w:tr>
      <w:tr w:rsidR="003B42C3" w:rsidRPr="003B42C3" w:rsidTr="00867B92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Заяви про забезпечення доказів, позову до подання позовної заяви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61FB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61FB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61FB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61FB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867B92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Справи в порядку виконання судових рішень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61FB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61FB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61FB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61FB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61FB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</w:tr>
      <w:tr w:rsidR="003B42C3" w:rsidRPr="003B42C3" w:rsidTr="00867B92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Справи про перегляд судового рішення за нововиявленими або виключними обставинами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867B92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61FB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61FB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61FB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61FB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61FB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</w:tr>
    </w:tbl>
    <w:p w:rsidR="003B42C3" w:rsidRPr="003B42C3" w:rsidRDefault="003B42C3" w:rsidP="003B42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3B42C3" w:rsidRPr="003B42C3" w:rsidRDefault="003B42C3" w:rsidP="003B42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3B42C3" w:rsidRPr="003B42C3" w:rsidRDefault="003B42C3" w:rsidP="003B42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3B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Результати розгляду адміністративних справ та матеріалів  у 2018 році</w:t>
      </w:r>
    </w:p>
    <w:p w:rsidR="003B42C3" w:rsidRPr="003B42C3" w:rsidRDefault="003B42C3" w:rsidP="003B42C3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 xml:space="preserve">Діаграма </w:t>
      </w:r>
      <w:r w:rsidR="00EC1CB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3</w:t>
      </w:r>
    </w:p>
    <w:p w:rsidR="003B42C3" w:rsidRP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374005" cy="17081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42C3" w:rsidRP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 час розгляду справ основними причинами відкладення були неявки учасників процесу.</w:t>
      </w:r>
    </w:p>
    <w:p w:rsid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кінець звітного періоду 2018 року залишил</w:t>
      </w:r>
      <w:r w:rsidR="00B13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ись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нерозглянут</w:t>
      </w:r>
      <w:r w:rsidR="00B13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ими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</w:t>
      </w:r>
      <w:r w:rsidR="00B13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адміністративн</w:t>
      </w:r>
      <w:r w:rsidR="00B13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их справа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матеріалів.</w:t>
      </w:r>
      <w:r w:rsidR="00B13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(з них 1 справа)</w:t>
      </w:r>
    </w:p>
    <w:p w:rsidR="00672692" w:rsidRDefault="00672692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72692" w:rsidRPr="003B42C3" w:rsidRDefault="00672692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B42C3" w:rsidRDefault="003B42C3" w:rsidP="003B42C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Здійснення цивільного судочинства</w:t>
      </w:r>
    </w:p>
    <w:p w:rsidR="00672692" w:rsidRPr="003B42C3" w:rsidRDefault="00672692" w:rsidP="003B42C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3B42C3" w:rsidRPr="00B443AF" w:rsidRDefault="003B42C3" w:rsidP="003B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Протягом 2018 року в провадженні суду перебувало </w:t>
      </w:r>
      <w:r w:rsidR="00B443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3006</w:t>
      </w:r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цивільних справ та матеріалів (з урахуванням залишків), що на </w:t>
      </w:r>
      <w:r w:rsidR="00B443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232 </w:t>
      </w:r>
      <w:r w:rsidR="00B443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менше ніж у 2017 році</w:t>
      </w:r>
      <w:r w:rsidR="00B443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( в 2017 році 2774 ).</w:t>
      </w:r>
    </w:p>
    <w:p w:rsidR="003B42C3" w:rsidRDefault="00B443AF" w:rsidP="003B42C3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Таблиця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4</w:t>
      </w:r>
    </w:p>
    <w:p w:rsidR="00672692" w:rsidRPr="00B443AF" w:rsidRDefault="00672692" w:rsidP="003B42C3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48"/>
        <w:gridCol w:w="2323"/>
        <w:gridCol w:w="2727"/>
        <w:gridCol w:w="2591"/>
      </w:tblGrid>
      <w:tr w:rsidR="003B42C3" w:rsidRPr="003B42C3" w:rsidTr="00672692">
        <w:trPr>
          <w:trHeight w:val="788"/>
        </w:trPr>
        <w:tc>
          <w:tcPr>
            <w:tcW w:w="2548" w:type="dxa"/>
          </w:tcPr>
          <w:p w:rsidR="003B42C3" w:rsidRPr="003B42C3" w:rsidRDefault="003B42C3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2C3">
              <w:rPr>
                <w:rFonts w:ascii="Times New Roman" w:hAnsi="Times New Roman"/>
                <w:sz w:val="20"/>
                <w:szCs w:val="20"/>
              </w:rPr>
              <w:t>Перебувало у провадженні суду</w:t>
            </w:r>
          </w:p>
        </w:tc>
        <w:tc>
          <w:tcPr>
            <w:tcW w:w="2323" w:type="dxa"/>
          </w:tcPr>
          <w:p w:rsidR="003B42C3" w:rsidRPr="003B42C3" w:rsidRDefault="003B42C3" w:rsidP="003B4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2C3">
              <w:rPr>
                <w:rFonts w:ascii="Times New Roman" w:hAnsi="Times New Roman"/>
                <w:b/>
                <w:sz w:val="20"/>
                <w:szCs w:val="20"/>
              </w:rPr>
              <w:t>2017 рік</w:t>
            </w:r>
          </w:p>
        </w:tc>
        <w:tc>
          <w:tcPr>
            <w:tcW w:w="2727" w:type="dxa"/>
          </w:tcPr>
          <w:p w:rsidR="003B42C3" w:rsidRPr="003B42C3" w:rsidRDefault="003B42C3" w:rsidP="003B4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2C3">
              <w:rPr>
                <w:rFonts w:ascii="Times New Roman" w:hAnsi="Times New Roman"/>
                <w:b/>
                <w:sz w:val="20"/>
                <w:szCs w:val="20"/>
              </w:rPr>
              <w:t>2018 рік</w:t>
            </w:r>
          </w:p>
        </w:tc>
        <w:tc>
          <w:tcPr>
            <w:tcW w:w="2591" w:type="dxa"/>
          </w:tcPr>
          <w:p w:rsidR="003B42C3" w:rsidRPr="003B42C3" w:rsidRDefault="003B42C3" w:rsidP="003B4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2C3">
              <w:rPr>
                <w:rFonts w:ascii="Times New Roman" w:hAnsi="Times New Roman"/>
                <w:b/>
                <w:sz w:val="20"/>
                <w:szCs w:val="20"/>
              </w:rPr>
              <w:t>Динаміка +/-</w:t>
            </w:r>
          </w:p>
        </w:tc>
      </w:tr>
      <w:tr w:rsidR="003B42C3" w:rsidRPr="003B42C3" w:rsidTr="00672692">
        <w:trPr>
          <w:trHeight w:val="558"/>
        </w:trPr>
        <w:tc>
          <w:tcPr>
            <w:tcW w:w="2548" w:type="dxa"/>
          </w:tcPr>
          <w:p w:rsidR="003B42C3" w:rsidRPr="003B42C3" w:rsidRDefault="003B42C3" w:rsidP="003B4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2C3">
              <w:rPr>
                <w:rFonts w:ascii="Times New Roman" w:hAnsi="Times New Roman"/>
                <w:sz w:val="20"/>
                <w:szCs w:val="20"/>
              </w:rPr>
              <w:t>Позовне провадження</w:t>
            </w:r>
          </w:p>
        </w:tc>
        <w:tc>
          <w:tcPr>
            <w:tcW w:w="2323" w:type="dxa"/>
          </w:tcPr>
          <w:p w:rsidR="003B42C3" w:rsidRPr="003B42C3" w:rsidRDefault="00B443AF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2727" w:type="dxa"/>
          </w:tcPr>
          <w:p w:rsidR="003B42C3" w:rsidRPr="003B42C3" w:rsidRDefault="00B443AF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2591" w:type="dxa"/>
          </w:tcPr>
          <w:p w:rsidR="003B42C3" w:rsidRPr="003B42C3" w:rsidRDefault="00B443AF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</w:tr>
      <w:tr w:rsidR="003B42C3" w:rsidRPr="003B42C3" w:rsidTr="00672692">
        <w:trPr>
          <w:trHeight w:val="694"/>
        </w:trPr>
        <w:tc>
          <w:tcPr>
            <w:tcW w:w="2548" w:type="dxa"/>
          </w:tcPr>
          <w:p w:rsidR="003B42C3" w:rsidRPr="003B42C3" w:rsidRDefault="003B42C3" w:rsidP="003B4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2C3">
              <w:rPr>
                <w:rFonts w:ascii="Times New Roman" w:hAnsi="Times New Roman"/>
                <w:sz w:val="20"/>
                <w:szCs w:val="20"/>
              </w:rPr>
              <w:t>Окреме провадження</w:t>
            </w:r>
          </w:p>
        </w:tc>
        <w:tc>
          <w:tcPr>
            <w:tcW w:w="2323" w:type="dxa"/>
          </w:tcPr>
          <w:p w:rsidR="003B42C3" w:rsidRPr="003B42C3" w:rsidRDefault="00B443AF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727" w:type="dxa"/>
          </w:tcPr>
          <w:p w:rsidR="003B42C3" w:rsidRPr="003B42C3" w:rsidRDefault="00B443AF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591" w:type="dxa"/>
          </w:tcPr>
          <w:p w:rsidR="003B42C3" w:rsidRPr="003B42C3" w:rsidRDefault="00B443AF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+23</w:t>
            </w:r>
          </w:p>
        </w:tc>
      </w:tr>
      <w:tr w:rsidR="003B42C3" w:rsidRPr="003B42C3" w:rsidTr="00672692">
        <w:trPr>
          <w:trHeight w:val="703"/>
        </w:trPr>
        <w:tc>
          <w:tcPr>
            <w:tcW w:w="2548" w:type="dxa"/>
          </w:tcPr>
          <w:p w:rsidR="003B42C3" w:rsidRPr="003B42C3" w:rsidRDefault="003B42C3" w:rsidP="003B4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2C3">
              <w:rPr>
                <w:rFonts w:ascii="Times New Roman" w:hAnsi="Times New Roman"/>
                <w:sz w:val="20"/>
                <w:szCs w:val="20"/>
              </w:rPr>
              <w:t>Наказне провадження</w:t>
            </w:r>
          </w:p>
        </w:tc>
        <w:tc>
          <w:tcPr>
            <w:tcW w:w="2323" w:type="dxa"/>
          </w:tcPr>
          <w:p w:rsidR="003B42C3" w:rsidRPr="003B42C3" w:rsidRDefault="00B443AF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727" w:type="dxa"/>
          </w:tcPr>
          <w:p w:rsidR="003B42C3" w:rsidRPr="003B42C3" w:rsidRDefault="00B443AF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2591" w:type="dxa"/>
          </w:tcPr>
          <w:p w:rsidR="003B42C3" w:rsidRPr="003B42C3" w:rsidRDefault="00B443AF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+154</w:t>
            </w:r>
          </w:p>
        </w:tc>
      </w:tr>
    </w:tbl>
    <w:p w:rsidR="003B42C3" w:rsidRP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Кількість розглянутих заяв про видачу судового наказу – </w:t>
      </w:r>
      <w:r w:rsidR="00B443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308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З них видано судових наказів – </w:t>
      </w:r>
      <w:r w:rsidR="00B443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235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відмовлено у видачі судового наказу – </w:t>
      </w:r>
      <w:r w:rsidR="00B230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31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672692" w:rsidRPr="003B42C3" w:rsidRDefault="00672692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Кількість розглянутих справ позовного провадження –</w:t>
      </w:r>
      <w:r w:rsidR="00C655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1533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C655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1411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 яких, розглянуті з ухваленням рішення, </w:t>
      </w:r>
      <w:r w:rsidR="00C655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C655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передані в інші суди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26- закрито провадження, </w:t>
      </w:r>
      <w:r w:rsidR="00C655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91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залишено без розгляду. </w:t>
      </w:r>
    </w:p>
    <w:p w:rsidR="00672692" w:rsidRPr="003B42C3" w:rsidRDefault="00672692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04B8F" w:rsidRPr="003B42C3" w:rsidRDefault="003B42C3" w:rsidP="00904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Справи окремого провадження розглянуто у кількості </w:t>
      </w:r>
      <w:r w:rsidR="00904B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177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справ. У </w:t>
      </w:r>
      <w:r w:rsidR="00904B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114 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справах ухвалено</w:t>
      </w:r>
      <w:r w:rsidR="00904B8F" w:rsidRPr="00904B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904B8F"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рішення, 1</w:t>
      </w:r>
      <w:r w:rsidR="00904B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</w:t>
      </w:r>
      <w:r w:rsidR="00904B8F"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 з яких задоволено, 1</w:t>
      </w:r>
      <w:r w:rsidR="00904B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="00904B8F"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залишено без розгляду.</w:t>
      </w:r>
    </w:p>
    <w:p w:rsid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904B8F" w:rsidRPr="003B42C3" w:rsidRDefault="00904B8F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72692" w:rsidRDefault="00672692" w:rsidP="003B42C3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B42C3" w:rsidRPr="003B42C3" w:rsidRDefault="003B42C3" w:rsidP="003B42C3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Таблиця </w:t>
      </w:r>
      <w:r w:rsidR="008B230F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5</w:t>
      </w:r>
    </w:p>
    <w:tbl>
      <w:tblPr>
        <w:tblpPr w:leftFromText="180" w:rightFromText="180" w:vertAnchor="text" w:horzAnchor="margin" w:tblpX="-601" w:tblpY="-346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1604"/>
        <w:gridCol w:w="2081"/>
        <w:gridCol w:w="709"/>
        <w:gridCol w:w="884"/>
        <w:gridCol w:w="993"/>
        <w:gridCol w:w="1559"/>
        <w:gridCol w:w="2517"/>
      </w:tblGrid>
      <w:tr w:rsidR="003B42C3" w:rsidRPr="003B42C3" w:rsidTr="00867B92">
        <w:trPr>
          <w:trHeight w:val="600"/>
        </w:trPr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lastRenderedPageBreak/>
              <w:t>Найменування показника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Перебувало в провадженні  справ і матеріалів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Розглянуто справ і матеріалів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Залишок нерозглянутих справ і матеріалів на кінець звітного періоду</w:t>
            </w:r>
          </w:p>
        </w:tc>
      </w:tr>
      <w:tr w:rsidR="003B42C3" w:rsidRPr="003B42C3" w:rsidTr="00867B92">
        <w:trPr>
          <w:trHeight w:val="276"/>
        </w:trPr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 xml:space="preserve">у тому числі </w:t>
            </w:r>
          </w:p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надійшло у звітному періоді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867B92">
        <w:trPr>
          <w:trHeight w:val="1363"/>
        </w:trPr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 xml:space="preserve"> у т.ч. задоволено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</w:tr>
      <w:tr w:rsidR="003B42C3" w:rsidRPr="003B42C3" w:rsidTr="00867B92">
        <w:trPr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цивільне судочинство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Заяви про видачу/скасування судового наказу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235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</w:tr>
      <w:tr w:rsidR="008C7171" w:rsidRPr="003B42C3" w:rsidTr="00867B92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C7171" w:rsidRPr="003B42C3" w:rsidRDefault="008C7171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7171" w:rsidRPr="003B42C3" w:rsidRDefault="008C7171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Заяви про забезпечення доказів, позову до подання позовної заяви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171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171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171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171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171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867B92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Позовні заяви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1798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1499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139</w:t>
            </w:r>
          </w:p>
        </w:tc>
      </w:tr>
      <w:tr w:rsidR="003B42C3" w:rsidRPr="003B42C3" w:rsidTr="00867B92">
        <w:trPr>
          <w:trHeight w:val="28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Справи позовного провадження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2005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472</w:t>
            </w:r>
          </w:p>
        </w:tc>
      </w:tr>
      <w:tr w:rsidR="003B42C3" w:rsidRPr="003B42C3" w:rsidTr="00867B92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Заяви окремого провадження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128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</w:tr>
      <w:tr w:rsidR="003B42C3" w:rsidRPr="003B42C3" w:rsidTr="00867B92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Справи окремого провадження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</w:t>
            </w:r>
          </w:p>
        </w:tc>
      </w:tr>
      <w:tr w:rsidR="003B42C3" w:rsidRPr="003B42C3" w:rsidTr="00867B92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Заяви про перегляд заочного рішення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3B42C3" w:rsidRPr="003B42C3" w:rsidTr="00867B92">
        <w:trPr>
          <w:trHeight w:val="48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Заяви про перегляд рішень, ухвал суду чи судових наказів у зв’язку з нововиявленими або виключними обставинами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3B42C3" w:rsidRPr="003B42C3" w:rsidTr="00867B92">
        <w:trPr>
          <w:trHeight w:val="36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Заяви про відновлення втраченого судового провадження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867B92">
        <w:trPr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Скарги на дії або бездіяльність виконавчої служби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</w:tr>
      <w:tr w:rsidR="003B42C3" w:rsidRPr="003B42C3" w:rsidTr="00867B92">
        <w:trPr>
          <w:trHeight w:val="48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Клопотання, заяви, подання у порядку виконання судових рішень та рішень інших органів (посадових осіб)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74C0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74C0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74C0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74C0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74C0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3B42C3" w:rsidRPr="003B42C3" w:rsidTr="00867B92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Доручення судів України / іноземних судів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74C0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74C0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74C0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74C0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867B92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74C0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3006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74C0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74C0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74C0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1768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74C0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666</w:t>
            </w:r>
          </w:p>
        </w:tc>
      </w:tr>
    </w:tbl>
    <w:p w:rsidR="003B42C3" w:rsidRPr="003B42C3" w:rsidRDefault="003B42C3" w:rsidP="003B42C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3B42C3" w:rsidRDefault="003B42C3" w:rsidP="003B42C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Розгляд справ про адміністративні правопорушення</w:t>
      </w:r>
    </w:p>
    <w:p w:rsidR="008235D2" w:rsidRPr="003B42C3" w:rsidRDefault="008235D2" w:rsidP="003B42C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3B42C3" w:rsidRP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Упродовж 2018 року до </w:t>
      </w:r>
      <w:r w:rsidR="00E56C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Коростенського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міськрайонного суду надійшло </w:t>
      </w:r>
      <w:r w:rsidR="00E56C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1861 справа</w:t>
      </w:r>
      <w:r w:rsidR="008235D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що</w:t>
      </w:r>
      <w:r w:rsidR="00E56C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</w:t>
      </w:r>
      <w:r w:rsidR="00D668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359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матеріалів про адміністративні правопорушення більше в порівнянні з 2017 роком.</w:t>
      </w:r>
    </w:p>
    <w:p w:rsidR="003B42C3" w:rsidRP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495290" cy="1828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42C3" w:rsidRP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Слід зазначити, що кількість справ щодо корупційних правопорушень, що надійшли до суду у 2018 році </w:t>
      </w:r>
      <w:r w:rsidR="00F463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зменшилась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F463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12 до 6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Найбільша кількість справ, що перебували  в провадженні суду, рахуються за ст. 130 КУпАП – </w:t>
      </w:r>
      <w:r w:rsidR="00F463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201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за ст. 124 КУпАП – </w:t>
      </w:r>
      <w:r w:rsidR="00F463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157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за ст. 183-1 КУпАП </w:t>
      </w:r>
      <w:r w:rsidR="00F463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67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справ, за ст.173-2 КУпАП - </w:t>
      </w:r>
      <w:r w:rsidR="00F463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574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за ст.172-20 КУпАП – </w:t>
      </w:r>
      <w:r w:rsidR="00F463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47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справ. </w:t>
      </w:r>
    </w:p>
    <w:p w:rsidR="003B42C3" w:rsidRPr="003B42C3" w:rsidRDefault="003B42C3" w:rsidP="003B42C3">
      <w:pPr>
        <w:spacing w:after="0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B42C3" w:rsidRPr="003B42C3" w:rsidRDefault="003B42C3" w:rsidP="003B42C3">
      <w:pPr>
        <w:spacing w:after="0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B42C3" w:rsidRPr="003B42C3" w:rsidRDefault="003B42C3" w:rsidP="003B42C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B42C3" w:rsidRPr="003B42C3" w:rsidRDefault="003B42C3" w:rsidP="003B42C3">
      <w:pPr>
        <w:spacing w:after="0"/>
        <w:ind w:left="7920" w:firstLine="720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Таблиця </w:t>
      </w:r>
      <w:r w:rsidR="00DA4E6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6</w:t>
      </w:r>
    </w:p>
    <w:tbl>
      <w:tblPr>
        <w:tblW w:w="10501" w:type="dxa"/>
        <w:tblInd w:w="-459" w:type="dxa"/>
        <w:tblLook w:val="04A0" w:firstRow="1" w:lastRow="0" w:firstColumn="1" w:lastColumn="0" w:noHBand="0" w:noVBand="1"/>
      </w:tblPr>
      <w:tblGrid>
        <w:gridCol w:w="459"/>
        <w:gridCol w:w="2851"/>
        <w:gridCol w:w="1044"/>
        <w:gridCol w:w="2167"/>
        <w:gridCol w:w="1134"/>
        <w:gridCol w:w="1288"/>
        <w:gridCol w:w="1558"/>
      </w:tblGrid>
      <w:tr w:rsidR="003B42C3" w:rsidRPr="003B42C3" w:rsidTr="00867B92">
        <w:trPr>
          <w:trHeight w:val="600"/>
        </w:trPr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Найменування показника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Перебувало в провадженні  справ і матеріалів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Розглянуто справ і матеріалів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Залишок нерозглянутих справ і матеріалів на кінець звітного періоду</w:t>
            </w:r>
          </w:p>
        </w:tc>
      </w:tr>
      <w:tr w:rsidR="003B42C3" w:rsidRPr="003B42C3" w:rsidTr="00867B92">
        <w:trPr>
          <w:trHeight w:val="615"/>
        </w:trPr>
        <w:tc>
          <w:tcPr>
            <w:tcW w:w="3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 xml:space="preserve">у тому числі </w:t>
            </w:r>
          </w:p>
        </w:tc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4A6C7D">
        <w:trPr>
          <w:trHeight w:val="811"/>
        </w:trPr>
        <w:tc>
          <w:tcPr>
            <w:tcW w:w="3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надійшло у звітному періоді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 xml:space="preserve"> у т.ч. задоволено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</w:tr>
      <w:tr w:rsidR="003B42C3" w:rsidRPr="003B42C3" w:rsidTr="00867B92">
        <w:trPr>
          <w:trHeight w:val="37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адміністративні правопорушення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Справи  про адміністративні правопорушення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A4E67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1946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A4E67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A4E67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1834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A4E67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A4E67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112</w:t>
            </w:r>
          </w:p>
        </w:tc>
      </w:tr>
      <w:tr w:rsidR="003B42C3" w:rsidRPr="003B42C3" w:rsidTr="00867B92">
        <w:trPr>
          <w:trHeight w:val="33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у тому числі щодо корупційних правопорушень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A4E67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A4E67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A4E67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A4E67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4A6C7D">
        <w:trPr>
          <w:trHeight w:val="82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Справи у порядку виконання постанов у справах про адміністративні правопорушення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A4E67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A4E67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A4E67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A4E67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867B92">
        <w:trPr>
          <w:trHeight w:val="26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A4E67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1971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A4E67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A4E67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1859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A4E67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A4E67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112</w:t>
            </w:r>
          </w:p>
        </w:tc>
      </w:tr>
    </w:tbl>
    <w:p w:rsidR="00765794" w:rsidRDefault="00765794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B42C3" w:rsidRP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до штатного розпису у </w:t>
      </w:r>
      <w:r w:rsidR="007912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Коростенському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міськрайонному суді – 1</w:t>
      </w:r>
      <w:r w:rsidR="007912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посад суддів. Станом на 01.01.2019 фактично працює </w:t>
      </w:r>
      <w:r w:rsidR="007657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7 суддів, 2 з них без повноважень. 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зв’язку з чим збільшено навантаження на суддів, що негативно вплинуло на оперативність розгляду справ.</w:t>
      </w:r>
      <w:r w:rsidR="007912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забезпечення якості ухвалення рішень судді застосовують положення Закону, виходячи із принципу верховенства права, при цьому, здійснюючи судочинство, керуються Конституцією та законами України, враховують обставини справи та дають їм об</w:t>
      </w:r>
      <w:r w:rsidR="00765794" w:rsidRPr="00765794">
        <w:rPr>
          <w:rFonts w:ascii="Times New Roman" w:eastAsia="Times New Roman" w:hAnsi="Times New Roman" w:cs="Times New Roman"/>
          <w:sz w:val="24"/>
          <w:szCs w:val="24"/>
          <w:lang w:eastAsia="uk-UA"/>
        </w:rPr>
        <w:t>`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єктивну оцінку. Вивчення стану здійснення судочинства у </w:t>
      </w:r>
      <w:r w:rsidR="007657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Коростенському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міськрайонному суді включено у плани роботи суду. Постійно проводяться аналізи та узагальнення щодо розгляду справ суддями. Суддями обговорюються допущені порушення норм матеріального та процесуального права при розгляді цивільних, адміністративних, кримінальних справ (проваджень), а також справ про адміністративні правопорушення, які потягнули скасування чи зміни рішень в апеляційному порядку. </w:t>
      </w:r>
    </w:p>
    <w:p w:rsidR="003B42C3" w:rsidRP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Провівши огляд даних судової статистики про стан здійснення правосуддя </w:t>
      </w:r>
      <w:r w:rsidR="007657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Коростенським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міськрайонним судом Житомирської області за 2018 рік, можна зробити наступні висновки. </w:t>
      </w:r>
    </w:p>
    <w:p w:rsidR="003B42C3" w:rsidRP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Незважаючи на складність в роботі та значне фактичне навантаження, </w:t>
      </w:r>
      <w:r w:rsidR="007657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Коростенський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міськрайонний суд в цілому забезпечив правильне і своєчасне вирішення переважної більшості судових справ, що було досягнуто у результаті сумлінної роботи суддів та працівників апарату суду. </w:t>
      </w:r>
    </w:p>
    <w:p w:rsid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Враховуючи вищевикладене, </w:t>
      </w:r>
      <w:r w:rsidR="007657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Коростенським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міськрайонним судом забезпечено належне здійснення судочинства у кримінальних, цивільних, адміністративних справах та справах про адміністративні правопорушення.</w:t>
      </w:r>
      <w:r w:rsidRPr="003B42C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</w:t>
      </w:r>
    </w:p>
    <w:p w:rsidR="004A6C7D" w:rsidRPr="003B42C3" w:rsidRDefault="004A6C7D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2E0517" w:rsidRPr="00765794" w:rsidRDefault="00765794" w:rsidP="00765794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794">
        <w:rPr>
          <w:rFonts w:ascii="Times New Roman" w:hAnsi="Times New Roman" w:cs="Times New Roman"/>
          <w:b/>
          <w:sz w:val="24"/>
          <w:szCs w:val="24"/>
          <w:lang w:val="uk-UA"/>
        </w:rPr>
        <w:t>Голова Коростенського міськрайонного суду</w:t>
      </w:r>
    </w:p>
    <w:p w:rsidR="00765794" w:rsidRDefault="00765794" w:rsidP="00765794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794">
        <w:rPr>
          <w:rFonts w:ascii="Times New Roman" w:hAnsi="Times New Roman" w:cs="Times New Roman"/>
          <w:b/>
          <w:sz w:val="24"/>
          <w:szCs w:val="24"/>
          <w:lang w:val="uk-UA"/>
        </w:rPr>
        <w:t>Житомирської області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4A6C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В.П. Коренюк</w:t>
      </w:r>
    </w:p>
    <w:p w:rsidR="004A6C7D" w:rsidRDefault="004A6C7D" w:rsidP="00765794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</w:p>
    <w:p w:rsidR="00765794" w:rsidRDefault="00765794" w:rsidP="00765794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  <w:r w:rsidRPr="00765794">
        <w:rPr>
          <w:rFonts w:ascii="Times New Roman" w:hAnsi="Times New Roman" w:cs="Times New Roman"/>
          <w:sz w:val="16"/>
          <w:szCs w:val="16"/>
          <w:lang w:val="uk-UA"/>
        </w:rPr>
        <w:t>Янкова (04142) 3-00-11</w:t>
      </w:r>
    </w:p>
    <w:p w:rsidR="00765794" w:rsidRDefault="00765794" w:rsidP="00765794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</w:p>
    <w:p w:rsidR="00765794" w:rsidRPr="00765794" w:rsidRDefault="00765794" w:rsidP="00765794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01.02.2019</w:t>
      </w:r>
    </w:p>
    <w:sectPr w:rsidR="00765794" w:rsidRPr="00765794" w:rsidSect="00D75A71">
      <w:pgSz w:w="12240" w:h="15840"/>
      <w:pgMar w:top="568" w:right="850" w:bottom="426" w:left="1417" w:header="708" w:footer="708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1865"/>
    <w:multiLevelType w:val="hybridMultilevel"/>
    <w:tmpl w:val="9F0051F0"/>
    <w:lvl w:ilvl="0" w:tplc="2708D54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C3"/>
    <w:rsid w:val="001871DD"/>
    <w:rsid w:val="001F75DB"/>
    <w:rsid w:val="002361FB"/>
    <w:rsid w:val="002E0517"/>
    <w:rsid w:val="002E6553"/>
    <w:rsid w:val="003465A9"/>
    <w:rsid w:val="003B42C3"/>
    <w:rsid w:val="004A6C7D"/>
    <w:rsid w:val="005119BC"/>
    <w:rsid w:val="005431C0"/>
    <w:rsid w:val="00560468"/>
    <w:rsid w:val="005F0888"/>
    <w:rsid w:val="00602EFF"/>
    <w:rsid w:val="00613B9C"/>
    <w:rsid w:val="006455FB"/>
    <w:rsid w:val="00672692"/>
    <w:rsid w:val="00765794"/>
    <w:rsid w:val="0079124D"/>
    <w:rsid w:val="008235D2"/>
    <w:rsid w:val="00832FB8"/>
    <w:rsid w:val="0085241D"/>
    <w:rsid w:val="008B230F"/>
    <w:rsid w:val="008C7171"/>
    <w:rsid w:val="00904B8F"/>
    <w:rsid w:val="00990956"/>
    <w:rsid w:val="00A4148A"/>
    <w:rsid w:val="00A434E8"/>
    <w:rsid w:val="00A951EF"/>
    <w:rsid w:val="00AB0D7F"/>
    <w:rsid w:val="00AF61D3"/>
    <w:rsid w:val="00B131FE"/>
    <w:rsid w:val="00B23018"/>
    <w:rsid w:val="00B443AF"/>
    <w:rsid w:val="00C42B8B"/>
    <w:rsid w:val="00C655D9"/>
    <w:rsid w:val="00CB6BB9"/>
    <w:rsid w:val="00CD2DE0"/>
    <w:rsid w:val="00D668EF"/>
    <w:rsid w:val="00D738DC"/>
    <w:rsid w:val="00D74C06"/>
    <w:rsid w:val="00DA4E67"/>
    <w:rsid w:val="00E56C90"/>
    <w:rsid w:val="00E7287D"/>
    <w:rsid w:val="00EC1CB9"/>
    <w:rsid w:val="00F179D7"/>
    <w:rsid w:val="00F46340"/>
    <w:rsid w:val="00F70057"/>
    <w:rsid w:val="00F81FAF"/>
    <w:rsid w:val="00F92B19"/>
    <w:rsid w:val="00F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42C3"/>
    <w:pPr>
      <w:spacing w:after="0" w:line="240" w:lineRule="auto"/>
    </w:pPr>
    <w:rPr>
      <w:rFonts w:eastAsia="Times New Roman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2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0468"/>
    <w:pPr>
      <w:ind w:left="720"/>
      <w:contextualSpacing/>
    </w:pPr>
  </w:style>
  <w:style w:type="paragraph" w:styleId="a7">
    <w:name w:val="No Spacing"/>
    <w:uiPriority w:val="1"/>
    <w:qFormat/>
    <w:rsid w:val="007657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42C3"/>
    <w:pPr>
      <w:spacing w:after="0" w:line="240" w:lineRule="auto"/>
    </w:pPr>
    <w:rPr>
      <w:rFonts w:eastAsia="Times New Roman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2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0468"/>
    <w:pPr>
      <w:ind w:left="720"/>
      <w:contextualSpacing/>
    </w:pPr>
  </w:style>
  <w:style w:type="paragraph" w:styleId="a7">
    <w:name w:val="No Spacing"/>
    <w:uiPriority w:val="1"/>
    <w:qFormat/>
    <w:rsid w:val="00765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131147540983612E-2"/>
          <c:y val="5.2631578947368418E-2"/>
          <c:w val="0.58196721311475408"/>
          <c:h val="0.789473684210526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Справи кримінального судочинства</c:v>
                </c:pt>
              </c:strCache>
            </c:strRef>
          </c:tx>
          <c:spPr>
            <a:solidFill>
              <a:srgbClr val="9999FF"/>
            </a:solidFill>
            <a:ln w="952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2017 рік</c:v>
                </c:pt>
                <c:pt idx="1">
                  <c:v>2018 рік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2850</c:v>
                </c:pt>
                <c:pt idx="1">
                  <c:v>3497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Справи адміністративного судочинства</c:v>
                </c:pt>
              </c:strCache>
            </c:strRef>
          </c:tx>
          <c:spPr>
            <a:solidFill>
              <a:srgbClr val="993366"/>
            </a:solidFill>
            <a:ln w="952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2017 рік</c:v>
                </c:pt>
                <c:pt idx="1">
                  <c:v>2018 рік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807</c:v>
                </c:pt>
                <c:pt idx="1">
                  <c:v>344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Справи цивільного судочинства</c:v>
                </c:pt>
              </c:strCache>
            </c:strRef>
          </c:tx>
          <c:spPr>
            <a:solidFill>
              <a:srgbClr val="FFFFCC"/>
            </a:solidFill>
            <a:ln w="952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2017 рік</c:v>
                </c:pt>
                <c:pt idx="1">
                  <c:v>2018 рік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2774</c:v>
                </c:pt>
                <c:pt idx="1">
                  <c:v>3006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Справи про адміністративні правопорушення</c:v>
                </c:pt>
              </c:strCache>
            </c:strRef>
          </c:tx>
          <c:spPr>
            <a:solidFill>
              <a:srgbClr val="CCFFFF"/>
            </a:solidFill>
            <a:ln w="952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2017 рік</c:v>
                </c:pt>
                <c:pt idx="1">
                  <c:v>2018 рік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1502</c:v>
                </c:pt>
                <c:pt idx="1">
                  <c:v>1971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7374976"/>
        <c:axId val="77376512"/>
        <c:axId val="0"/>
      </c:bar3DChart>
      <c:catAx>
        <c:axId val="7737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77376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7376512"/>
        <c:scaling>
          <c:orientation val="minMax"/>
        </c:scaling>
        <c:delete val="0"/>
        <c:axPos val="l"/>
        <c:majorGridlines>
          <c:spPr>
            <a:ln w="23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77374976"/>
        <c:crosses val="autoZero"/>
        <c:crossBetween val="between"/>
      </c:valAx>
      <c:spPr>
        <a:noFill/>
        <a:ln w="19058">
          <a:noFill/>
        </a:ln>
      </c:spPr>
    </c:plotArea>
    <c:legend>
      <c:legendPos val="r"/>
      <c:layout>
        <c:manualLayout>
          <c:xMode val="edge"/>
          <c:yMode val="edge"/>
          <c:x val="0.67213114754098358"/>
          <c:y val="0.17543859649122806"/>
          <c:w val="0.32131147540983607"/>
          <c:h val="0.65350877192982459"/>
        </c:manualLayout>
      </c:layout>
      <c:overlay val="0"/>
      <c:spPr>
        <a:noFill/>
        <a:ln w="2382">
          <a:solidFill>
            <a:srgbClr val="000000"/>
          </a:solidFill>
          <a:prstDash val="solid"/>
        </a:ln>
      </c:spPr>
      <c:txPr>
        <a:bodyPr/>
        <a:lstStyle/>
        <a:p>
          <a:pPr>
            <a:defRPr sz="69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14983713355049"/>
          <c:y val="4.296875E-2"/>
          <c:w val="0.49022801302931596"/>
          <c:h val="0.773437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Нездійснення доставки обвинуваченого</c:v>
                </c:pt>
              </c:strCache>
            </c:strRef>
          </c:tx>
          <c:spPr>
            <a:solidFill>
              <a:srgbClr val="9999FF"/>
            </a:solidFill>
            <a:ln w="94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2017 рік</c:v>
                </c:pt>
                <c:pt idx="1">
                  <c:v>2018 рік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85</c:v>
                </c:pt>
                <c:pt idx="1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Неприбуття обвинуваченого</c:v>
                </c:pt>
              </c:strCache>
            </c:strRef>
          </c:tx>
          <c:spPr>
            <a:solidFill>
              <a:srgbClr val="993366"/>
            </a:solidFill>
            <a:ln w="94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2017 рік</c:v>
                </c:pt>
                <c:pt idx="1">
                  <c:v>2018 рік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283</c:v>
                </c:pt>
                <c:pt idx="1">
                  <c:v>444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Хвороба обвинуваченого</c:v>
                </c:pt>
              </c:strCache>
            </c:strRef>
          </c:tx>
          <c:spPr>
            <a:solidFill>
              <a:srgbClr val="FFFFCC"/>
            </a:solidFill>
            <a:ln w="94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2017 рік</c:v>
                </c:pt>
                <c:pt idx="1">
                  <c:v>2018 рік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Неприбуття прокурора</c:v>
                </c:pt>
              </c:strCache>
            </c:strRef>
          </c:tx>
          <c:spPr>
            <a:solidFill>
              <a:srgbClr val="CCFFFF"/>
            </a:solidFill>
            <a:ln w="94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2017 рік</c:v>
                </c:pt>
                <c:pt idx="1">
                  <c:v>2018 рік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12</c:v>
                </c:pt>
                <c:pt idx="1">
                  <c:v>11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Неприбуття захисника</c:v>
                </c:pt>
              </c:strCache>
            </c:strRef>
          </c:tx>
          <c:spPr>
            <a:solidFill>
              <a:srgbClr val="660066"/>
            </a:solidFill>
            <a:ln w="94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2017 рік</c:v>
                </c:pt>
                <c:pt idx="1">
                  <c:v>2018 рік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16</c:v>
                </c:pt>
                <c:pt idx="1">
                  <c:v>17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Неприбуття свідків, потерпілих</c:v>
                </c:pt>
              </c:strCache>
            </c:strRef>
          </c:tx>
          <c:spPr>
            <a:solidFill>
              <a:srgbClr val="FF8080"/>
            </a:solidFill>
            <a:ln w="94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2017 рік</c:v>
                </c:pt>
                <c:pt idx="1">
                  <c:v>2018 рік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83</c:v>
                </c:pt>
                <c:pt idx="1">
                  <c:v>105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Інші підстави</c:v>
                </c:pt>
              </c:strCache>
            </c:strRef>
          </c:tx>
          <c:spPr>
            <a:solidFill>
              <a:srgbClr val="0066CC"/>
            </a:solidFill>
            <a:ln w="94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2017 рік</c:v>
                </c:pt>
                <c:pt idx="1">
                  <c:v>2018 рік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0">
                  <c:v>389</c:v>
                </c:pt>
                <c:pt idx="1">
                  <c:v>549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7961472"/>
        <c:axId val="77963264"/>
      </c:barChart>
      <c:catAx>
        <c:axId val="779614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77963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7963264"/>
        <c:scaling>
          <c:orientation val="minMax"/>
        </c:scaling>
        <c:delete val="0"/>
        <c:axPos val="b"/>
        <c:majorGridlines>
          <c:spPr>
            <a:ln w="23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77961472"/>
        <c:crosses val="autoZero"/>
        <c:crossBetween val="between"/>
      </c:valAx>
      <c:spPr>
        <a:solidFill>
          <a:srgbClr val="C0C0C0"/>
        </a:solidFill>
        <a:ln w="94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472312703583058"/>
          <c:y val="0.1640625"/>
          <c:w val="0.33876221498371334"/>
          <c:h val="0.5234375"/>
        </c:manualLayout>
      </c:layout>
      <c:overlay val="0"/>
      <c:spPr>
        <a:noFill/>
        <a:ln w="2375">
          <a:solidFill>
            <a:srgbClr val="000000"/>
          </a:solidFill>
          <a:prstDash val="solid"/>
        </a:ln>
      </c:spPr>
      <c:txPr>
        <a:bodyPr/>
        <a:lstStyle/>
        <a:p>
          <a:pPr>
            <a:defRPr sz="5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541516245487361E-2"/>
          <c:y val="5.3254437869822487E-2"/>
          <c:w val="0.6028880866425993"/>
          <c:h val="0.745562130177514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Відмовлено у відкритті провадження (5)</c:v>
                </c:pt>
              </c:strCache>
            </c:strRef>
          </c:tx>
          <c:spPr>
            <a:solidFill>
              <a:srgbClr val="9999FF"/>
            </a:solidFill>
            <a:ln w="952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  <c:pt idx="0">
                  <c:v>2018</c:v>
                </c:pt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Повернуто (7)</c:v>
                </c:pt>
              </c:strCache>
            </c:strRef>
          </c:tx>
          <c:spPr>
            <a:solidFill>
              <a:srgbClr val="993366"/>
            </a:solidFill>
            <a:ln w="952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  <c:pt idx="0">
                  <c:v>2018</c:v>
                </c:pt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Задоволено позов (72)</c:v>
                </c:pt>
              </c:strCache>
            </c:strRef>
          </c:tx>
          <c:spPr>
            <a:solidFill>
              <a:srgbClr val="FFFFCC"/>
            </a:solidFill>
            <a:ln w="952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  <c:pt idx="0">
                  <c:v>2018</c:v>
                </c:pt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Відмовлено в задоволенн позову (32)</c:v>
                </c:pt>
              </c:strCache>
            </c:strRef>
          </c:tx>
          <c:spPr>
            <a:solidFill>
              <a:srgbClr val="CCFFFF"/>
            </a:solidFill>
            <a:ln w="952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  <c:pt idx="0">
                  <c:v>2018</c:v>
                </c:pt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Залишено без розгляду (1)</c:v>
                </c:pt>
              </c:strCache>
            </c:strRef>
          </c:tx>
          <c:spPr>
            <a:solidFill>
              <a:srgbClr val="660066"/>
            </a:solidFill>
            <a:ln w="952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  <c:pt idx="0">
                  <c:v>2018</c:v>
                </c:pt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79522816"/>
        <c:axId val="79536896"/>
        <c:axId val="0"/>
      </c:bar3DChart>
      <c:catAx>
        <c:axId val="79522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79536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9536896"/>
        <c:scaling>
          <c:orientation val="minMax"/>
        </c:scaling>
        <c:delete val="0"/>
        <c:axPos val="l"/>
        <c:majorGridlines>
          <c:spPr>
            <a:ln w="23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79522816"/>
        <c:crosses val="autoZero"/>
        <c:crossBetween val="between"/>
      </c:valAx>
      <c:spPr>
        <a:noFill/>
        <a:ln w="19053">
          <a:noFill/>
        </a:ln>
      </c:spPr>
    </c:plotArea>
    <c:legend>
      <c:legendPos val="r"/>
      <c:layout>
        <c:manualLayout>
          <c:xMode val="edge"/>
          <c:yMode val="edge"/>
          <c:x val="0.6732851985559567"/>
          <c:y val="5.9171597633136093E-3"/>
          <c:w val="0.31949458483754511"/>
          <c:h val="0.98224852071005919"/>
        </c:manualLayout>
      </c:layout>
      <c:overlay val="0"/>
      <c:spPr>
        <a:noFill/>
        <a:ln w="2382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546737213403876E-2"/>
          <c:y val="4.9450549450549448E-2"/>
          <c:w val="0.59082892416225752"/>
          <c:h val="0.763736263736263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Справи про адміністративні правопорушення</c:v>
                </c:pt>
              </c:strCache>
            </c:strRef>
          </c:tx>
          <c:spPr>
            <a:solidFill>
              <a:srgbClr val="9999FF"/>
            </a:solidFill>
            <a:ln w="952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1423</c:v>
                </c:pt>
                <c:pt idx="1">
                  <c:v>1838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Справи в порядку виконання постанов у справах про адміністративні правопорушення</c:v>
                </c:pt>
              </c:strCache>
            </c:strRef>
          </c:tx>
          <c:spPr>
            <a:solidFill>
              <a:srgbClr val="993366"/>
            </a:solidFill>
            <a:ln w="952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14</c:v>
                </c:pt>
                <c:pt idx="1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7006592"/>
        <c:axId val="87016576"/>
        <c:axId val="0"/>
      </c:bar3DChart>
      <c:catAx>
        <c:axId val="87006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87016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7016576"/>
        <c:scaling>
          <c:orientation val="minMax"/>
        </c:scaling>
        <c:delete val="0"/>
        <c:axPos val="l"/>
        <c:majorGridlines>
          <c:spPr>
            <a:ln w="23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87006592"/>
        <c:crosses val="autoZero"/>
        <c:crossBetween val="between"/>
      </c:valAx>
      <c:spPr>
        <a:noFill/>
        <a:ln w="19043">
          <a:noFill/>
        </a:ln>
      </c:spPr>
    </c:plotArea>
    <c:legend>
      <c:legendPos val="r"/>
      <c:layout>
        <c:manualLayout>
          <c:xMode val="edge"/>
          <c:yMode val="edge"/>
          <c:x val="0.6807760141093474"/>
          <c:y val="0.24175824175824176"/>
          <c:w val="0.31216931216931215"/>
          <c:h val="0.52197802197802201"/>
        </c:manualLayout>
      </c:layout>
      <c:overlay val="0"/>
      <c:spPr>
        <a:noFill/>
        <a:ln w="2380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7CB8D-C368-4388-9269-D0FEA6F0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9171</Words>
  <Characters>5229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Збаражська</dc:creator>
  <cp:lastModifiedBy>555</cp:lastModifiedBy>
  <cp:revision>2</cp:revision>
  <dcterms:created xsi:type="dcterms:W3CDTF">2019-02-27T07:49:00Z</dcterms:created>
  <dcterms:modified xsi:type="dcterms:W3CDTF">2019-02-27T07:49:00Z</dcterms:modified>
</cp:coreProperties>
</file>